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340" w:tblpY="1"/>
        <w:tblOverlap w:val="never"/>
        <w:tblW w:w="10903" w:type="dxa"/>
        <w:tblLayout w:type="fixed"/>
        <w:tblCellMar>
          <w:left w:w="0" w:type="dxa"/>
          <w:right w:w="0" w:type="dxa"/>
        </w:tblCellMar>
        <w:tblLook w:val="01E0" w:firstRow="1" w:lastRow="1" w:firstColumn="1" w:lastColumn="1" w:noHBand="0" w:noVBand="0"/>
      </w:tblPr>
      <w:tblGrid>
        <w:gridCol w:w="481"/>
        <w:gridCol w:w="710"/>
        <w:gridCol w:w="133"/>
        <w:gridCol w:w="20"/>
        <w:gridCol w:w="1834"/>
        <w:gridCol w:w="1474"/>
        <w:gridCol w:w="249"/>
        <w:gridCol w:w="1718"/>
        <w:gridCol w:w="20"/>
        <w:gridCol w:w="116"/>
        <w:gridCol w:w="534"/>
        <w:gridCol w:w="1073"/>
        <w:gridCol w:w="1854"/>
        <w:gridCol w:w="534"/>
        <w:gridCol w:w="153"/>
      </w:tblGrid>
      <w:tr w:rsidR="00C46C63" w:rsidRPr="00691157" w:rsidTr="00AB45B0">
        <w:tc>
          <w:tcPr>
            <w:tcW w:w="1324" w:type="dxa"/>
            <w:gridSpan w:val="3"/>
          </w:tcPr>
          <w:p w:rsidR="00405F4C" w:rsidRDefault="00726AAB">
            <w:r>
              <w:t xml:space="preserve"> </w:t>
            </w:r>
          </w:p>
        </w:tc>
        <w:tc>
          <w:tcPr>
            <w:tcW w:w="20" w:type="dxa"/>
          </w:tcPr>
          <w:p w:rsidR="00405F4C" w:rsidRDefault="00405F4C"/>
        </w:tc>
        <w:tc>
          <w:tcPr>
            <w:tcW w:w="9559" w:type="dxa"/>
            <w:gridSpan w:val="11"/>
          </w:tcPr>
          <w:p w:rsidR="00405F4C" w:rsidRDefault="004A128A">
            <w:pPr>
              <w:spacing w:line="180" w:lineRule="exact"/>
              <w:rPr>
                <w:color w:val="000000"/>
                <w:sz w:val="17"/>
                <w:szCs w:val="17"/>
                <w:lang w:val="mk-MK" w:eastAsia="en-US"/>
              </w:rPr>
            </w:pPr>
            <w:r>
              <w:rPr>
                <w:rFonts w:ascii="Tele-GroteskHal" w:hAnsi="Tele-GroteskHal"/>
                <w:color w:val="000000"/>
                <w:sz w:val="17"/>
                <w:szCs w:val="17"/>
              </w:rPr>
              <w:t xml:space="preserve"> </w:t>
            </w:r>
          </w:p>
        </w:tc>
      </w:tr>
      <w:tr w:rsidR="00E50409" w:rsidRPr="00691157" w:rsidTr="00AB45B0">
        <w:trPr>
          <w:gridAfter w:val="1"/>
          <w:wAfter w:w="153" w:type="dxa"/>
        </w:trPr>
        <w:tc>
          <w:tcPr>
            <w:tcW w:w="10750" w:type="dxa"/>
            <w:gridSpan w:val="14"/>
            <w:vAlign w:val="bottom"/>
          </w:tcPr>
          <w:p w:rsidR="00405F4C" w:rsidRDefault="00405F4C"/>
        </w:tc>
      </w:tr>
      <w:tr w:rsidR="00CB14ED" w:rsidRPr="00473020" w:rsidTr="00AB45B0">
        <w:trPr>
          <w:gridAfter w:val="1"/>
          <w:wAfter w:w="153" w:type="dxa"/>
          <w:cantSplit/>
          <w:trHeight w:val="20"/>
        </w:trPr>
        <w:tc>
          <w:tcPr>
            <w:tcW w:w="481" w:type="dxa"/>
            <w:vAlign w:val="center"/>
          </w:tcPr>
          <w:p w:rsidR="00405F4C" w:rsidRDefault="00405F4C">
            <w:pPr>
              <w:jc w:val="right"/>
              <w:rPr>
                <w:rFonts w:ascii="Tele-GroteskUlt" w:hAnsi="Tele-GroteskUlt" w:cs="Arial"/>
                <w:sz w:val="14"/>
                <w:szCs w:val="14"/>
                <w:lang w:val="mk-MK"/>
              </w:rPr>
            </w:pPr>
          </w:p>
        </w:tc>
        <w:tc>
          <w:tcPr>
            <w:tcW w:w="710" w:type="dxa"/>
            <w:vAlign w:val="center"/>
          </w:tcPr>
          <w:p w:rsidR="00405F4C" w:rsidRDefault="00405F4C">
            <w:pPr>
              <w:jc w:val="right"/>
            </w:pPr>
          </w:p>
        </w:tc>
        <w:tc>
          <w:tcPr>
            <w:tcW w:w="5428" w:type="dxa"/>
            <w:gridSpan w:val="6"/>
          </w:tcPr>
          <w:p w:rsidR="00405F4C" w:rsidRDefault="00405F4C">
            <w:pPr>
              <w:rPr>
                <w:rFonts w:cs="Arial"/>
                <w:sz w:val="24"/>
                <w:lang w:val="mk-MK"/>
              </w:rPr>
            </w:pPr>
          </w:p>
        </w:tc>
        <w:tc>
          <w:tcPr>
            <w:tcW w:w="20" w:type="dxa"/>
          </w:tcPr>
          <w:p w:rsidR="00405F4C" w:rsidRDefault="00405F4C">
            <w:pPr>
              <w:rPr>
                <w:lang w:val="mk-MK"/>
              </w:rPr>
            </w:pPr>
          </w:p>
        </w:tc>
        <w:tc>
          <w:tcPr>
            <w:tcW w:w="1723" w:type="dxa"/>
            <w:gridSpan w:val="3"/>
          </w:tcPr>
          <w:p w:rsidR="00405F4C" w:rsidRDefault="00405F4C">
            <w:pPr>
              <w:rPr>
                <w:lang w:val="mk-MK"/>
              </w:rPr>
            </w:pPr>
          </w:p>
        </w:tc>
        <w:tc>
          <w:tcPr>
            <w:tcW w:w="1854" w:type="dxa"/>
          </w:tcPr>
          <w:p w:rsidR="00405F4C" w:rsidRDefault="00405F4C">
            <w:pPr>
              <w:rPr>
                <w:lang w:val="mk-MK"/>
              </w:rPr>
            </w:pPr>
          </w:p>
        </w:tc>
        <w:tc>
          <w:tcPr>
            <w:tcW w:w="534" w:type="dxa"/>
          </w:tcPr>
          <w:p w:rsidR="00405F4C" w:rsidRDefault="00405F4C">
            <w:pPr>
              <w:rPr>
                <w:lang w:val="mk-MK"/>
              </w:rPr>
            </w:pPr>
          </w:p>
        </w:tc>
      </w:tr>
      <w:tr w:rsidR="00306B13" w:rsidRPr="00473020" w:rsidTr="00AB45B0">
        <w:trPr>
          <w:gridAfter w:val="4"/>
          <w:wAfter w:w="3614" w:type="dxa"/>
          <w:trHeight w:val="66"/>
        </w:trPr>
        <w:tc>
          <w:tcPr>
            <w:tcW w:w="481" w:type="dxa"/>
            <w:vAlign w:val="bottom"/>
          </w:tcPr>
          <w:p w:rsidR="00405F4C" w:rsidRDefault="00405F4C">
            <w:pPr>
              <w:rPr>
                <w:szCs w:val="20"/>
                <w:lang w:val="mk-MK"/>
              </w:rPr>
            </w:pPr>
          </w:p>
        </w:tc>
        <w:tc>
          <w:tcPr>
            <w:tcW w:w="710" w:type="dxa"/>
          </w:tcPr>
          <w:p w:rsidR="00405F4C" w:rsidRDefault="00405F4C">
            <w:pPr>
              <w:rPr>
                <w:lang w:val="mk-MK"/>
              </w:rPr>
            </w:pPr>
          </w:p>
        </w:tc>
        <w:tc>
          <w:tcPr>
            <w:tcW w:w="1987" w:type="dxa"/>
            <w:gridSpan w:val="3"/>
          </w:tcPr>
          <w:p w:rsidR="00405F4C" w:rsidRPr="003848AA" w:rsidRDefault="00405F4C">
            <w:pPr>
              <w:rPr>
                <w:rFonts w:ascii="Arial" w:hAnsi="Arial"/>
                <w:sz w:val="24"/>
                <w:lang w:val="en-US"/>
              </w:rPr>
            </w:pPr>
          </w:p>
        </w:tc>
        <w:tc>
          <w:tcPr>
            <w:tcW w:w="1723" w:type="dxa"/>
            <w:gridSpan w:val="2"/>
          </w:tcPr>
          <w:p w:rsidR="00405F4C" w:rsidRDefault="00405F4C">
            <w:pPr>
              <w:rPr>
                <w:rFonts w:ascii="Arial" w:hAnsi="Arial"/>
                <w:sz w:val="24"/>
                <w:lang w:val="mk-MK"/>
              </w:rPr>
            </w:pPr>
          </w:p>
        </w:tc>
        <w:tc>
          <w:tcPr>
            <w:tcW w:w="1854" w:type="dxa"/>
            <w:gridSpan w:val="3"/>
          </w:tcPr>
          <w:p w:rsidR="00405F4C" w:rsidRDefault="00405F4C">
            <w:pPr>
              <w:rPr>
                <w:rFonts w:ascii="Arial" w:hAnsi="Arial"/>
                <w:sz w:val="24"/>
                <w:lang w:val="mk-MK"/>
              </w:rPr>
            </w:pPr>
          </w:p>
        </w:tc>
        <w:tc>
          <w:tcPr>
            <w:tcW w:w="534" w:type="dxa"/>
          </w:tcPr>
          <w:p w:rsidR="00405F4C" w:rsidRDefault="00405F4C">
            <w:pPr>
              <w:rPr>
                <w:rFonts w:ascii="Arial" w:hAnsi="Arial"/>
                <w:sz w:val="24"/>
                <w:lang w:val="mk-MK"/>
              </w:rPr>
            </w:pPr>
          </w:p>
        </w:tc>
      </w:tr>
      <w:tr w:rsidR="00683083" w:rsidRPr="00691157" w:rsidTr="00AB45B0">
        <w:trPr>
          <w:gridAfter w:val="1"/>
          <w:wAfter w:w="153" w:type="dxa"/>
        </w:trPr>
        <w:tc>
          <w:tcPr>
            <w:tcW w:w="481" w:type="dxa"/>
            <w:vAlign w:val="bottom"/>
          </w:tcPr>
          <w:p w:rsidR="00405F4C" w:rsidRDefault="00405F4C">
            <w:pPr>
              <w:rPr>
                <w:szCs w:val="20"/>
                <w:lang w:val="mk-MK"/>
              </w:rPr>
            </w:pPr>
          </w:p>
        </w:tc>
        <w:tc>
          <w:tcPr>
            <w:tcW w:w="710" w:type="dxa"/>
          </w:tcPr>
          <w:p w:rsidR="00405F4C" w:rsidRDefault="00405F4C">
            <w:pPr>
              <w:rPr>
                <w:lang w:val="mk-MK"/>
              </w:rPr>
            </w:pPr>
          </w:p>
        </w:tc>
        <w:tc>
          <w:tcPr>
            <w:tcW w:w="9559" w:type="dxa"/>
            <w:gridSpan w:val="12"/>
          </w:tcPr>
          <w:p w:rsidR="003848AA" w:rsidRDefault="001965BA" w:rsidP="003848AA">
            <w:pPr>
              <w:tabs>
                <w:tab w:val="left" w:pos="1260"/>
                <w:tab w:val="left" w:pos="10080"/>
              </w:tabs>
              <w:ind w:right="457"/>
              <w:jc w:val="center"/>
              <w:rPr>
                <w:sz w:val="36"/>
                <w:szCs w:val="36"/>
                <w:lang w:val="en-US"/>
              </w:rPr>
            </w:pPr>
            <w:r w:rsidRPr="003848AA">
              <w:rPr>
                <w:sz w:val="36"/>
                <w:szCs w:val="36"/>
                <w:lang w:val="mk-MK"/>
              </w:rPr>
              <w:t xml:space="preserve">Коментари на Македонски Телеком АД – Скопје </w:t>
            </w:r>
          </w:p>
          <w:p w:rsidR="003848AA" w:rsidRDefault="001965BA" w:rsidP="003848AA">
            <w:pPr>
              <w:tabs>
                <w:tab w:val="left" w:pos="1260"/>
                <w:tab w:val="left" w:pos="10080"/>
              </w:tabs>
              <w:ind w:right="457"/>
              <w:jc w:val="center"/>
              <w:rPr>
                <w:sz w:val="36"/>
                <w:szCs w:val="36"/>
                <w:lang w:val="en-US"/>
              </w:rPr>
            </w:pPr>
            <w:r w:rsidRPr="003848AA">
              <w:rPr>
                <w:sz w:val="36"/>
                <w:szCs w:val="36"/>
                <w:lang w:val="mk-MK"/>
              </w:rPr>
              <w:t xml:space="preserve">кон Нацрт </w:t>
            </w:r>
            <w:r w:rsidR="005217F7" w:rsidRPr="003848AA">
              <w:rPr>
                <w:sz w:val="36"/>
                <w:szCs w:val="36"/>
                <w:lang w:val="mk-MK"/>
              </w:rPr>
              <w:t xml:space="preserve">трета анализа на пазар за физички пристап </w:t>
            </w:r>
          </w:p>
          <w:p w:rsidR="0044501D" w:rsidRDefault="005217F7" w:rsidP="003848AA">
            <w:pPr>
              <w:tabs>
                <w:tab w:val="left" w:pos="1260"/>
                <w:tab w:val="left" w:pos="10080"/>
              </w:tabs>
              <w:ind w:right="457"/>
              <w:jc w:val="center"/>
              <w:rPr>
                <w:sz w:val="36"/>
                <w:szCs w:val="36"/>
                <w:lang w:val="en-US"/>
              </w:rPr>
            </w:pPr>
            <w:r w:rsidRPr="003848AA">
              <w:rPr>
                <w:sz w:val="36"/>
                <w:szCs w:val="36"/>
                <w:lang w:val="mk-MK"/>
              </w:rPr>
              <w:t>до мрежна ин</w:t>
            </w:r>
            <w:r w:rsidR="0044501D">
              <w:rPr>
                <w:sz w:val="36"/>
                <w:szCs w:val="36"/>
                <w:lang w:val="mk-MK"/>
              </w:rPr>
              <w:t>фраструктура (целосен и поделен</w:t>
            </w:r>
            <w:r w:rsidR="0044501D">
              <w:rPr>
                <w:sz w:val="36"/>
                <w:szCs w:val="36"/>
                <w:lang w:val="en-US"/>
              </w:rPr>
              <w:t xml:space="preserve"> </w:t>
            </w:r>
          </w:p>
          <w:p w:rsidR="003848AA" w:rsidRDefault="005217F7" w:rsidP="003848AA">
            <w:pPr>
              <w:tabs>
                <w:tab w:val="left" w:pos="1260"/>
                <w:tab w:val="left" w:pos="10080"/>
              </w:tabs>
              <w:ind w:right="457"/>
              <w:jc w:val="center"/>
              <w:rPr>
                <w:sz w:val="36"/>
                <w:szCs w:val="36"/>
                <w:lang w:val="en-US"/>
              </w:rPr>
            </w:pPr>
            <w:r w:rsidRPr="003848AA">
              <w:rPr>
                <w:sz w:val="36"/>
                <w:szCs w:val="36"/>
                <w:lang w:val="mk-MK"/>
              </w:rPr>
              <w:t xml:space="preserve">разврзан пристап) на фиксна локација  и </w:t>
            </w:r>
          </w:p>
          <w:p w:rsidR="00405F4C" w:rsidRPr="003848AA" w:rsidRDefault="005217F7" w:rsidP="003848AA">
            <w:pPr>
              <w:tabs>
                <w:tab w:val="left" w:pos="1260"/>
                <w:tab w:val="left" w:pos="10080"/>
              </w:tabs>
              <w:ind w:right="457"/>
              <w:jc w:val="center"/>
              <w:rPr>
                <w:rFonts w:cs="Arial"/>
                <w:color w:val="000000"/>
                <w:spacing w:val="1"/>
                <w:sz w:val="36"/>
                <w:szCs w:val="36"/>
                <w:lang w:val="mk-MK" w:eastAsia="en-US"/>
              </w:rPr>
            </w:pPr>
            <w:r w:rsidRPr="003848AA">
              <w:rPr>
                <w:sz w:val="36"/>
                <w:szCs w:val="36"/>
                <w:lang w:val="mk-MK"/>
              </w:rPr>
              <w:t>четврта анализа на пазар за услуги со широк опсег</w:t>
            </w:r>
          </w:p>
          <w:p w:rsidR="00405F4C" w:rsidRDefault="00405F4C">
            <w:pPr>
              <w:tabs>
                <w:tab w:val="left" w:pos="1260"/>
                <w:tab w:val="left" w:pos="10080"/>
              </w:tabs>
              <w:ind w:right="457"/>
              <w:jc w:val="both"/>
              <w:rPr>
                <w:rFonts w:cs="Tele-GroteskNor"/>
                <w:spacing w:val="2"/>
                <w:sz w:val="22"/>
                <w:szCs w:val="22"/>
                <w:lang w:val="mk-MK"/>
              </w:rPr>
            </w:pPr>
          </w:p>
          <w:p w:rsidR="00CB5123" w:rsidRDefault="00CB5123">
            <w:pPr>
              <w:tabs>
                <w:tab w:val="left" w:pos="1260"/>
                <w:tab w:val="left" w:pos="10080"/>
              </w:tabs>
              <w:ind w:right="457"/>
              <w:jc w:val="both"/>
              <w:rPr>
                <w:rFonts w:cs="Tele-GroteskNor"/>
                <w:spacing w:val="2"/>
                <w:sz w:val="22"/>
                <w:szCs w:val="22"/>
                <w:lang w:val="mk-MK"/>
              </w:rPr>
            </w:pPr>
          </w:p>
          <w:p w:rsidR="00CB5123" w:rsidRDefault="00CB5123">
            <w:pPr>
              <w:tabs>
                <w:tab w:val="left" w:pos="1260"/>
                <w:tab w:val="left" w:pos="10080"/>
              </w:tabs>
              <w:ind w:right="457"/>
              <w:jc w:val="both"/>
              <w:rPr>
                <w:rFonts w:cs="Tele-GroteskNor"/>
                <w:spacing w:val="2"/>
                <w:sz w:val="22"/>
                <w:szCs w:val="22"/>
                <w:lang w:val="mk-MK"/>
              </w:rPr>
            </w:pPr>
          </w:p>
          <w:p w:rsidR="00405F4C" w:rsidRDefault="00405F4C">
            <w:pPr>
              <w:tabs>
                <w:tab w:val="left" w:pos="1260"/>
                <w:tab w:val="left" w:pos="10080"/>
              </w:tabs>
              <w:ind w:right="457"/>
              <w:jc w:val="both"/>
              <w:rPr>
                <w:rFonts w:cs="Tele-GroteskNor"/>
                <w:spacing w:val="2"/>
                <w:sz w:val="22"/>
                <w:szCs w:val="22"/>
                <w:lang w:val="mk-MK"/>
              </w:rPr>
            </w:pPr>
          </w:p>
          <w:p w:rsidR="00405F4C" w:rsidRDefault="00A40B59">
            <w:pPr>
              <w:tabs>
                <w:tab w:val="left" w:pos="283"/>
                <w:tab w:val="left" w:pos="8918"/>
              </w:tabs>
              <w:spacing w:after="120"/>
              <w:ind w:right="141"/>
              <w:jc w:val="both"/>
              <w:rPr>
                <w:rFonts w:cs="Arial"/>
                <w:color w:val="000000"/>
                <w:spacing w:val="1"/>
                <w:sz w:val="22"/>
                <w:szCs w:val="22"/>
                <w:lang w:val="en-US" w:eastAsia="en-US"/>
              </w:rPr>
            </w:pPr>
            <w:r w:rsidRPr="001C6625">
              <w:rPr>
                <w:rFonts w:cs="Arial"/>
                <w:color w:val="000000"/>
                <w:spacing w:val="1"/>
                <w:sz w:val="22"/>
                <w:szCs w:val="22"/>
                <w:lang w:val="mk-MK" w:eastAsia="en-US"/>
              </w:rPr>
              <w:t xml:space="preserve">Македонски Телеком АД </w:t>
            </w:r>
            <w:r w:rsidR="00987363">
              <w:rPr>
                <w:rFonts w:cs="Arial"/>
                <w:color w:val="000000"/>
                <w:spacing w:val="1"/>
                <w:sz w:val="22"/>
                <w:szCs w:val="22"/>
                <w:lang w:val="mk-MK" w:eastAsia="en-US"/>
              </w:rPr>
              <w:t>(понатаму во текстот</w:t>
            </w:r>
            <w:r w:rsidR="007A7AF8">
              <w:rPr>
                <w:rFonts w:cs="Arial"/>
                <w:color w:val="000000"/>
                <w:spacing w:val="1"/>
                <w:sz w:val="22"/>
                <w:szCs w:val="22"/>
                <w:lang w:val="en-US" w:eastAsia="en-US"/>
              </w:rPr>
              <w:t>:</w:t>
            </w:r>
            <w:r w:rsidR="00987363">
              <w:rPr>
                <w:rFonts w:cs="Arial"/>
                <w:color w:val="000000"/>
                <w:spacing w:val="1"/>
                <w:sz w:val="22"/>
                <w:szCs w:val="22"/>
                <w:lang w:val="mk-MK" w:eastAsia="en-US"/>
              </w:rPr>
              <w:t xml:space="preserve"> МКТ) </w:t>
            </w:r>
            <w:r w:rsidRPr="001C6625">
              <w:rPr>
                <w:rFonts w:cs="Arial"/>
                <w:color w:val="000000"/>
                <w:spacing w:val="1"/>
                <w:sz w:val="22"/>
                <w:szCs w:val="22"/>
                <w:lang w:val="mk-MK" w:eastAsia="en-US"/>
              </w:rPr>
              <w:t xml:space="preserve">ја поздравува намерата на </w:t>
            </w:r>
            <w:r w:rsidR="00280376">
              <w:rPr>
                <w:rFonts w:cs="Arial"/>
                <w:color w:val="000000"/>
                <w:spacing w:val="1"/>
                <w:sz w:val="22"/>
                <w:szCs w:val="22"/>
                <w:lang w:val="mk-MK" w:eastAsia="en-US"/>
              </w:rPr>
              <w:t>Агенцијата за електронски комуникации (понатаму</w:t>
            </w:r>
            <w:r w:rsidR="007A7AF8">
              <w:rPr>
                <w:rFonts w:cs="Arial"/>
                <w:color w:val="000000"/>
                <w:spacing w:val="1"/>
                <w:sz w:val="22"/>
                <w:szCs w:val="22"/>
                <w:lang w:val="en-US" w:eastAsia="en-US"/>
              </w:rPr>
              <w:t>:</w:t>
            </w:r>
            <w:r w:rsidR="00280376">
              <w:rPr>
                <w:rFonts w:cs="Arial"/>
                <w:color w:val="000000"/>
                <w:spacing w:val="1"/>
                <w:sz w:val="22"/>
                <w:szCs w:val="22"/>
                <w:lang w:val="mk-MK" w:eastAsia="en-US"/>
              </w:rPr>
              <w:t xml:space="preserve"> </w:t>
            </w:r>
            <w:r w:rsidRPr="001C6625">
              <w:rPr>
                <w:rFonts w:cs="Arial"/>
                <w:color w:val="000000"/>
                <w:spacing w:val="1"/>
                <w:sz w:val="22"/>
                <w:szCs w:val="22"/>
                <w:lang w:val="mk-MK" w:eastAsia="en-US"/>
              </w:rPr>
              <w:t>АЕК</w:t>
            </w:r>
            <w:r w:rsidR="00280376">
              <w:rPr>
                <w:rFonts w:cs="Arial"/>
                <w:color w:val="000000"/>
                <w:spacing w:val="1"/>
                <w:sz w:val="22"/>
                <w:szCs w:val="22"/>
                <w:lang w:val="mk-MK" w:eastAsia="en-US"/>
              </w:rPr>
              <w:t>)</w:t>
            </w:r>
            <w:r w:rsidRPr="001C6625">
              <w:rPr>
                <w:rFonts w:cs="Arial"/>
                <w:color w:val="000000"/>
                <w:spacing w:val="1"/>
                <w:sz w:val="22"/>
                <w:szCs w:val="22"/>
                <w:lang w:val="mk-MK" w:eastAsia="en-US"/>
              </w:rPr>
              <w:t xml:space="preserve"> да направи трета анализа на </w:t>
            </w:r>
            <w:r w:rsidR="005217F7" w:rsidRPr="001C6625">
              <w:rPr>
                <w:sz w:val="22"/>
                <w:szCs w:val="22"/>
                <w:lang w:val="mk-MK"/>
              </w:rPr>
              <w:t>пазар за физички пристап до мрежна инфраструктура (целосен и поделен разврзан пристап) на фиксна локација</w:t>
            </w:r>
            <w:r w:rsidR="00E55C5B">
              <w:rPr>
                <w:sz w:val="22"/>
                <w:szCs w:val="22"/>
                <w:lang w:val="mk-MK"/>
              </w:rPr>
              <w:t xml:space="preserve"> </w:t>
            </w:r>
            <w:r w:rsidR="005217F7" w:rsidRPr="001C6625">
              <w:rPr>
                <w:sz w:val="22"/>
                <w:szCs w:val="22"/>
                <w:lang w:val="mk-MK"/>
              </w:rPr>
              <w:t>и четврта анализа на пазар за услуги со широк опсег</w:t>
            </w:r>
            <w:r w:rsidR="001C6625">
              <w:rPr>
                <w:sz w:val="22"/>
                <w:szCs w:val="22"/>
                <w:lang w:val="mk-MK"/>
              </w:rPr>
              <w:t>, како и одлуката овие пазари да се преименуваат во согласност со препорак</w:t>
            </w:r>
            <w:r w:rsidR="00280376">
              <w:rPr>
                <w:sz w:val="22"/>
                <w:szCs w:val="22"/>
                <w:lang w:val="mk-MK"/>
              </w:rPr>
              <w:t>а</w:t>
            </w:r>
            <w:r w:rsidR="001C6625">
              <w:rPr>
                <w:sz w:val="22"/>
                <w:szCs w:val="22"/>
                <w:lang w:val="mk-MK"/>
              </w:rPr>
              <w:t>т</w:t>
            </w:r>
            <w:r w:rsidR="00280376">
              <w:rPr>
                <w:sz w:val="22"/>
                <w:szCs w:val="22"/>
                <w:lang w:val="mk-MK"/>
              </w:rPr>
              <w:t>а</w:t>
            </w:r>
            <w:r w:rsidR="001C6625">
              <w:rPr>
                <w:sz w:val="22"/>
                <w:szCs w:val="22"/>
                <w:lang w:val="mk-MK"/>
              </w:rPr>
              <w:t xml:space="preserve"> на Европската Комисија</w:t>
            </w:r>
            <w:r w:rsidR="00280376">
              <w:rPr>
                <w:sz w:val="22"/>
                <w:szCs w:val="22"/>
                <w:lang w:val="mk-MK"/>
              </w:rPr>
              <w:t xml:space="preserve"> </w:t>
            </w:r>
            <w:r w:rsidR="00280376" w:rsidRPr="00280376">
              <w:rPr>
                <w:sz w:val="22"/>
                <w:szCs w:val="22"/>
                <w:lang w:val="en-US"/>
              </w:rPr>
              <w:t xml:space="preserve">(2014/710/EU) </w:t>
            </w:r>
            <w:r w:rsidR="00280376">
              <w:rPr>
                <w:sz w:val="22"/>
                <w:szCs w:val="22"/>
                <w:lang w:val="mk-MK"/>
              </w:rPr>
              <w:t>од 9 о</w:t>
            </w:r>
            <w:r w:rsidR="00280376" w:rsidRPr="00280376">
              <w:rPr>
                <w:sz w:val="22"/>
                <w:szCs w:val="22"/>
                <w:lang w:val="mk-MK"/>
              </w:rPr>
              <w:t>ктомври 2014 година</w:t>
            </w:r>
            <w:r w:rsidR="005217F7" w:rsidRPr="001C6625">
              <w:rPr>
                <w:sz w:val="22"/>
                <w:szCs w:val="22"/>
                <w:lang w:val="mk-MK"/>
              </w:rPr>
              <w:t xml:space="preserve">. </w:t>
            </w:r>
          </w:p>
          <w:p w:rsidR="00405F4C" w:rsidRDefault="00987363">
            <w:pPr>
              <w:tabs>
                <w:tab w:val="left" w:pos="283"/>
                <w:tab w:val="left" w:pos="8918"/>
              </w:tabs>
              <w:spacing w:after="120"/>
              <w:ind w:right="141"/>
              <w:jc w:val="both"/>
              <w:rPr>
                <w:rFonts w:cs="Arial"/>
                <w:color w:val="000000"/>
                <w:spacing w:val="1"/>
                <w:sz w:val="22"/>
                <w:szCs w:val="22"/>
                <w:lang w:val="mk-MK" w:eastAsia="en-US"/>
              </w:rPr>
            </w:pPr>
            <w:r>
              <w:rPr>
                <w:rFonts w:cs="Arial"/>
                <w:color w:val="000000"/>
                <w:spacing w:val="1"/>
                <w:sz w:val="22"/>
                <w:szCs w:val="22"/>
                <w:lang w:val="mk-MK" w:eastAsia="en-US"/>
              </w:rPr>
              <w:t>МКТ</w:t>
            </w:r>
            <w:r w:rsidR="00280376">
              <w:rPr>
                <w:rFonts w:cs="Arial"/>
                <w:color w:val="000000"/>
                <w:spacing w:val="1"/>
                <w:sz w:val="22"/>
                <w:szCs w:val="22"/>
                <w:lang w:val="mk-MK" w:eastAsia="en-US"/>
              </w:rPr>
              <w:t xml:space="preserve"> </w:t>
            </w:r>
            <w:r w:rsidR="004C5DDD" w:rsidRPr="001C6625">
              <w:rPr>
                <w:rFonts w:cs="Arial"/>
                <w:color w:val="000000"/>
                <w:spacing w:val="1"/>
                <w:sz w:val="22"/>
                <w:szCs w:val="22"/>
                <w:lang w:val="mk-MK" w:eastAsia="en-US"/>
              </w:rPr>
              <w:t>се согласува со анализата на АЕК</w:t>
            </w:r>
            <w:r w:rsidR="001C6625">
              <w:rPr>
                <w:rFonts w:cs="Arial"/>
                <w:color w:val="000000"/>
                <w:spacing w:val="1"/>
                <w:sz w:val="22"/>
                <w:szCs w:val="22"/>
                <w:lang w:val="mk-MK" w:eastAsia="en-US"/>
              </w:rPr>
              <w:t xml:space="preserve"> во поголемиот дел</w:t>
            </w:r>
            <w:r w:rsidR="005217F7" w:rsidRPr="001C6625">
              <w:rPr>
                <w:rFonts w:cs="Arial"/>
                <w:color w:val="000000"/>
                <w:spacing w:val="1"/>
                <w:sz w:val="22"/>
                <w:szCs w:val="22"/>
                <w:lang w:val="mk-MK" w:eastAsia="en-US"/>
              </w:rPr>
              <w:t xml:space="preserve">, но </w:t>
            </w:r>
            <w:r w:rsidR="00280376">
              <w:rPr>
                <w:rFonts w:cs="Arial"/>
                <w:color w:val="000000"/>
                <w:spacing w:val="1"/>
                <w:sz w:val="22"/>
                <w:szCs w:val="22"/>
                <w:lang w:val="mk-MK" w:eastAsia="en-US"/>
              </w:rPr>
              <w:t xml:space="preserve">исто така </w:t>
            </w:r>
            <w:r w:rsidR="005217F7" w:rsidRPr="001C6625">
              <w:rPr>
                <w:rFonts w:cs="Arial"/>
                <w:color w:val="000000"/>
                <w:spacing w:val="1"/>
                <w:sz w:val="22"/>
                <w:szCs w:val="22"/>
                <w:lang w:val="mk-MK" w:eastAsia="en-US"/>
              </w:rPr>
              <w:t>има предлози за неко</w:t>
            </w:r>
            <w:r w:rsidR="00280376">
              <w:rPr>
                <w:rFonts w:cs="Arial"/>
                <w:color w:val="000000"/>
                <w:spacing w:val="1"/>
                <w:sz w:val="22"/>
                <w:szCs w:val="22"/>
                <w:lang w:val="mk-MK" w:eastAsia="en-US"/>
              </w:rPr>
              <w:t>лку</w:t>
            </w:r>
            <w:r w:rsidR="005217F7" w:rsidRPr="001C6625">
              <w:rPr>
                <w:rFonts w:cs="Arial"/>
                <w:color w:val="000000"/>
                <w:spacing w:val="1"/>
                <w:sz w:val="22"/>
                <w:szCs w:val="22"/>
                <w:lang w:val="mk-MK" w:eastAsia="en-US"/>
              </w:rPr>
              <w:t xml:space="preserve"> измени во анализите на овие два пазари</w:t>
            </w:r>
            <w:r w:rsidR="00D771AE">
              <w:rPr>
                <w:rFonts w:cs="Arial"/>
                <w:color w:val="000000"/>
                <w:spacing w:val="1"/>
                <w:sz w:val="22"/>
                <w:szCs w:val="22"/>
                <w:lang w:val="mk-MK" w:eastAsia="en-US"/>
              </w:rPr>
              <w:t>,</w:t>
            </w:r>
            <w:r w:rsidR="005217F7" w:rsidRPr="001C6625">
              <w:rPr>
                <w:rFonts w:cs="Arial"/>
                <w:color w:val="000000"/>
                <w:spacing w:val="1"/>
                <w:sz w:val="22"/>
                <w:szCs w:val="22"/>
                <w:lang w:val="mk-MK" w:eastAsia="en-US"/>
              </w:rPr>
              <w:t xml:space="preserve"> како и во предлог Одлуките за операторите со значителна пазарна моќ на релевантниот пазар (во овој случај </w:t>
            </w:r>
            <w:r w:rsidR="00913D94" w:rsidRPr="001C6625">
              <w:rPr>
                <w:rFonts w:cs="Arial"/>
                <w:color w:val="000000"/>
                <w:spacing w:val="1"/>
                <w:sz w:val="22"/>
                <w:szCs w:val="22"/>
                <w:lang w:val="mk-MK" w:eastAsia="en-US"/>
              </w:rPr>
              <w:t xml:space="preserve"> Македонски Телеком </w:t>
            </w:r>
            <w:r w:rsidR="005217F7" w:rsidRPr="001C6625">
              <w:rPr>
                <w:rFonts w:cs="Arial"/>
                <w:color w:val="000000"/>
                <w:spacing w:val="1"/>
                <w:sz w:val="22"/>
                <w:szCs w:val="22"/>
                <w:lang w:val="mk-MK" w:eastAsia="en-US"/>
              </w:rPr>
              <w:t xml:space="preserve">АД </w:t>
            </w:r>
            <w:r w:rsidR="007A7AF8">
              <w:rPr>
                <w:rFonts w:cs="Arial"/>
                <w:color w:val="000000"/>
                <w:spacing w:val="1"/>
                <w:sz w:val="22"/>
                <w:szCs w:val="22"/>
                <w:lang w:val="en-US" w:eastAsia="en-US"/>
              </w:rPr>
              <w:t xml:space="preserve">Скопје </w:t>
            </w:r>
            <w:r w:rsidR="005217F7" w:rsidRPr="001C6625">
              <w:rPr>
                <w:rFonts w:cs="Arial"/>
                <w:color w:val="000000"/>
                <w:spacing w:val="1"/>
                <w:sz w:val="22"/>
                <w:szCs w:val="22"/>
                <w:lang w:val="mk-MK" w:eastAsia="en-US"/>
              </w:rPr>
              <w:t>и ОНЕ.ВИП ДОО Скопје)</w:t>
            </w:r>
            <w:r w:rsidR="004C5DDD" w:rsidRPr="001C6625">
              <w:rPr>
                <w:rFonts w:cs="Arial"/>
                <w:color w:val="000000"/>
                <w:spacing w:val="1"/>
                <w:sz w:val="22"/>
                <w:szCs w:val="22"/>
                <w:lang w:val="mk-MK" w:eastAsia="en-US"/>
              </w:rPr>
              <w:t xml:space="preserve">. </w:t>
            </w:r>
          </w:p>
          <w:p w:rsidR="00405F4C" w:rsidRDefault="00280376">
            <w:pPr>
              <w:tabs>
                <w:tab w:val="left" w:pos="283"/>
                <w:tab w:val="left" w:pos="8918"/>
              </w:tabs>
              <w:spacing w:after="120"/>
              <w:ind w:right="141"/>
              <w:jc w:val="both"/>
              <w:rPr>
                <w:rFonts w:cs="Arial"/>
                <w:color w:val="000000"/>
                <w:spacing w:val="1"/>
                <w:sz w:val="22"/>
                <w:szCs w:val="22"/>
                <w:lang w:val="en-US" w:eastAsia="en-US"/>
              </w:rPr>
            </w:pPr>
            <w:r>
              <w:rPr>
                <w:rFonts w:cs="Arial"/>
                <w:color w:val="000000"/>
                <w:spacing w:val="1"/>
                <w:sz w:val="22"/>
                <w:szCs w:val="22"/>
                <w:lang w:val="mk-MK" w:eastAsia="en-US"/>
              </w:rPr>
              <w:t>Коментарите на МКТ кон</w:t>
            </w:r>
            <w:r>
              <w:rPr>
                <w:rFonts w:cs="Arial"/>
                <w:color w:val="000000"/>
                <w:spacing w:val="1"/>
                <w:sz w:val="22"/>
                <w:szCs w:val="22"/>
                <w:lang w:val="en-US" w:eastAsia="en-US"/>
              </w:rPr>
              <w:t xml:space="preserve"> </w:t>
            </w:r>
            <w:r w:rsidRPr="00B53850">
              <w:rPr>
                <w:sz w:val="22"/>
                <w:szCs w:val="22"/>
                <w:lang w:val="mk-MK"/>
              </w:rPr>
              <w:t xml:space="preserve">Нацрт трета анализа на пазар за физички пристап до мрежна инфраструктура (целосен и поделен разврзан пристап) на фиксна локација </w:t>
            </w:r>
            <w:r w:rsidR="00212178">
              <w:rPr>
                <w:sz w:val="22"/>
                <w:szCs w:val="22"/>
                <w:lang w:val="mk-MK"/>
              </w:rPr>
              <w:t>(понатаму</w:t>
            </w:r>
            <w:r w:rsidR="00D771AE">
              <w:rPr>
                <w:sz w:val="22"/>
                <w:szCs w:val="22"/>
                <w:lang w:val="mk-MK"/>
              </w:rPr>
              <w:t xml:space="preserve"> во текстот:</w:t>
            </w:r>
            <w:r w:rsidR="00212178">
              <w:rPr>
                <w:sz w:val="22"/>
                <w:szCs w:val="22"/>
                <w:lang w:val="mk-MK"/>
              </w:rPr>
              <w:t xml:space="preserve"> </w:t>
            </w:r>
            <w:r w:rsidR="00212178" w:rsidRPr="00212178">
              <w:rPr>
                <w:sz w:val="22"/>
                <w:szCs w:val="22"/>
                <w:lang w:val="mk-MK"/>
              </w:rPr>
              <w:t>пазар за големопродажен локален пристап обезбеден на фиксна локација</w:t>
            </w:r>
            <w:r w:rsidR="00212178">
              <w:rPr>
                <w:sz w:val="22"/>
                <w:szCs w:val="22"/>
                <w:lang w:val="mk-MK"/>
              </w:rPr>
              <w:t>)</w:t>
            </w:r>
            <w:r w:rsidRPr="00B53850">
              <w:rPr>
                <w:sz w:val="22"/>
                <w:szCs w:val="22"/>
                <w:lang w:val="mk-MK"/>
              </w:rPr>
              <w:t xml:space="preserve"> и четврта анализа на пазар за услуги со широк опсег</w:t>
            </w:r>
            <w:r w:rsidR="00212178">
              <w:rPr>
                <w:sz w:val="22"/>
                <w:szCs w:val="22"/>
                <w:lang w:val="mk-MK"/>
              </w:rPr>
              <w:t xml:space="preserve"> (понатаму</w:t>
            </w:r>
            <w:r w:rsidR="00D771AE">
              <w:rPr>
                <w:sz w:val="22"/>
                <w:szCs w:val="22"/>
                <w:lang w:val="en-US"/>
              </w:rPr>
              <w:t xml:space="preserve"> во текстот: </w:t>
            </w:r>
            <w:r w:rsidR="00212178" w:rsidRPr="00212178">
              <w:rPr>
                <w:sz w:val="22"/>
                <w:szCs w:val="22"/>
                <w:lang w:val="mk-MK"/>
              </w:rPr>
              <w:t>пазар за големопродажен централен пристап обезбеден на фиксна локација за производи за широка потрошувачка</w:t>
            </w:r>
            <w:r w:rsidR="00212178">
              <w:rPr>
                <w:sz w:val="22"/>
                <w:szCs w:val="22"/>
                <w:lang w:val="mk-MK"/>
              </w:rPr>
              <w:t>)</w:t>
            </w:r>
            <w:r w:rsidR="00353B58">
              <w:rPr>
                <w:sz w:val="22"/>
                <w:szCs w:val="22"/>
                <w:lang w:val="mk-MK"/>
              </w:rPr>
              <w:t>,</w:t>
            </w:r>
            <w:r>
              <w:rPr>
                <w:rFonts w:cs="Arial"/>
                <w:color w:val="000000"/>
                <w:spacing w:val="1"/>
                <w:sz w:val="22"/>
                <w:szCs w:val="22"/>
                <w:lang w:val="mk-MK" w:eastAsia="en-US"/>
              </w:rPr>
              <w:t xml:space="preserve"> се наведени во неколку поважни точки во текстот подолу</w:t>
            </w:r>
            <w:r>
              <w:rPr>
                <w:rFonts w:cs="Arial"/>
                <w:color w:val="000000"/>
                <w:spacing w:val="1"/>
                <w:sz w:val="22"/>
                <w:szCs w:val="22"/>
                <w:lang w:val="en-US" w:eastAsia="en-US"/>
              </w:rPr>
              <w:t xml:space="preserve">: </w:t>
            </w:r>
          </w:p>
          <w:p w:rsidR="00405F4C" w:rsidRDefault="00913D94">
            <w:pPr>
              <w:numPr>
                <w:ilvl w:val="0"/>
                <w:numId w:val="11"/>
              </w:numPr>
              <w:rPr>
                <w:b/>
                <w:sz w:val="22"/>
                <w:szCs w:val="22"/>
                <w:u w:val="single"/>
                <w:lang w:val="mk-MK"/>
              </w:rPr>
            </w:pPr>
            <w:r>
              <w:rPr>
                <w:b/>
                <w:sz w:val="22"/>
                <w:szCs w:val="22"/>
                <w:u w:val="single"/>
                <w:lang w:val="mk-MK"/>
              </w:rPr>
              <w:t>Д</w:t>
            </w:r>
            <w:r w:rsidR="001C6625" w:rsidRPr="001C6625">
              <w:rPr>
                <w:b/>
                <w:sz w:val="22"/>
                <w:szCs w:val="22"/>
                <w:u w:val="single"/>
                <w:lang w:val="mk-MK"/>
              </w:rPr>
              <w:t xml:space="preserve">етална анализа </w:t>
            </w:r>
            <w:r>
              <w:rPr>
                <w:b/>
                <w:sz w:val="22"/>
                <w:szCs w:val="22"/>
                <w:u w:val="single"/>
                <w:lang w:val="mk-MK"/>
              </w:rPr>
              <w:t>н</w:t>
            </w:r>
            <w:r w:rsidR="005D6674">
              <w:rPr>
                <w:b/>
                <w:sz w:val="22"/>
                <w:szCs w:val="22"/>
                <w:u w:val="single"/>
                <w:lang w:val="mk-MK"/>
              </w:rPr>
              <w:t>а сите видови на технологии користени</w:t>
            </w:r>
            <w:r w:rsidR="001C6625" w:rsidRPr="001C6625">
              <w:rPr>
                <w:b/>
                <w:sz w:val="22"/>
                <w:szCs w:val="22"/>
                <w:u w:val="single"/>
                <w:lang w:val="mk-MK"/>
              </w:rPr>
              <w:t xml:space="preserve"> на пазарот за широкопојасни услуги</w:t>
            </w:r>
            <w:r w:rsidR="00987363">
              <w:rPr>
                <w:b/>
                <w:sz w:val="22"/>
                <w:szCs w:val="22"/>
                <w:u w:val="single"/>
                <w:lang w:val="mk-MK"/>
              </w:rPr>
              <w:t xml:space="preserve"> како и запазување на принципот на технолошка неутралност </w:t>
            </w:r>
          </w:p>
          <w:p w:rsidR="00405F4C" w:rsidRDefault="00405F4C">
            <w:pPr>
              <w:rPr>
                <w:b/>
                <w:sz w:val="22"/>
                <w:szCs w:val="22"/>
                <w:lang w:val="mk-MK"/>
              </w:rPr>
            </w:pPr>
          </w:p>
          <w:p w:rsidR="00405F4C" w:rsidRDefault="001C6625">
            <w:pPr>
              <w:pStyle w:val="Default"/>
              <w:spacing w:after="120"/>
              <w:rPr>
                <w:rFonts w:ascii="Tele-GroteskNor" w:hAnsi="Tele-GroteskNor"/>
                <w:lang w:val="mk-MK"/>
              </w:rPr>
            </w:pPr>
            <w:r w:rsidRPr="001C6625">
              <w:rPr>
                <w:rFonts w:ascii="Tele-GroteskNor" w:hAnsi="Tele-GroteskNor"/>
                <w:color w:val="auto"/>
                <w:sz w:val="22"/>
                <w:szCs w:val="22"/>
                <w:lang w:eastAsia="en-US"/>
              </w:rPr>
              <w:t xml:space="preserve">Пред да се донесе било каков заклучок, мора се земе  предвид моменталната и очекуваната состојба на малопродажниот пазар </w:t>
            </w:r>
            <w:r w:rsidR="00B53850">
              <w:rPr>
                <w:rFonts w:ascii="Tele-GroteskNor" w:hAnsi="Tele-GroteskNor"/>
                <w:color w:val="auto"/>
                <w:sz w:val="22"/>
                <w:szCs w:val="22"/>
                <w:lang w:val="mk-MK" w:eastAsia="en-US"/>
              </w:rPr>
              <w:t xml:space="preserve">за услуги со широк опсег </w:t>
            </w:r>
            <w:r w:rsidRPr="001C6625">
              <w:rPr>
                <w:rFonts w:ascii="Tele-GroteskNor" w:hAnsi="Tele-GroteskNor"/>
                <w:color w:val="auto"/>
                <w:sz w:val="22"/>
                <w:szCs w:val="22"/>
                <w:lang w:eastAsia="en-US"/>
              </w:rPr>
              <w:t>во Р</w:t>
            </w:r>
            <w:r w:rsidR="00B53850">
              <w:rPr>
                <w:rFonts w:ascii="Tele-GroteskNor" w:hAnsi="Tele-GroteskNor"/>
                <w:color w:val="auto"/>
                <w:sz w:val="22"/>
                <w:szCs w:val="22"/>
                <w:lang w:val="mk-MK" w:eastAsia="en-US"/>
              </w:rPr>
              <w:t xml:space="preserve">епублика </w:t>
            </w:r>
            <w:r w:rsidRPr="001C6625">
              <w:rPr>
                <w:rFonts w:ascii="Tele-GroteskNor" w:hAnsi="Tele-GroteskNor"/>
                <w:color w:val="auto"/>
                <w:sz w:val="22"/>
                <w:szCs w:val="22"/>
                <w:lang w:eastAsia="en-US"/>
              </w:rPr>
              <w:t>М</w:t>
            </w:r>
            <w:r w:rsidR="00B53850">
              <w:rPr>
                <w:rFonts w:ascii="Tele-GroteskNor" w:hAnsi="Tele-GroteskNor"/>
                <w:color w:val="auto"/>
                <w:sz w:val="22"/>
                <w:szCs w:val="22"/>
                <w:lang w:val="mk-MK" w:eastAsia="en-US"/>
              </w:rPr>
              <w:t>акедонија</w:t>
            </w:r>
            <w:r w:rsidRPr="001C6625">
              <w:rPr>
                <w:rFonts w:ascii="Tele-GroteskNor" w:hAnsi="Tele-GroteskNor"/>
                <w:color w:val="auto"/>
                <w:sz w:val="22"/>
                <w:szCs w:val="22"/>
                <w:lang w:eastAsia="en-US"/>
              </w:rPr>
              <w:t xml:space="preserve">. Имено, според извештајот на АЕК за развој на пазарот за </w:t>
            </w:r>
            <w:r w:rsidR="00815D8B">
              <w:rPr>
                <w:rFonts w:ascii="Tele-GroteskNor" w:hAnsi="Tele-GroteskNor"/>
                <w:color w:val="auto"/>
                <w:sz w:val="22"/>
                <w:szCs w:val="22"/>
                <w:lang w:val="mk-MK" w:eastAsia="en-US"/>
              </w:rPr>
              <w:t>вториот</w:t>
            </w:r>
            <w:r w:rsidRPr="001C6625">
              <w:rPr>
                <w:rFonts w:ascii="Tele-GroteskNor" w:hAnsi="Tele-GroteskNor"/>
                <w:color w:val="auto"/>
                <w:sz w:val="22"/>
                <w:szCs w:val="22"/>
                <w:lang w:eastAsia="en-US"/>
              </w:rPr>
              <w:t xml:space="preserve"> квартал од 201</w:t>
            </w:r>
            <w:r w:rsidR="00815D8B">
              <w:rPr>
                <w:rFonts w:ascii="Tele-GroteskNor" w:hAnsi="Tele-GroteskNor"/>
                <w:color w:val="auto"/>
                <w:sz w:val="22"/>
                <w:szCs w:val="22"/>
                <w:lang w:val="mk-MK" w:eastAsia="en-US"/>
              </w:rPr>
              <w:t>6</w:t>
            </w:r>
            <w:r w:rsidRPr="001C6625">
              <w:rPr>
                <w:rFonts w:ascii="Tele-GroteskNor" w:hAnsi="Tele-GroteskNor"/>
                <w:color w:val="auto"/>
                <w:sz w:val="22"/>
                <w:szCs w:val="22"/>
                <w:lang w:eastAsia="en-US"/>
              </w:rPr>
              <w:t xml:space="preserve"> година, ситуацијата на пазарот за </w:t>
            </w:r>
            <w:r w:rsidR="00815D8B">
              <w:rPr>
                <w:rFonts w:ascii="Tele-GroteskNor" w:hAnsi="Tele-GroteskNor"/>
                <w:color w:val="auto"/>
                <w:sz w:val="22"/>
                <w:szCs w:val="22"/>
                <w:lang w:val="mk-MK" w:eastAsia="en-US"/>
              </w:rPr>
              <w:t>услуги</w:t>
            </w:r>
            <w:r w:rsidRPr="001C6625">
              <w:rPr>
                <w:rFonts w:ascii="Tele-GroteskNor" w:hAnsi="Tele-GroteskNor"/>
                <w:color w:val="auto"/>
                <w:sz w:val="22"/>
                <w:szCs w:val="22"/>
                <w:lang w:eastAsia="en-US"/>
              </w:rPr>
              <w:t xml:space="preserve"> со широк опсег е следна</w:t>
            </w:r>
            <w:r w:rsidRPr="001C6625">
              <w:rPr>
                <w:rFonts w:ascii="Tele-GroteskNor" w:hAnsi="Tele-GroteskNor"/>
                <w:color w:val="auto"/>
                <w:sz w:val="22"/>
                <w:szCs w:val="22"/>
                <w:lang w:val="en-US" w:eastAsia="en-US"/>
              </w:rPr>
              <w:t>:</w:t>
            </w:r>
            <w:r w:rsidR="00824171">
              <w:object w:dxaOrig="10170" w:dyaOrig="6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4pt;height:193.55pt" o:ole="">
                  <v:imagedata r:id="rId12" o:title=""/>
                </v:shape>
                <o:OLEObject Type="Embed" ProgID="PBrush" ShapeID="_x0000_i1025" DrawAspect="Content" ObjectID="_1552377935" r:id="rId13"/>
              </w:object>
            </w:r>
          </w:p>
          <w:p w:rsidR="00405F4C" w:rsidRDefault="00B53850">
            <w:pPr>
              <w:pStyle w:val="Default"/>
              <w:rPr>
                <w:rFonts w:ascii="Tele-GroteskNor" w:hAnsi="Tele-GroteskNor"/>
                <w:sz w:val="22"/>
                <w:szCs w:val="22"/>
                <w:lang w:val="mk-MK"/>
              </w:rPr>
            </w:pPr>
            <w:r>
              <w:rPr>
                <w:rFonts w:ascii="Tele-GroteskNor" w:hAnsi="Tele-GroteskNor"/>
                <w:sz w:val="22"/>
                <w:szCs w:val="22"/>
                <w:lang w:val="mk-MK"/>
              </w:rPr>
              <w:t xml:space="preserve">Графикон 27 - </w:t>
            </w:r>
            <w:r w:rsidRPr="00B53850">
              <w:rPr>
                <w:rFonts w:ascii="Tele-GroteskNor" w:hAnsi="Tele-GroteskNor"/>
                <w:sz w:val="22"/>
                <w:szCs w:val="22"/>
                <w:lang w:val="mk-MK"/>
              </w:rPr>
              <w:t>Удел според бројот на активни претплатници со фиксен пристап до интернет со широк опсег по оператор на 30.06.2016 година</w:t>
            </w:r>
          </w:p>
          <w:p w:rsidR="00405F4C" w:rsidRDefault="007A531E">
            <w:pPr>
              <w:spacing w:after="120"/>
              <w:rPr>
                <w:sz w:val="22"/>
                <w:szCs w:val="22"/>
                <w:lang w:val="mk-MK"/>
              </w:rPr>
            </w:pPr>
            <w:r w:rsidRPr="001C6625">
              <w:rPr>
                <w:sz w:val="22"/>
                <w:szCs w:val="22"/>
                <w:lang w:val="mk-MK"/>
              </w:rPr>
              <w:t>Извор</w:t>
            </w:r>
            <w:r w:rsidRPr="001C6625">
              <w:rPr>
                <w:sz w:val="22"/>
                <w:szCs w:val="22"/>
              </w:rPr>
              <w:t xml:space="preserve">: </w:t>
            </w:r>
            <w:r w:rsidRPr="001C6625">
              <w:rPr>
                <w:sz w:val="22"/>
                <w:szCs w:val="22"/>
                <w:lang w:val="mk-MK"/>
              </w:rPr>
              <w:t>И</w:t>
            </w:r>
            <w:r w:rsidRPr="001C6625">
              <w:rPr>
                <w:sz w:val="22"/>
                <w:szCs w:val="22"/>
              </w:rPr>
              <w:t>звештај на АЕК за развој на пазарот</w:t>
            </w:r>
            <w:r>
              <w:rPr>
                <w:sz w:val="22"/>
                <w:szCs w:val="22"/>
                <w:lang w:val="mk-MK"/>
              </w:rPr>
              <w:t xml:space="preserve"> за електронски комуникации</w:t>
            </w:r>
            <w:r w:rsidRPr="001C6625">
              <w:rPr>
                <w:sz w:val="22"/>
                <w:szCs w:val="22"/>
              </w:rPr>
              <w:t xml:space="preserve"> </w:t>
            </w:r>
            <w:r>
              <w:rPr>
                <w:sz w:val="22"/>
                <w:szCs w:val="22"/>
                <w:lang w:val="mk-MK"/>
              </w:rPr>
              <w:t>во</w:t>
            </w:r>
            <w:r w:rsidRPr="001C6625">
              <w:rPr>
                <w:sz w:val="22"/>
                <w:szCs w:val="22"/>
              </w:rPr>
              <w:t xml:space="preserve"> </w:t>
            </w:r>
            <w:r>
              <w:rPr>
                <w:sz w:val="22"/>
                <w:szCs w:val="22"/>
                <w:lang w:val="mk-MK"/>
              </w:rPr>
              <w:t>вториот</w:t>
            </w:r>
            <w:r w:rsidRPr="001C6625">
              <w:rPr>
                <w:sz w:val="22"/>
                <w:szCs w:val="22"/>
              </w:rPr>
              <w:t xml:space="preserve"> квартал од 201</w:t>
            </w:r>
            <w:r>
              <w:rPr>
                <w:sz w:val="22"/>
                <w:szCs w:val="22"/>
                <w:lang w:val="mk-MK"/>
              </w:rPr>
              <w:t>6</w:t>
            </w:r>
            <w:r w:rsidRPr="001C6625">
              <w:rPr>
                <w:sz w:val="22"/>
                <w:szCs w:val="22"/>
              </w:rPr>
              <w:t xml:space="preserve"> година</w:t>
            </w:r>
            <w:r w:rsidRPr="001C6625">
              <w:rPr>
                <w:sz w:val="22"/>
                <w:szCs w:val="22"/>
                <w:lang w:val="mk-MK"/>
              </w:rPr>
              <w:t xml:space="preserve"> </w:t>
            </w:r>
          </w:p>
          <w:p w:rsidR="00405F4C" w:rsidRDefault="001C6625">
            <w:pPr>
              <w:rPr>
                <w:sz w:val="22"/>
                <w:szCs w:val="22"/>
                <w:lang w:val="mk-MK"/>
              </w:rPr>
            </w:pPr>
            <w:r w:rsidRPr="001C6625">
              <w:rPr>
                <w:sz w:val="22"/>
                <w:szCs w:val="22"/>
                <w:lang w:val="mk-MK"/>
              </w:rPr>
              <w:t xml:space="preserve">Во однос на инфраструктурата, несомнено доволен аргумент е постоењето на повеќе </w:t>
            </w:r>
            <w:r w:rsidRPr="001C6625">
              <w:rPr>
                <w:sz w:val="22"/>
                <w:szCs w:val="22"/>
                <w:lang w:val="mk-MK"/>
              </w:rPr>
              <w:lastRenderedPageBreak/>
              <w:t xml:space="preserve">инфраструктури за пристап до интернет (вкупно </w:t>
            </w:r>
            <w:r w:rsidR="00B53850">
              <w:rPr>
                <w:sz w:val="22"/>
                <w:szCs w:val="22"/>
                <w:lang w:val="mk-MK"/>
              </w:rPr>
              <w:t>6</w:t>
            </w:r>
            <w:r w:rsidRPr="001C6625">
              <w:rPr>
                <w:sz w:val="22"/>
                <w:szCs w:val="22"/>
                <w:lang w:val="mk-MK"/>
              </w:rPr>
              <w:t>, објавени во анализата на АЕК</w:t>
            </w:r>
            <w:r w:rsidR="00B53850">
              <w:rPr>
                <w:sz w:val="22"/>
                <w:szCs w:val="22"/>
                <w:lang w:val="mk-MK"/>
              </w:rPr>
              <w:t xml:space="preserve"> за вториот квартал од 2016 година </w:t>
            </w:r>
            <w:r w:rsidRPr="001C6625">
              <w:rPr>
                <w:sz w:val="22"/>
                <w:szCs w:val="22"/>
                <w:lang w:val="mk-MK"/>
              </w:rPr>
              <w:t>).</w:t>
            </w:r>
          </w:p>
          <w:p w:rsidR="00405F4C" w:rsidRDefault="00405F4C">
            <w:pPr>
              <w:rPr>
                <w:sz w:val="22"/>
                <w:szCs w:val="22"/>
              </w:rPr>
            </w:pPr>
          </w:p>
          <w:p w:rsidR="00405F4C" w:rsidRDefault="00CB5123">
            <w:pPr>
              <w:rPr>
                <w:sz w:val="22"/>
                <w:szCs w:val="22"/>
                <w:lang w:val="mk-MK"/>
              </w:rPr>
            </w:pPr>
            <w:r>
              <w:object w:dxaOrig="10290" w:dyaOrig="5535">
                <v:shape id="_x0000_i1026" type="#_x0000_t75" style="width:385.9pt;height:207.95pt" o:ole="">
                  <v:imagedata r:id="rId14" o:title=""/>
                </v:shape>
                <o:OLEObject Type="Embed" ProgID="PBrush" ShapeID="_x0000_i1026" DrawAspect="Content" ObjectID="_1552377936" r:id="rId15"/>
              </w:object>
            </w:r>
          </w:p>
          <w:p w:rsidR="00405F4C" w:rsidRDefault="00405F4C">
            <w:pPr>
              <w:rPr>
                <w:sz w:val="22"/>
                <w:szCs w:val="22"/>
                <w:lang w:val="mk-MK"/>
              </w:rPr>
            </w:pPr>
          </w:p>
          <w:p w:rsidR="00405F4C" w:rsidRDefault="005D6674">
            <w:pPr>
              <w:rPr>
                <w:bCs/>
                <w:sz w:val="22"/>
                <w:szCs w:val="22"/>
                <w:lang w:val="mk-MK"/>
              </w:rPr>
            </w:pPr>
            <w:r>
              <w:rPr>
                <w:bCs/>
                <w:sz w:val="22"/>
                <w:szCs w:val="22"/>
                <w:lang w:val="mk-MK"/>
              </w:rPr>
              <w:t>Г</w:t>
            </w:r>
            <w:r w:rsidR="00B53850">
              <w:rPr>
                <w:bCs/>
                <w:sz w:val="22"/>
                <w:szCs w:val="22"/>
                <w:lang w:val="mk-MK"/>
              </w:rPr>
              <w:t>р</w:t>
            </w:r>
            <w:r>
              <w:rPr>
                <w:bCs/>
                <w:sz w:val="22"/>
                <w:szCs w:val="22"/>
                <w:lang w:val="mk-MK"/>
              </w:rPr>
              <w:t>а</w:t>
            </w:r>
            <w:r w:rsidR="00B53850">
              <w:rPr>
                <w:bCs/>
                <w:sz w:val="22"/>
                <w:szCs w:val="22"/>
                <w:lang w:val="mk-MK"/>
              </w:rPr>
              <w:t>фикон 26</w:t>
            </w:r>
            <w:r w:rsidR="00B53850" w:rsidRPr="00B53850">
              <w:rPr>
                <w:bCs/>
                <w:sz w:val="22"/>
                <w:szCs w:val="22"/>
              </w:rPr>
              <w:t xml:space="preserve">-Удел на бројот на претплатници на пристап до интернет по технологии во вториот квартал од 2016 година </w:t>
            </w:r>
          </w:p>
          <w:p w:rsidR="00405F4C" w:rsidRDefault="001C6625">
            <w:pPr>
              <w:rPr>
                <w:sz w:val="22"/>
                <w:szCs w:val="22"/>
                <w:lang w:val="mk-MK"/>
              </w:rPr>
            </w:pPr>
            <w:r w:rsidRPr="001C6625">
              <w:rPr>
                <w:sz w:val="22"/>
                <w:szCs w:val="22"/>
                <w:lang w:val="mk-MK"/>
              </w:rPr>
              <w:t>Извор</w:t>
            </w:r>
            <w:r w:rsidRPr="001C6625">
              <w:rPr>
                <w:sz w:val="22"/>
                <w:szCs w:val="22"/>
              </w:rPr>
              <w:t xml:space="preserve">: </w:t>
            </w:r>
            <w:r w:rsidRPr="001C6625">
              <w:rPr>
                <w:sz w:val="22"/>
                <w:szCs w:val="22"/>
                <w:lang w:val="mk-MK"/>
              </w:rPr>
              <w:t>И</w:t>
            </w:r>
            <w:r w:rsidRPr="001C6625">
              <w:rPr>
                <w:sz w:val="22"/>
                <w:szCs w:val="22"/>
              </w:rPr>
              <w:t>звештај на АЕК за развој на пазарот</w:t>
            </w:r>
            <w:r w:rsidR="007A531E">
              <w:rPr>
                <w:sz w:val="22"/>
                <w:szCs w:val="22"/>
                <w:lang w:val="mk-MK"/>
              </w:rPr>
              <w:t xml:space="preserve"> за електронски комуникации</w:t>
            </w:r>
            <w:r w:rsidRPr="001C6625">
              <w:rPr>
                <w:sz w:val="22"/>
                <w:szCs w:val="22"/>
              </w:rPr>
              <w:t xml:space="preserve"> </w:t>
            </w:r>
            <w:r w:rsidR="007A531E">
              <w:rPr>
                <w:sz w:val="22"/>
                <w:szCs w:val="22"/>
                <w:lang w:val="mk-MK"/>
              </w:rPr>
              <w:t>во</w:t>
            </w:r>
            <w:r w:rsidRPr="001C6625">
              <w:rPr>
                <w:sz w:val="22"/>
                <w:szCs w:val="22"/>
              </w:rPr>
              <w:t xml:space="preserve"> </w:t>
            </w:r>
            <w:r w:rsidR="00B53850">
              <w:rPr>
                <w:sz w:val="22"/>
                <w:szCs w:val="22"/>
                <w:lang w:val="mk-MK"/>
              </w:rPr>
              <w:t>вториот</w:t>
            </w:r>
            <w:r w:rsidRPr="001C6625">
              <w:rPr>
                <w:sz w:val="22"/>
                <w:szCs w:val="22"/>
              </w:rPr>
              <w:t xml:space="preserve"> квартал од 201</w:t>
            </w:r>
            <w:r w:rsidR="00B53850">
              <w:rPr>
                <w:sz w:val="22"/>
                <w:szCs w:val="22"/>
                <w:lang w:val="mk-MK"/>
              </w:rPr>
              <w:t>6</w:t>
            </w:r>
            <w:r w:rsidRPr="001C6625">
              <w:rPr>
                <w:sz w:val="22"/>
                <w:szCs w:val="22"/>
              </w:rPr>
              <w:t xml:space="preserve"> година</w:t>
            </w:r>
          </w:p>
          <w:p w:rsidR="00405F4C" w:rsidRDefault="00405F4C">
            <w:pPr>
              <w:rPr>
                <w:sz w:val="22"/>
                <w:szCs w:val="22"/>
                <w:lang w:val="mk-MK"/>
              </w:rPr>
            </w:pPr>
          </w:p>
          <w:p w:rsidR="00405F4C" w:rsidRDefault="00AD75D0">
            <w:pPr>
              <w:rPr>
                <w:sz w:val="22"/>
                <w:szCs w:val="22"/>
                <w:lang w:val="mk-MK"/>
              </w:rPr>
            </w:pPr>
            <w:r>
              <w:rPr>
                <w:sz w:val="22"/>
                <w:szCs w:val="22"/>
                <w:lang w:val="mk-MK"/>
              </w:rPr>
              <w:t>Во вториот квартал на 2016 година б</w:t>
            </w:r>
            <w:r w:rsidR="001C6625" w:rsidRPr="001C6625">
              <w:rPr>
                <w:sz w:val="22"/>
                <w:szCs w:val="22"/>
                <w:lang w:val="mk-MK"/>
              </w:rPr>
              <w:t xml:space="preserve">ројот на претплатници на широкопојасен пристап на интернет </w:t>
            </w:r>
            <w:r w:rsidR="00601098">
              <w:rPr>
                <w:sz w:val="22"/>
                <w:szCs w:val="22"/>
                <w:lang w:val="mk-MK"/>
              </w:rPr>
              <w:t>преку јавни</w:t>
            </w:r>
            <w:r w:rsidR="001C6625" w:rsidRPr="001C6625">
              <w:rPr>
                <w:sz w:val="22"/>
                <w:szCs w:val="22"/>
                <w:lang w:val="mk-MK"/>
              </w:rPr>
              <w:t xml:space="preserve"> кабелски мрежи </w:t>
            </w:r>
            <w:r w:rsidR="005D6674">
              <w:rPr>
                <w:sz w:val="22"/>
                <w:szCs w:val="22"/>
                <w:lang w:val="en-US"/>
              </w:rPr>
              <w:t>HFC</w:t>
            </w:r>
            <w:r w:rsidR="005D6674">
              <w:rPr>
                <w:sz w:val="22"/>
                <w:szCs w:val="22"/>
                <w:lang w:val="mk-MK"/>
              </w:rPr>
              <w:t xml:space="preserve"> </w:t>
            </w:r>
            <w:r w:rsidR="007A531E">
              <w:rPr>
                <w:sz w:val="22"/>
                <w:szCs w:val="22"/>
                <w:lang w:val="en-US"/>
              </w:rPr>
              <w:t xml:space="preserve">DOCSIS </w:t>
            </w:r>
            <w:r w:rsidR="007A531E">
              <w:rPr>
                <w:sz w:val="22"/>
                <w:szCs w:val="22"/>
                <w:lang w:val="mk-MK"/>
              </w:rPr>
              <w:t>1.</w:t>
            </w:r>
            <w:r w:rsidR="007A531E">
              <w:rPr>
                <w:sz w:val="22"/>
                <w:szCs w:val="22"/>
                <w:lang w:val="en-US"/>
              </w:rPr>
              <w:t>x</w:t>
            </w:r>
            <w:r w:rsidR="00704061">
              <w:rPr>
                <w:sz w:val="22"/>
                <w:szCs w:val="22"/>
                <w:lang w:val="en-US"/>
              </w:rPr>
              <w:t xml:space="preserve">, </w:t>
            </w:r>
            <w:r w:rsidR="007A531E">
              <w:rPr>
                <w:sz w:val="22"/>
                <w:szCs w:val="22"/>
                <w:lang w:val="en-US"/>
              </w:rPr>
              <w:t>2</w:t>
            </w:r>
            <w:r w:rsidR="007A531E">
              <w:rPr>
                <w:sz w:val="22"/>
                <w:szCs w:val="22"/>
                <w:lang w:val="mk-MK"/>
              </w:rPr>
              <w:t>.0</w:t>
            </w:r>
            <w:r w:rsidR="00601098">
              <w:rPr>
                <w:sz w:val="22"/>
                <w:szCs w:val="22"/>
                <w:lang w:val="en-US"/>
              </w:rPr>
              <w:t xml:space="preserve"> e 107.263</w:t>
            </w:r>
            <w:r>
              <w:rPr>
                <w:sz w:val="22"/>
                <w:szCs w:val="22"/>
                <w:lang w:val="mk-MK"/>
              </w:rPr>
              <w:t>, на</w:t>
            </w:r>
            <w:r w:rsidR="007A531E">
              <w:rPr>
                <w:sz w:val="22"/>
                <w:szCs w:val="22"/>
                <w:lang w:val="en-US"/>
              </w:rPr>
              <w:t xml:space="preserve"> </w:t>
            </w:r>
            <w:r>
              <w:rPr>
                <w:sz w:val="22"/>
                <w:szCs w:val="22"/>
                <w:lang w:val="en-US"/>
              </w:rPr>
              <w:t xml:space="preserve">HFC </w:t>
            </w:r>
            <w:r w:rsidR="007A531E">
              <w:rPr>
                <w:sz w:val="22"/>
                <w:szCs w:val="22"/>
                <w:lang w:val="en-US"/>
              </w:rPr>
              <w:t>DOCSIS 3</w:t>
            </w:r>
            <w:r w:rsidR="00704061">
              <w:rPr>
                <w:sz w:val="22"/>
                <w:szCs w:val="22"/>
                <w:lang w:val="en-US"/>
              </w:rPr>
              <w:t>.0</w:t>
            </w:r>
            <w:r>
              <w:rPr>
                <w:sz w:val="22"/>
                <w:szCs w:val="22"/>
                <w:lang w:val="mk-MK"/>
              </w:rPr>
              <w:t xml:space="preserve"> кабелска мрежа</w:t>
            </w:r>
            <w:r w:rsidR="007A531E">
              <w:rPr>
                <w:sz w:val="22"/>
                <w:szCs w:val="22"/>
                <w:lang w:val="en-US"/>
              </w:rPr>
              <w:t xml:space="preserve"> </w:t>
            </w:r>
            <w:r>
              <w:rPr>
                <w:sz w:val="22"/>
                <w:szCs w:val="22"/>
                <w:lang w:val="mk-MK"/>
              </w:rPr>
              <w:t>е 21.236</w:t>
            </w:r>
            <w:r w:rsidR="007A7AF8">
              <w:rPr>
                <w:sz w:val="22"/>
                <w:szCs w:val="22"/>
                <w:lang w:val="mk-MK"/>
              </w:rPr>
              <w:t>,</w:t>
            </w:r>
            <w:r>
              <w:rPr>
                <w:sz w:val="22"/>
                <w:szCs w:val="22"/>
                <w:lang w:val="mk-MK"/>
              </w:rPr>
              <w:t xml:space="preserve"> а број на претплатници </w:t>
            </w:r>
            <w:r w:rsidR="005D6674">
              <w:rPr>
                <w:sz w:val="22"/>
                <w:szCs w:val="22"/>
                <w:lang w:val="mk-MK"/>
              </w:rPr>
              <w:t>со пристап преку</w:t>
            </w:r>
            <w:r>
              <w:rPr>
                <w:sz w:val="22"/>
                <w:szCs w:val="22"/>
                <w:lang w:val="mk-MK"/>
              </w:rPr>
              <w:t xml:space="preserve"> </w:t>
            </w:r>
            <w:r>
              <w:rPr>
                <w:sz w:val="22"/>
                <w:szCs w:val="22"/>
                <w:lang w:val="en-US"/>
              </w:rPr>
              <w:t xml:space="preserve">LAN </w:t>
            </w:r>
            <w:r>
              <w:rPr>
                <w:sz w:val="22"/>
                <w:szCs w:val="22"/>
                <w:lang w:val="mk-MK"/>
              </w:rPr>
              <w:t>мрежа е 40.191.</w:t>
            </w:r>
            <w:r w:rsidR="00704061">
              <w:rPr>
                <w:sz w:val="22"/>
                <w:szCs w:val="22"/>
                <w:lang w:val="en-US"/>
              </w:rPr>
              <w:t xml:space="preserve"> </w:t>
            </w:r>
            <w:r w:rsidR="001C6625" w:rsidRPr="001C6625">
              <w:rPr>
                <w:sz w:val="22"/>
                <w:szCs w:val="22"/>
                <w:lang w:val="mk-MK"/>
              </w:rPr>
              <w:t xml:space="preserve">Ова покажува дека </w:t>
            </w:r>
            <w:r w:rsidR="005D6674">
              <w:rPr>
                <w:sz w:val="22"/>
                <w:szCs w:val="22"/>
                <w:lang w:val="mk-MK"/>
              </w:rPr>
              <w:t>пристапот до интернет</w:t>
            </w:r>
            <w:r w:rsidR="001C6625" w:rsidRPr="001C6625">
              <w:rPr>
                <w:sz w:val="22"/>
                <w:szCs w:val="22"/>
                <w:lang w:val="mk-MK"/>
              </w:rPr>
              <w:t xml:space="preserve"> во РМ преку кабелски мрежи </w:t>
            </w:r>
            <w:r>
              <w:rPr>
                <w:sz w:val="22"/>
                <w:szCs w:val="22"/>
                <w:lang w:val="mk-MK"/>
              </w:rPr>
              <w:t xml:space="preserve">на </w:t>
            </w:r>
            <w:r>
              <w:rPr>
                <w:sz w:val="22"/>
                <w:szCs w:val="22"/>
                <w:lang w:val="en-US"/>
              </w:rPr>
              <w:t>DOCSIS 3.</w:t>
            </w:r>
            <w:r>
              <w:rPr>
                <w:sz w:val="22"/>
                <w:szCs w:val="22"/>
                <w:lang w:val="mk-MK"/>
              </w:rPr>
              <w:t xml:space="preserve">0 и </w:t>
            </w:r>
            <w:r>
              <w:rPr>
                <w:sz w:val="22"/>
                <w:szCs w:val="22"/>
                <w:lang w:val="en-US"/>
              </w:rPr>
              <w:t xml:space="preserve">LAN </w:t>
            </w:r>
            <w:r>
              <w:rPr>
                <w:sz w:val="22"/>
                <w:szCs w:val="22"/>
                <w:lang w:val="mk-MK"/>
              </w:rPr>
              <w:t xml:space="preserve">технологија </w:t>
            </w:r>
            <w:r w:rsidR="001C6625" w:rsidRPr="001C6625">
              <w:rPr>
                <w:sz w:val="22"/>
                <w:szCs w:val="22"/>
                <w:lang w:val="mk-MK"/>
              </w:rPr>
              <w:t xml:space="preserve">е </w:t>
            </w:r>
            <w:r>
              <w:rPr>
                <w:sz w:val="22"/>
                <w:szCs w:val="22"/>
                <w:lang w:val="mk-MK"/>
              </w:rPr>
              <w:t>зн</w:t>
            </w:r>
            <w:r w:rsidR="005D6674">
              <w:rPr>
                <w:sz w:val="22"/>
                <w:szCs w:val="22"/>
                <w:lang w:val="mk-MK"/>
              </w:rPr>
              <w:t>ачително помал од бројот на пре</w:t>
            </w:r>
            <w:r>
              <w:rPr>
                <w:sz w:val="22"/>
                <w:szCs w:val="22"/>
                <w:lang w:val="mk-MK"/>
              </w:rPr>
              <w:t>т</w:t>
            </w:r>
            <w:r w:rsidR="005D6674">
              <w:rPr>
                <w:sz w:val="22"/>
                <w:szCs w:val="22"/>
                <w:lang w:val="mk-MK"/>
              </w:rPr>
              <w:t>п</w:t>
            </w:r>
            <w:r>
              <w:rPr>
                <w:sz w:val="22"/>
                <w:szCs w:val="22"/>
                <w:lang w:val="mk-MK"/>
              </w:rPr>
              <w:t xml:space="preserve">латниците на  </w:t>
            </w:r>
            <w:r>
              <w:rPr>
                <w:sz w:val="22"/>
                <w:szCs w:val="22"/>
                <w:lang w:val="en-US"/>
              </w:rPr>
              <w:t xml:space="preserve">DOCSIS </w:t>
            </w:r>
            <w:r>
              <w:rPr>
                <w:sz w:val="22"/>
                <w:szCs w:val="22"/>
                <w:lang w:val="mk-MK"/>
              </w:rPr>
              <w:t>1.</w:t>
            </w:r>
            <w:r>
              <w:rPr>
                <w:sz w:val="22"/>
                <w:szCs w:val="22"/>
                <w:lang w:val="en-US"/>
              </w:rPr>
              <w:t>x, 2</w:t>
            </w:r>
            <w:r>
              <w:rPr>
                <w:sz w:val="22"/>
                <w:szCs w:val="22"/>
                <w:lang w:val="mk-MK"/>
              </w:rPr>
              <w:t>.0 технологија</w:t>
            </w:r>
            <w:r w:rsidR="001C6625" w:rsidRPr="001C6625">
              <w:rPr>
                <w:sz w:val="22"/>
                <w:szCs w:val="22"/>
                <w:lang w:val="mk-MK"/>
              </w:rPr>
              <w:t>, но АЕК во своите анализ</w:t>
            </w:r>
            <w:r w:rsidR="00AB45B0">
              <w:rPr>
                <w:sz w:val="22"/>
                <w:szCs w:val="22"/>
                <w:lang w:val="mk-MK"/>
              </w:rPr>
              <w:t>и</w:t>
            </w:r>
            <w:r w:rsidR="001C6625" w:rsidRPr="001C6625">
              <w:rPr>
                <w:sz w:val="22"/>
                <w:szCs w:val="22"/>
                <w:lang w:val="mk-MK"/>
              </w:rPr>
              <w:t xml:space="preserve"> го игнорира овој факт, наметнувајќи обврска за битстрим пристап</w:t>
            </w:r>
            <w:r>
              <w:rPr>
                <w:sz w:val="22"/>
                <w:szCs w:val="22"/>
                <w:lang w:val="mk-MK"/>
              </w:rPr>
              <w:t xml:space="preserve"> на ОНЕ.ВИП</w:t>
            </w:r>
            <w:r w:rsidR="001C6625" w:rsidRPr="001C6625">
              <w:rPr>
                <w:sz w:val="22"/>
                <w:szCs w:val="22"/>
                <w:lang w:val="mk-MK"/>
              </w:rPr>
              <w:t xml:space="preserve"> само за мрежи кои обезбедуваат пристап преку </w:t>
            </w:r>
            <w:r>
              <w:rPr>
                <w:sz w:val="22"/>
                <w:szCs w:val="22"/>
                <w:lang w:val="en-US"/>
              </w:rPr>
              <w:t>DOCSIS 3.</w:t>
            </w:r>
            <w:r>
              <w:rPr>
                <w:sz w:val="22"/>
                <w:szCs w:val="22"/>
                <w:lang w:val="mk-MK"/>
              </w:rPr>
              <w:t xml:space="preserve">0 и </w:t>
            </w:r>
            <w:r>
              <w:rPr>
                <w:sz w:val="22"/>
                <w:szCs w:val="22"/>
                <w:lang w:val="en-US"/>
              </w:rPr>
              <w:t xml:space="preserve">LAN </w:t>
            </w:r>
            <w:r>
              <w:rPr>
                <w:sz w:val="22"/>
                <w:szCs w:val="22"/>
                <w:lang w:val="mk-MK"/>
              </w:rPr>
              <w:t>технологија</w:t>
            </w:r>
            <w:r w:rsidR="001C6625" w:rsidRPr="001C6625">
              <w:rPr>
                <w:sz w:val="22"/>
                <w:szCs w:val="22"/>
                <w:lang w:val="mk-MK"/>
              </w:rPr>
              <w:t xml:space="preserve">, што во суштина значи дека обврски се наметнуваат само на еден </w:t>
            </w:r>
            <w:r>
              <w:rPr>
                <w:sz w:val="22"/>
                <w:szCs w:val="22"/>
                <w:lang w:val="mk-MK"/>
              </w:rPr>
              <w:t>помал дел од</w:t>
            </w:r>
            <w:r w:rsidR="001C6625" w:rsidRPr="001C6625">
              <w:rPr>
                <w:sz w:val="22"/>
                <w:szCs w:val="22"/>
                <w:lang w:val="mk-MK"/>
              </w:rPr>
              <w:t xml:space="preserve"> </w:t>
            </w:r>
            <w:r>
              <w:rPr>
                <w:sz w:val="22"/>
                <w:szCs w:val="22"/>
                <w:lang w:val="mk-MK"/>
              </w:rPr>
              <w:t xml:space="preserve">кабелската мрежа во сопственост на ОНЕ.ВИП, односно само </w:t>
            </w:r>
            <w:r w:rsidR="005D6674">
              <w:rPr>
                <w:sz w:val="22"/>
                <w:szCs w:val="22"/>
                <w:lang w:val="mk-MK"/>
              </w:rPr>
              <w:t>з</w:t>
            </w:r>
            <w:r>
              <w:rPr>
                <w:sz w:val="22"/>
                <w:szCs w:val="22"/>
                <w:lang w:val="mk-MK"/>
              </w:rPr>
              <w:t>а напредните генерации на мрежи (</w:t>
            </w:r>
            <w:r>
              <w:rPr>
                <w:sz w:val="22"/>
                <w:szCs w:val="22"/>
                <w:lang w:val="en-US"/>
              </w:rPr>
              <w:t xml:space="preserve">NGN </w:t>
            </w:r>
            <w:r>
              <w:rPr>
                <w:sz w:val="22"/>
                <w:szCs w:val="22"/>
                <w:lang w:val="mk-MK"/>
              </w:rPr>
              <w:t>мрежи)</w:t>
            </w:r>
            <w:r w:rsidR="00BA06E3">
              <w:rPr>
                <w:sz w:val="22"/>
                <w:szCs w:val="22"/>
                <w:lang w:val="mk-MK"/>
              </w:rPr>
              <w:t>,</w:t>
            </w:r>
            <w:r w:rsidR="00E52396">
              <w:rPr>
                <w:sz w:val="22"/>
                <w:szCs w:val="22"/>
                <w:lang w:val="mk-MK"/>
              </w:rPr>
              <w:t xml:space="preserve"> при што е нарушен принципот на технолошка неутралност.</w:t>
            </w:r>
          </w:p>
          <w:p w:rsidR="00405F4C" w:rsidRPr="00060832" w:rsidRDefault="00405F4C">
            <w:pPr>
              <w:rPr>
                <w:sz w:val="22"/>
                <w:szCs w:val="22"/>
                <w:lang w:val="en-US"/>
              </w:rPr>
            </w:pPr>
          </w:p>
          <w:p w:rsidR="00E52396" w:rsidRDefault="003076D6" w:rsidP="00E52396">
            <w:pPr>
              <w:rPr>
                <w:sz w:val="22"/>
                <w:szCs w:val="22"/>
                <w:lang w:val="mk-MK"/>
              </w:rPr>
            </w:pPr>
            <w:r w:rsidRPr="003076D6">
              <w:rPr>
                <w:sz w:val="22"/>
                <w:szCs w:val="22"/>
                <w:lang w:val="mk-MK"/>
              </w:rPr>
              <w:t xml:space="preserve">МКТ смета дека треба да се понудат сите пристапни технологии на регулираните оператори за препродажба на битстрим пристап, имено и </w:t>
            </w:r>
            <w:r w:rsidRPr="003076D6">
              <w:rPr>
                <w:sz w:val="22"/>
                <w:szCs w:val="22"/>
                <w:lang w:val="en-US"/>
              </w:rPr>
              <w:t xml:space="preserve">ADSL, FTTH, DOCSIS 2, DOCSIS 3, LAN, Canopy </w:t>
            </w:r>
            <w:r w:rsidRPr="003076D6">
              <w:rPr>
                <w:sz w:val="22"/>
                <w:szCs w:val="22"/>
                <w:lang w:val="mk-MK"/>
              </w:rPr>
              <w:t>и</w:t>
            </w:r>
            <w:r w:rsidR="005D6674">
              <w:rPr>
                <w:sz w:val="22"/>
                <w:szCs w:val="22"/>
                <w:lang w:val="mk-MK"/>
              </w:rPr>
              <w:t xml:space="preserve"> други доколку постојат, з</w:t>
            </w:r>
            <w:r w:rsidRPr="003076D6">
              <w:rPr>
                <w:sz w:val="22"/>
                <w:szCs w:val="22"/>
                <w:lang w:val="mk-MK"/>
              </w:rPr>
              <w:t xml:space="preserve">аради принципот на технолошка неутралност, кој е застапен </w:t>
            </w:r>
            <w:r w:rsidR="00E52396">
              <w:rPr>
                <w:sz w:val="22"/>
                <w:szCs w:val="22"/>
                <w:lang w:val="mk-MK"/>
              </w:rPr>
              <w:t>при</w:t>
            </w:r>
            <w:r w:rsidRPr="003076D6">
              <w:rPr>
                <w:sz w:val="22"/>
                <w:szCs w:val="22"/>
                <w:lang w:val="mk-MK"/>
              </w:rPr>
              <w:t xml:space="preserve"> регулацијата наметната на МКТ, односно МКТ е регулиран и за бакарна пристапна мрежа и за оптичка пристапна мрежа</w:t>
            </w:r>
            <w:r w:rsidR="005D6674">
              <w:rPr>
                <w:sz w:val="22"/>
                <w:szCs w:val="22"/>
                <w:lang w:val="mk-MK"/>
              </w:rPr>
              <w:t>. Во оваа насока,</w:t>
            </w:r>
            <w:r w:rsidRPr="003076D6">
              <w:rPr>
                <w:sz w:val="22"/>
                <w:szCs w:val="22"/>
                <w:lang w:val="mk-MK"/>
              </w:rPr>
              <w:t xml:space="preserve"> сметаме дека и ОНЕ.ВИП треба да биде регулиран на сите видови на пристапни мрежи</w:t>
            </w:r>
            <w:r w:rsidR="005D6674" w:rsidRPr="001C6625">
              <w:rPr>
                <w:sz w:val="22"/>
                <w:szCs w:val="22"/>
                <w:lang w:val="mk-MK"/>
              </w:rPr>
              <w:t xml:space="preserve"> за услуги со широк опсег</w:t>
            </w:r>
            <w:r w:rsidRPr="003076D6">
              <w:rPr>
                <w:sz w:val="22"/>
                <w:szCs w:val="22"/>
                <w:lang w:val="mk-MK"/>
              </w:rPr>
              <w:t xml:space="preserve"> кои ги поседува, а особено е важн</w:t>
            </w:r>
            <w:r w:rsidR="005D6674">
              <w:rPr>
                <w:sz w:val="22"/>
                <w:szCs w:val="22"/>
                <w:lang w:val="mk-MK"/>
              </w:rPr>
              <w:t>а регулацијата</w:t>
            </w:r>
            <w:r w:rsidRPr="003076D6">
              <w:rPr>
                <w:sz w:val="22"/>
                <w:szCs w:val="22"/>
                <w:lang w:val="mk-MK"/>
              </w:rPr>
              <w:t xml:space="preserve"> во делот на препродажба на битстрим услуга</w:t>
            </w:r>
            <w:r w:rsidR="00E52396">
              <w:rPr>
                <w:sz w:val="22"/>
                <w:szCs w:val="22"/>
                <w:lang w:val="mk-MK"/>
              </w:rPr>
              <w:t xml:space="preserve">, односно обврските кои му се наметнуваат на ОНЕ.ВИП треба да бидат проширени и да важат и за </w:t>
            </w:r>
            <w:r w:rsidR="00E52396">
              <w:rPr>
                <w:sz w:val="22"/>
                <w:szCs w:val="22"/>
                <w:lang w:val="en-US"/>
              </w:rPr>
              <w:t xml:space="preserve">DOCSIS </w:t>
            </w:r>
            <w:r w:rsidR="00E52396">
              <w:rPr>
                <w:sz w:val="22"/>
                <w:szCs w:val="22"/>
                <w:lang w:val="mk-MK"/>
              </w:rPr>
              <w:t>1.</w:t>
            </w:r>
            <w:r w:rsidR="00E52396">
              <w:rPr>
                <w:sz w:val="22"/>
                <w:szCs w:val="22"/>
                <w:lang w:val="en-US"/>
              </w:rPr>
              <w:t>x, 2</w:t>
            </w:r>
            <w:r w:rsidR="00E52396">
              <w:rPr>
                <w:sz w:val="22"/>
                <w:szCs w:val="22"/>
                <w:lang w:val="mk-MK"/>
              </w:rPr>
              <w:t>.0 мрежата на овој оператор, односно составен дел од обврските наметнати од АЕК во предлог Одлуката за определување на операторот со значителна пазарна моќ ОНЕ.ВИП на релевантиот пазар за</w:t>
            </w:r>
            <w:r w:rsidR="00E52396" w:rsidRPr="00212178">
              <w:rPr>
                <w:sz w:val="22"/>
                <w:szCs w:val="22"/>
                <w:lang w:val="mk-MK"/>
              </w:rPr>
              <w:t xml:space="preserve"> големопродажен централен пристап обезбеден на фиксна локација за производи за широка потрошувачка</w:t>
            </w:r>
            <w:r w:rsidR="00E52396">
              <w:rPr>
                <w:sz w:val="22"/>
                <w:szCs w:val="22"/>
                <w:lang w:val="mk-MK"/>
              </w:rPr>
              <w:t xml:space="preserve">. </w:t>
            </w:r>
          </w:p>
          <w:p w:rsidR="00DC64CB" w:rsidRDefault="00DC64CB" w:rsidP="00E52396">
            <w:pPr>
              <w:rPr>
                <w:sz w:val="22"/>
                <w:szCs w:val="22"/>
                <w:lang w:val="mk-MK"/>
              </w:rPr>
            </w:pPr>
          </w:p>
          <w:p w:rsidR="00B8004B" w:rsidRDefault="00DC64CB" w:rsidP="00E52396">
            <w:pPr>
              <w:rPr>
                <w:i/>
                <w:color w:val="FF0000"/>
                <w:sz w:val="22"/>
                <w:szCs w:val="22"/>
                <w:lang w:val="mk-MK"/>
              </w:rPr>
            </w:pPr>
            <w:r>
              <w:rPr>
                <w:i/>
                <w:color w:val="FF0000"/>
                <w:sz w:val="22"/>
                <w:szCs w:val="22"/>
                <w:lang w:val="mk-MK"/>
              </w:rPr>
              <w:t xml:space="preserve">Одговор 1: </w:t>
            </w:r>
            <w:r w:rsidR="00B8004B">
              <w:rPr>
                <w:i/>
                <w:color w:val="FF0000"/>
                <w:sz w:val="22"/>
                <w:szCs w:val="22"/>
                <w:lang w:val="mk-MK"/>
              </w:rPr>
              <w:t>Коментарот не се прифаќа.</w:t>
            </w:r>
          </w:p>
          <w:p w:rsidR="00DC64CB" w:rsidRPr="00DC64CB" w:rsidRDefault="00DC64CB" w:rsidP="00E52396">
            <w:pPr>
              <w:rPr>
                <w:i/>
                <w:color w:val="FF0000"/>
                <w:sz w:val="22"/>
                <w:szCs w:val="22"/>
                <w:lang w:val="mk-MK"/>
              </w:rPr>
            </w:pPr>
            <w:r>
              <w:rPr>
                <w:i/>
                <w:color w:val="FF0000"/>
                <w:sz w:val="22"/>
                <w:szCs w:val="22"/>
                <w:lang w:val="mk-MK"/>
              </w:rPr>
              <w:t xml:space="preserve">АЕК предлага регулација на пристапот до </w:t>
            </w:r>
            <w:r>
              <w:rPr>
                <w:i/>
                <w:color w:val="FF0000"/>
                <w:sz w:val="22"/>
                <w:szCs w:val="22"/>
              </w:rPr>
              <w:t>HFC</w:t>
            </w:r>
            <w:r>
              <w:rPr>
                <w:i/>
                <w:color w:val="FF0000"/>
                <w:sz w:val="22"/>
                <w:szCs w:val="22"/>
                <w:lang w:val="en-US"/>
              </w:rPr>
              <w:t xml:space="preserve"> </w:t>
            </w:r>
            <w:r>
              <w:rPr>
                <w:i/>
                <w:color w:val="FF0000"/>
                <w:sz w:val="22"/>
                <w:szCs w:val="22"/>
                <w:lang w:val="mk-MK"/>
              </w:rPr>
              <w:t xml:space="preserve">кабелската мрежна инфратруктура со примена на </w:t>
            </w:r>
            <w:r>
              <w:rPr>
                <w:i/>
                <w:color w:val="FF0000"/>
                <w:sz w:val="22"/>
                <w:szCs w:val="22"/>
              </w:rPr>
              <w:t xml:space="preserve">DOCSIS </w:t>
            </w:r>
            <w:r>
              <w:rPr>
                <w:i/>
                <w:color w:val="FF0000"/>
                <w:sz w:val="22"/>
                <w:szCs w:val="22"/>
                <w:lang w:val="mk-MK"/>
              </w:rPr>
              <w:t>3.0 стандардот токму поради фактот што целта е да се обезбеди големопродажна услуга за пр</w:t>
            </w:r>
            <w:r w:rsidR="000C2AC3">
              <w:rPr>
                <w:i/>
                <w:color w:val="FF0000"/>
                <w:sz w:val="22"/>
                <w:szCs w:val="22"/>
                <w:lang w:val="mk-MK"/>
              </w:rPr>
              <w:t xml:space="preserve">истап до мрежна инфраструктура </w:t>
            </w:r>
            <w:r>
              <w:rPr>
                <w:i/>
                <w:color w:val="FF0000"/>
                <w:sz w:val="22"/>
                <w:szCs w:val="22"/>
                <w:lang w:val="mk-MK"/>
              </w:rPr>
              <w:t>о</w:t>
            </w:r>
            <w:r w:rsidR="000C2AC3">
              <w:rPr>
                <w:i/>
                <w:color w:val="FF0000"/>
                <w:sz w:val="22"/>
                <w:szCs w:val="22"/>
                <w:lang w:val="mk-MK"/>
              </w:rPr>
              <w:t>д</w:t>
            </w:r>
            <w:r>
              <w:rPr>
                <w:i/>
                <w:color w:val="FF0000"/>
                <w:sz w:val="22"/>
                <w:szCs w:val="22"/>
                <w:lang w:val="mk-MK"/>
              </w:rPr>
              <w:t xml:space="preserve"> следни генерации, преку која другите постојни или нови оператори би обе</w:t>
            </w:r>
            <w:r w:rsidR="000C2AC3">
              <w:rPr>
                <w:i/>
                <w:color w:val="FF0000"/>
                <w:sz w:val="22"/>
                <w:szCs w:val="22"/>
                <w:lang w:val="mk-MK"/>
              </w:rPr>
              <w:t>з</w:t>
            </w:r>
            <w:r>
              <w:rPr>
                <w:i/>
                <w:color w:val="FF0000"/>
                <w:sz w:val="22"/>
                <w:szCs w:val="22"/>
                <w:lang w:val="mk-MK"/>
              </w:rPr>
              <w:t xml:space="preserve">бедувале услуги до крајните корисници. Бакарната мрежа на операторот Македонски Телеком АД е регулирана од поодамна уште пред да отпочне изградба на мрежна инфраструктура од следна генерација. Бакарната мрежа била </w:t>
            </w:r>
            <w:r w:rsidR="000C2AC3">
              <w:rPr>
                <w:i/>
                <w:color w:val="FF0000"/>
                <w:sz w:val="22"/>
                <w:szCs w:val="22"/>
                <w:lang w:val="mk-MK"/>
              </w:rPr>
              <w:t xml:space="preserve"> единствена инфраструктура и </w:t>
            </w:r>
            <w:r>
              <w:rPr>
                <w:i/>
                <w:color w:val="FF0000"/>
                <w:sz w:val="22"/>
                <w:szCs w:val="22"/>
                <w:lang w:val="mk-MK"/>
              </w:rPr>
              <w:t xml:space="preserve">доминантна инфраструктура, во еден период и добро познати се причините зошто истата била и сеуште во моментот е регулирана. </w:t>
            </w:r>
          </w:p>
          <w:p w:rsidR="00405F4C" w:rsidRDefault="00405F4C">
            <w:pPr>
              <w:rPr>
                <w:sz w:val="22"/>
                <w:szCs w:val="22"/>
                <w:lang w:val="mk-MK"/>
              </w:rPr>
            </w:pPr>
          </w:p>
          <w:p w:rsidR="00405F4C" w:rsidRDefault="005D6674">
            <w:pPr>
              <w:rPr>
                <w:sz w:val="22"/>
                <w:szCs w:val="22"/>
                <w:lang w:val="mk-MK"/>
              </w:rPr>
            </w:pPr>
            <w:r w:rsidRPr="00280376">
              <w:rPr>
                <w:sz w:val="22"/>
                <w:szCs w:val="22"/>
                <w:lang w:val="mk-MK"/>
              </w:rPr>
              <w:t>Во точката 3.4.1.1 од Нацрт анализата стои дека операторот АССЕКО</w:t>
            </w:r>
            <w:r w:rsidR="003076D6" w:rsidRPr="00280376">
              <w:rPr>
                <w:sz w:val="22"/>
                <w:szCs w:val="22"/>
                <w:lang w:val="en-US"/>
              </w:rPr>
              <w:t xml:space="preserve"> </w:t>
            </w:r>
            <w:r w:rsidR="00280376" w:rsidRPr="00280376">
              <w:rPr>
                <w:sz w:val="22"/>
                <w:szCs w:val="22"/>
                <w:lang w:val="mk-MK"/>
              </w:rPr>
              <w:t xml:space="preserve">СЕЕ ДООЕЛ Скопје </w:t>
            </w:r>
            <w:r w:rsidRPr="00280376">
              <w:rPr>
                <w:sz w:val="22"/>
                <w:szCs w:val="22"/>
                <w:lang w:val="mk-MK"/>
              </w:rPr>
              <w:t xml:space="preserve">користи </w:t>
            </w:r>
            <w:r w:rsidRPr="00280376">
              <w:rPr>
                <w:sz w:val="22"/>
                <w:szCs w:val="22"/>
                <w:lang w:val="mk-MK"/>
              </w:rPr>
              <w:lastRenderedPageBreak/>
              <w:t xml:space="preserve">битстрим пристап од </w:t>
            </w:r>
            <w:r w:rsidR="003076D6" w:rsidRPr="00280376">
              <w:rPr>
                <w:sz w:val="22"/>
                <w:szCs w:val="22"/>
                <w:lang w:val="en-US"/>
              </w:rPr>
              <w:t>MKT</w:t>
            </w:r>
            <w:r w:rsidRPr="00280376">
              <w:rPr>
                <w:sz w:val="22"/>
                <w:szCs w:val="22"/>
                <w:lang w:val="mk-MK"/>
              </w:rPr>
              <w:t>. Сакаме да потенцираме дека овој оператор нема големопродажен договор за битстрим пристап со МКТ</w:t>
            </w:r>
            <w:r w:rsidR="00D771AE">
              <w:rPr>
                <w:sz w:val="22"/>
                <w:szCs w:val="22"/>
                <w:lang w:val="en-US"/>
              </w:rPr>
              <w:t xml:space="preserve"> </w:t>
            </w:r>
            <w:r w:rsidRPr="00280376">
              <w:rPr>
                <w:sz w:val="22"/>
                <w:szCs w:val="22"/>
                <w:lang w:val="mk-MK"/>
              </w:rPr>
              <w:t xml:space="preserve">и сметаме дека е ова некоја техничка грешка, која треба да се корегира.  </w:t>
            </w:r>
          </w:p>
          <w:p w:rsidR="00B45BA8" w:rsidRDefault="00B45BA8">
            <w:pPr>
              <w:rPr>
                <w:sz w:val="22"/>
                <w:szCs w:val="22"/>
                <w:lang w:val="mk-MK"/>
              </w:rPr>
            </w:pPr>
          </w:p>
          <w:p w:rsidR="00B45BA8" w:rsidRPr="00B45BA8" w:rsidRDefault="00B45BA8">
            <w:pPr>
              <w:rPr>
                <w:i/>
                <w:color w:val="FF0000"/>
                <w:sz w:val="22"/>
                <w:szCs w:val="22"/>
                <w:lang w:val="mk-MK"/>
              </w:rPr>
            </w:pPr>
            <w:r w:rsidRPr="00B45BA8">
              <w:rPr>
                <w:i/>
                <w:color w:val="FF0000"/>
                <w:sz w:val="22"/>
                <w:szCs w:val="22"/>
                <w:lang w:val="mk-MK"/>
              </w:rPr>
              <w:t>Одговор</w:t>
            </w:r>
            <w:r w:rsidR="00CE5BFE">
              <w:rPr>
                <w:i/>
                <w:color w:val="FF0000"/>
                <w:sz w:val="22"/>
                <w:szCs w:val="22"/>
                <w:lang w:val="mk-MK"/>
              </w:rPr>
              <w:t xml:space="preserve"> 2</w:t>
            </w:r>
            <w:r w:rsidRPr="00B45BA8">
              <w:rPr>
                <w:i/>
                <w:color w:val="FF0000"/>
                <w:sz w:val="22"/>
                <w:szCs w:val="22"/>
                <w:lang w:val="mk-MK"/>
              </w:rPr>
              <w:t>: Коментарот за операторот  АССЕКО</w:t>
            </w:r>
            <w:r w:rsidRPr="00B45BA8">
              <w:rPr>
                <w:i/>
                <w:color w:val="FF0000"/>
                <w:sz w:val="22"/>
                <w:szCs w:val="22"/>
                <w:lang w:val="en-US"/>
              </w:rPr>
              <w:t xml:space="preserve"> </w:t>
            </w:r>
            <w:r w:rsidRPr="00B45BA8">
              <w:rPr>
                <w:i/>
                <w:color w:val="FF0000"/>
                <w:sz w:val="22"/>
                <w:szCs w:val="22"/>
                <w:lang w:val="mk-MK"/>
              </w:rPr>
              <w:t>СЕЕ ДООЕЛ Скопје се прифаќа и во текстот</w:t>
            </w:r>
            <w:r>
              <w:rPr>
                <w:i/>
                <w:color w:val="FF0000"/>
                <w:sz w:val="22"/>
                <w:szCs w:val="22"/>
                <w:lang w:val="mk-MK"/>
              </w:rPr>
              <w:t xml:space="preserve"> на Финалниот документ од анализата</w:t>
            </w:r>
            <w:r w:rsidRPr="00B45BA8">
              <w:rPr>
                <w:i/>
                <w:color w:val="FF0000"/>
                <w:sz w:val="22"/>
                <w:szCs w:val="22"/>
                <w:lang w:val="mk-MK"/>
              </w:rPr>
              <w:t xml:space="preserve">  оваа информација ќе биде отстранета.</w:t>
            </w:r>
          </w:p>
          <w:p w:rsidR="00405F4C" w:rsidRDefault="00405F4C">
            <w:pPr>
              <w:rPr>
                <w:color w:val="FF0000"/>
                <w:sz w:val="22"/>
                <w:szCs w:val="22"/>
                <w:lang w:val="mk-MK"/>
              </w:rPr>
            </w:pPr>
          </w:p>
          <w:p w:rsidR="00405F4C" w:rsidRDefault="00806C1A">
            <w:pPr>
              <w:rPr>
                <w:sz w:val="22"/>
                <w:szCs w:val="22"/>
                <w:lang w:val="mk-MK"/>
              </w:rPr>
            </w:pPr>
            <w:r w:rsidRPr="00C479ED">
              <w:rPr>
                <w:sz w:val="22"/>
                <w:szCs w:val="22"/>
                <w:lang w:val="mk-MK"/>
              </w:rPr>
              <w:t xml:space="preserve">Исто така во </w:t>
            </w:r>
            <w:r w:rsidR="00E007B7">
              <w:rPr>
                <w:sz w:val="22"/>
                <w:szCs w:val="22"/>
                <w:lang w:val="mk-MK"/>
              </w:rPr>
              <w:t xml:space="preserve">точка 3 од Анализата, во </w:t>
            </w:r>
            <w:r w:rsidRPr="00C479ED">
              <w:rPr>
                <w:sz w:val="22"/>
                <w:szCs w:val="22"/>
                <w:lang w:val="mk-MK"/>
              </w:rPr>
              <w:t xml:space="preserve">Графикон 2 </w:t>
            </w:r>
            <w:r w:rsidR="00D771AE">
              <w:rPr>
                <w:sz w:val="22"/>
                <w:szCs w:val="22"/>
                <w:lang w:val="en-US"/>
              </w:rPr>
              <w:t xml:space="preserve">- </w:t>
            </w:r>
            <w:r w:rsidRPr="00C479ED">
              <w:rPr>
                <w:sz w:val="22"/>
                <w:szCs w:val="22"/>
                <w:lang w:val="mk-MK"/>
              </w:rPr>
              <w:t xml:space="preserve">Поделба на претплатниците на широкопојасен пристап на интернет според видот на </w:t>
            </w:r>
            <w:r w:rsidRPr="00E007B7">
              <w:rPr>
                <w:sz w:val="22"/>
                <w:szCs w:val="22"/>
                <w:lang w:val="mk-MK"/>
              </w:rPr>
              <w:t>технологии</w:t>
            </w:r>
            <w:r w:rsidR="00746AAA">
              <w:rPr>
                <w:sz w:val="22"/>
                <w:szCs w:val="22"/>
                <w:lang w:val="mk-MK"/>
              </w:rPr>
              <w:t>,</w:t>
            </w:r>
            <w:r w:rsidRPr="00E007B7">
              <w:rPr>
                <w:sz w:val="22"/>
                <w:szCs w:val="22"/>
                <w:lang w:val="en-US"/>
              </w:rPr>
              <w:t xml:space="preserve"> </w:t>
            </w:r>
            <w:r w:rsidR="00E007B7" w:rsidRPr="00E007B7">
              <w:rPr>
                <w:sz w:val="22"/>
                <w:szCs w:val="22"/>
                <w:lang w:val="mk-MK"/>
              </w:rPr>
              <w:t xml:space="preserve">пазарниот удел на </w:t>
            </w:r>
            <w:r w:rsidR="003076D6" w:rsidRPr="00E007B7">
              <w:rPr>
                <w:sz w:val="22"/>
                <w:szCs w:val="22"/>
                <w:lang w:val="en-US"/>
              </w:rPr>
              <w:t>FTTH</w:t>
            </w:r>
            <w:r w:rsidR="00E007B7" w:rsidRPr="00E007B7">
              <w:rPr>
                <w:sz w:val="22"/>
                <w:szCs w:val="22"/>
                <w:lang w:val="mk-MK"/>
              </w:rPr>
              <w:t xml:space="preserve"> технологијата е многу низок за четвртиот квартал од </w:t>
            </w:r>
            <w:r w:rsidR="003076D6" w:rsidRPr="00E007B7">
              <w:rPr>
                <w:sz w:val="22"/>
                <w:szCs w:val="22"/>
                <w:lang w:val="en-US"/>
              </w:rPr>
              <w:t>2014</w:t>
            </w:r>
            <w:r w:rsidR="00E007B7" w:rsidRPr="00E007B7">
              <w:rPr>
                <w:sz w:val="22"/>
                <w:szCs w:val="22"/>
                <w:lang w:val="mk-MK"/>
              </w:rPr>
              <w:t xml:space="preserve"> година</w:t>
            </w:r>
            <w:r w:rsidR="00E007B7">
              <w:rPr>
                <w:sz w:val="22"/>
                <w:szCs w:val="22"/>
                <w:lang w:val="mk-MK"/>
              </w:rPr>
              <w:t xml:space="preserve">, додека во </w:t>
            </w:r>
            <w:r w:rsidR="00E007B7">
              <w:rPr>
                <w:sz w:val="22"/>
                <w:szCs w:val="22"/>
                <w:lang w:val="en-US"/>
              </w:rPr>
              <w:t xml:space="preserve">ADSL </w:t>
            </w:r>
            <w:r w:rsidR="00E007B7">
              <w:rPr>
                <w:sz w:val="22"/>
                <w:szCs w:val="22"/>
                <w:lang w:val="mk-MK"/>
              </w:rPr>
              <w:t xml:space="preserve">технологијата има малку повеќе претплатници за истиот тој квартал, односно </w:t>
            </w:r>
            <w:r w:rsidR="00746AAA">
              <w:rPr>
                <w:sz w:val="22"/>
                <w:szCs w:val="22"/>
                <w:lang w:val="mk-MK"/>
              </w:rPr>
              <w:t xml:space="preserve">графиконот </w:t>
            </w:r>
            <w:r w:rsidR="00E007B7">
              <w:rPr>
                <w:sz w:val="22"/>
                <w:szCs w:val="22"/>
                <w:lang w:val="mk-MK"/>
              </w:rPr>
              <w:t xml:space="preserve">има врв во овој квартал. Согласно Извештајот на АЕК за развојот на електронските комуникации за </w:t>
            </w:r>
            <w:r w:rsidR="00E007B7" w:rsidRPr="00E007B7">
              <w:rPr>
                <w:sz w:val="22"/>
                <w:szCs w:val="22"/>
                <w:lang w:val="mk-MK"/>
              </w:rPr>
              <w:t xml:space="preserve">четвртиот квартал од </w:t>
            </w:r>
            <w:r w:rsidR="00E007B7" w:rsidRPr="00E007B7">
              <w:rPr>
                <w:sz w:val="22"/>
                <w:szCs w:val="22"/>
                <w:lang w:val="en-US"/>
              </w:rPr>
              <w:t>2014</w:t>
            </w:r>
            <w:r w:rsidR="00E007B7" w:rsidRPr="00E007B7">
              <w:rPr>
                <w:sz w:val="22"/>
                <w:szCs w:val="22"/>
                <w:lang w:val="mk-MK"/>
              </w:rPr>
              <w:t xml:space="preserve"> година</w:t>
            </w:r>
            <w:r w:rsidR="00E007B7">
              <w:rPr>
                <w:sz w:val="22"/>
                <w:szCs w:val="22"/>
                <w:lang w:val="mk-MK"/>
              </w:rPr>
              <w:t xml:space="preserve">, бројот на претплатници на пристап до интернет преку оптичка мрежа е 15.208, </w:t>
            </w:r>
            <w:r w:rsidR="00D771AE">
              <w:rPr>
                <w:sz w:val="22"/>
                <w:szCs w:val="22"/>
                <w:lang w:val="mk-MK"/>
              </w:rPr>
              <w:t xml:space="preserve">и бројот на </w:t>
            </w:r>
            <w:r w:rsidR="00D771AE">
              <w:rPr>
                <w:sz w:val="22"/>
                <w:szCs w:val="22"/>
                <w:lang w:val="en-US"/>
              </w:rPr>
              <w:t>ADSL</w:t>
            </w:r>
            <w:r w:rsidR="00D771AE">
              <w:rPr>
                <w:sz w:val="22"/>
                <w:szCs w:val="22"/>
                <w:lang w:val="mk-MK"/>
              </w:rPr>
              <w:t xml:space="preserve"> претплатници е 168.203, </w:t>
            </w:r>
            <w:r w:rsidR="00E007B7">
              <w:rPr>
                <w:sz w:val="22"/>
                <w:szCs w:val="22"/>
                <w:lang w:val="mk-MK"/>
              </w:rPr>
              <w:t xml:space="preserve">што не соодветствува на прикажаното во овој графикон број 2 од анализата. </w:t>
            </w:r>
          </w:p>
          <w:p w:rsidR="00405F4C" w:rsidRDefault="00405F4C">
            <w:pPr>
              <w:rPr>
                <w:sz w:val="22"/>
                <w:szCs w:val="22"/>
                <w:lang w:val="mk-MK"/>
              </w:rPr>
            </w:pPr>
          </w:p>
          <w:p w:rsidR="00405F4C" w:rsidRDefault="00B35A98">
            <w:pPr>
              <w:rPr>
                <w:sz w:val="22"/>
                <w:szCs w:val="22"/>
                <w:lang w:val="mk-MK"/>
              </w:rPr>
            </w:pPr>
            <w:r>
              <w:rPr>
                <w:rFonts w:cs="Tele-GroteskNor"/>
                <w:b/>
                <w:noProof/>
                <w:spacing w:val="2"/>
                <w:sz w:val="22"/>
                <w:szCs w:val="22"/>
                <w:lang w:val="mk-MK" w:eastAsia="mk-MK"/>
              </w:rPr>
              <mc:AlternateContent>
                <mc:Choice Requires="wps">
                  <w:drawing>
                    <wp:anchor distT="0" distB="0" distL="114300" distR="114300" simplePos="0" relativeHeight="251661312" behindDoc="0" locked="0" layoutInCell="1" allowOverlap="1">
                      <wp:simplePos x="0" y="0"/>
                      <wp:positionH relativeFrom="column">
                        <wp:posOffset>2884805</wp:posOffset>
                      </wp:positionH>
                      <wp:positionV relativeFrom="paragraph">
                        <wp:posOffset>2034540</wp:posOffset>
                      </wp:positionV>
                      <wp:extent cx="302895" cy="79375"/>
                      <wp:effectExtent l="36830" t="15240" r="12700" b="6731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7937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27.15pt;margin-top:160.2pt;width:23.85pt;height:6.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BPQAIAAGs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" strokecolor="red" strokeweight="1.5pt">
                      <v:stroke endarrow="block"/>
                    </v:shape>
                  </w:pict>
                </mc:Fallback>
              </mc:AlternateContent>
            </w:r>
            <w:r>
              <w:rPr>
                <w:rFonts w:cs="Tele-GroteskNor"/>
                <w:b/>
                <w:noProof/>
                <w:spacing w:val="2"/>
                <w:sz w:val="22"/>
                <w:szCs w:val="22"/>
                <w:lang w:val="mk-MK" w:eastAsia="mk-MK"/>
              </w:rPr>
              <mc:AlternateContent>
                <mc:Choice Requires="wps">
                  <w:drawing>
                    <wp:anchor distT="0" distB="0" distL="114300" distR="114300" simplePos="0" relativeHeight="251660288" behindDoc="0" locked="0" layoutInCell="1" allowOverlap="1">
                      <wp:simplePos x="0" y="0"/>
                      <wp:positionH relativeFrom="column">
                        <wp:posOffset>1070610</wp:posOffset>
                      </wp:positionH>
                      <wp:positionV relativeFrom="paragraph">
                        <wp:posOffset>261620</wp:posOffset>
                      </wp:positionV>
                      <wp:extent cx="302895" cy="79375"/>
                      <wp:effectExtent l="32385" t="13970" r="17145" b="590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7937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4.3pt;margin-top:20.6pt;width:23.85pt;height:6.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" strokecolor="red" strokeweight="1.5pt">
                      <v:stroke endarrow="block"/>
                    </v:shape>
                  </w:pict>
                </mc:Fallback>
              </mc:AlternateContent>
            </w:r>
            <w:r>
              <w:rPr>
                <w:rFonts w:cs="Tele-GroteskNor"/>
                <w:b/>
                <w:noProof/>
                <w:spacing w:val="2"/>
                <w:sz w:val="22"/>
                <w:szCs w:val="22"/>
                <w:lang w:val="mk-MK" w:eastAsia="mk-MK"/>
              </w:rPr>
              <mc:AlternateContent>
                <mc:Choice Requires="wps">
                  <w:drawing>
                    <wp:anchor distT="0" distB="0" distL="114300" distR="114300" simplePos="0" relativeHeight="251659264" behindDoc="0" locked="0" layoutInCell="1" allowOverlap="1">
                      <wp:simplePos x="0" y="0"/>
                      <wp:positionH relativeFrom="column">
                        <wp:posOffset>887730</wp:posOffset>
                      </wp:positionH>
                      <wp:positionV relativeFrom="paragraph">
                        <wp:posOffset>213995</wp:posOffset>
                      </wp:positionV>
                      <wp:extent cx="182880" cy="317500"/>
                      <wp:effectExtent l="11430" t="13970" r="15240" b="1143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175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69.9pt;margin-top:16.85pt;width:14.4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" filled="f" strokecolor="red" strokeweight="1.5pt">
                      <v:fill opacity="0"/>
                    </v:oval>
                  </w:pict>
                </mc:Fallback>
              </mc:AlternateContent>
            </w:r>
            <w:r>
              <w:rPr>
                <w:noProof/>
                <w:lang w:val="mk-MK" w:eastAsia="mk-MK"/>
              </w:rPr>
              <mc:AlternateContent>
                <mc:Choice Requires="wps">
                  <w:drawing>
                    <wp:anchor distT="0" distB="0" distL="114300" distR="114300" simplePos="0" relativeHeight="251658240" behindDoc="0" locked="0" layoutInCell="1" allowOverlap="1">
                      <wp:simplePos x="0" y="0"/>
                      <wp:positionH relativeFrom="column">
                        <wp:posOffset>2787650</wp:posOffset>
                      </wp:positionH>
                      <wp:positionV relativeFrom="paragraph">
                        <wp:posOffset>2169160</wp:posOffset>
                      </wp:positionV>
                      <wp:extent cx="182880" cy="317500"/>
                      <wp:effectExtent l="15875" t="16510" r="10795" b="1841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175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19.5pt;margin-top:170.8pt;width:14.4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" filled="f" strokecolor="red" strokeweight="1.5pt">
                      <v:fill opacity="0"/>
                    </v:oval>
                  </w:pict>
                </mc:Fallback>
              </mc:AlternateContent>
            </w:r>
            <w:r w:rsidR="00E007B7">
              <w:object w:dxaOrig="11070" w:dyaOrig="6135">
                <v:shape id="_x0000_i1027" type="#_x0000_t75" style="width:418.2pt;height:231.55pt" o:ole="">
                  <v:imagedata r:id="rId16" o:title=""/>
                </v:shape>
                <o:OLEObject Type="Embed" ProgID="PBrush" ShapeID="_x0000_i1027" DrawAspect="Content" ObjectID="_1552377937" r:id="rId17"/>
              </w:object>
            </w:r>
          </w:p>
          <w:p w:rsidR="00462AB1" w:rsidRDefault="00E007B7">
            <w:pPr>
              <w:rPr>
                <w:sz w:val="22"/>
                <w:szCs w:val="22"/>
                <w:lang w:val="mk-MK"/>
              </w:rPr>
            </w:pPr>
            <w:r>
              <w:rPr>
                <w:bCs/>
                <w:sz w:val="22"/>
                <w:szCs w:val="22"/>
                <w:lang w:val="mk-MK"/>
              </w:rPr>
              <w:t>Графикон 2</w:t>
            </w:r>
            <w:r w:rsidRPr="00B53850">
              <w:rPr>
                <w:bCs/>
                <w:sz w:val="22"/>
                <w:szCs w:val="22"/>
              </w:rPr>
              <w:t>-</w:t>
            </w:r>
            <w:r w:rsidRPr="00C479ED">
              <w:rPr>
                <w:sz w:val="22"/>
                <w:szCs w:val="22"/>
                <w:lang w:val="mk-MK"/>
              </w:rPr>
              <w:t xml:space="preserve"> Поделба на претплатниците на широкопојасен пристап на интернет според видот на </w:t>
            </w:r>
            <w:r w:rsidRPr="00E007B7">
              <w:rPr>
                <w:sz w:val="22"/>
                <w:szCs w:val="22"/>
                <w:lang w:val="mk-MK"/>
              </w:rPr>
              <w:t>технологии</w:t>
            </w:r>
            <w:r w:rsidRPr="001C6625">
              <w:rPr>
                <w:sz w:val="22"/>
                <w:szCs w:val="22"/>
                <w:lang w:val="mk-MK"/>
              </w:rPr>
              <w:t xml:space="preserve"> Извор</w:t>
            </w:r>
            <w:r w:rsidRPr="001C6625">
              <w:rPr>
                <w:sz w:val="22"/>
                <w:szCs w:val="22"/>
              </w:rPr>
              <w:t xml:space="preserve">: </w:t>
            </w:r>
            <w:r w:rsidRPr="00B53850">
              <w:rPr>
                <w:sz w:val="22"/>
                <w:szCs w:val="22"/>
                <w:lang w:val="mk-MK"/>
              </w:rPr>
              <w:t>Нацрт трета анализа на пазар за физички пристап до мрежна инфраструктура (целосен и поделен разврз</w:t>
            </w:r>
            <w:r w:rsidR="00C624F1">
              <w:rPr>
                <w:sz w:val="22"/>
                <w:szCs w:val="22"/>
                <w:lang w:val="mk-MK"/>
              </w:rPr>
              <w:t xml:space="preserve">ан пристап) на фиксна локација </w:t>
            </w:r>
            <w:r w:rsidRPr="00B53850">
              <w:rPr>
                <w:sz w:val="22"/>
                <w:szCs w:val="22"/>
                <w:lang w:val="mk-MK"/>
              </w:rPr>
              <w:t>и четврта анализа на пазар за услуги со широк опсег</w:t>
            </w:r>
          </w:p>
          <w:p w:rsidR="00B45BA8" w:rsidRDefault="00B45BA8">
            <w:pPr>
              <w:rPr>
                <w:sz w:val="22"/>
                <w:szCs w:val="22"/>
                <w:lang w:val="mk-MK"/>
              </w:rPr>
            </w:pPr>
          </w:p>
          <w:p w:rsidR="00B45BA8" w:rsidRPr="00B45BA8" w:rsidRDefault="00B45BA8">
            <w:pPr>
              <w:rPr>
                <w:rFonts w:eastAsiaTheme="majorEastAsia" w:cstheme="majorBidi"/>
                <w:b/>
                <w:bCs/>
                <w:i/>
                <w:color w:val="FF0000"/>
                <w:sz w:val="22"/>
                <w:szCs w:val="22"/>
                <w:lang w:val="mk-MK"/>
              </w:rPr>
            </w:pPr>
            <w:r>
              <w:rPr>
                <w:i/>
                <w:color w:val="FF0000"/>
                <w:sz w:val="22"/>
                <w:szCs w:val="22"/>
                <w:lang w:val="mk-MK"/>
              </w:rPr>
              <w:t>Одговор</w:t>
            </w:r>
            <w:r w:rsidR="00CE5BFE">
              <w:rPr>
                <w:i/>
                <w:color w:val="FF0000"/>
                <w:sz w:val="22"/>
                <w:szCs w:val="22"/>
                <w:lang w:val="mk-MK"/>
              </w:rPr>
              <w:t xml:space="preserve"> 3</w:t>
            </w:r>
            <w:r>
              <w:rPr>
                <w:i/>
                <w:color w:val="FF0000"/>
                <w:sz w:val="22"/>
                <w:szCs w:val="22"/>
                <w:lang w:val="mk-MK"/>
              </w:rPr>
              <w:t>: Коментарот за податоците се прифаќа. Станува збор за техничка грешка и графиконот 2 ќе биде корегиран.</w:t>
            </w:r>
          </w:p>
          <w:p w:rsidR="00405F4C" w:rsidRDefault="00405F4C">
            <w:pPr>
              <w:rPr>
                <w:sz w:val="22"/>
                <w:szCs w:val="22"/>
                <w:lang w:val="mk-MK"/>
              </w:rPr>
            </w:pPr>
          </w:p>
          <w:p w:rsidR="00405F4C" w:rsidRDefault="001C6625">
            <w:pPr>
              <w:rPr>
                <w:sz w:val="22"/>
                <w:szCs w:val="22"/>
                <w:lang w:val="en-US"/>
              </w:rPr>
            </w:pPr>
            <w:r w:rsidRPr="00FC58E2">
              <w:rPr>
                <w:sz w:val="22"/>
                <w:szCs w:val="22"/>
                <w:lang w:val="mk-MK"/>
              </w:rPr>
              <w:t>Во однос на цените за понудите за инт</w:t>
            </w:r>
            <w:r w:rsidR="00FC58E2">
              <w:rPr>
                <w:sz w:val="22"/>
                <w:szCs w:val="22"/>
                <w:lang w:val="mk-MK"/>
              </w:rPr>
              <w:t>ернет пакетите</w:t>
            </w:r>
            <w:r w:rsidRPr="00FC58E2">
              <w:rPr>
                <w:sz w:val="22"/>
                <w:szCs w:val="22"/>
                <w:lang w:val="mk-MK"/>
              </w:rPr>
              <w:t xml:space="preserve">, презентирани во точка </w:t>
            </w:r>
            <w:r w:rsidR="00FC58E2" w:rsidRPr="00FC58E2">
              <w:rPr>
                <w:sz w:val="22"/>
                <w:szCs w:val="22"/>
                <w:lang w:val="mk-MK"/>
              </w:rPr>
              <w:t>3.4</w:t>
            </w:r>
            <w:r w:rsidRPr="00FC58E2">
              <w:rPr>
                <w:sz w:val="22"/>
                <w:szCs w:val="22"/>
                <w:lang w:val="mk-MK"/>
              </w:rPr>
              <w:t>.1.1</w:t>
            </w:r>
            <w:r w:rsidR="00FC58E2">
              <w:rPr>
                <w:sz w:val="22"/>
                <w:szCs w:val="22"/>
                <w:lang w:val="mk-MK"/>
              </w:rPr>
              <w:t xml:space="preserve"> од Нацрт Анализата</w:t>
            </w:r>
            <w:r w:rsidRPr="00FC58E2">
              <w:rPr>
                <w:sz w:val="22"/>
                <w:szCs w:val="22"/>
                <w:lang w:val="mk-MK"/>
              </w:rPr>
              <w:t>, би сакале</w:t>
            </w:r>
            <w:r w:rsidRPr="001C6625">
              <w:rPr>
                <w:sz w:val="22"/>
                <w:szCs w:val="22"/>
                <w:lang w:val="mk-MK"/>
              </w:rPr>
              <w:t xml:space="preserve"> да укажеме дека споредбата не е релевантна бидејќи месечните надоместоци презен</w:t>
            </w:r>
            <w:r w:rsidR="00987363">
              <w:rPr>
                <w:sz w:val="22"/>
                <w:szCs w:val="22"/>
                <w:lang w:val="mk-MK"/>
              </w:rPr>
              <w:t xml:space="preserve">тирани за МКТ </w:t>
            </w:r>
            <w:r w:rsidRPr="001C6625">
              <w:rPr>
                <w:sz w:val="22"/>
                <w:szCs w:val="22"/>
                <w:lang w:val="mk-MK"/>
              </w:rPr>
              <w:t>од АЕК, се апликативни само во случај кога корисникот има претходно активна фиксна линија за која плаќа дополнителен месечен надомест.</w:t>
            </w:r>
            <w:r w:rsidR="00FC58E2">
              <w:rPr>
                <w:sz w:val="22"/>
                <w:szCs w:val="22"/>
                <w:lang w:val="mk-MK"/>
              </w:rPr>
              <w:t xml:space="preserve"> Имено табелата 3 од оваа Нацрт Анализа треба да биде корегирана на овој начин</w:t>
            </w:r>
            <w:r w:rsidR="00FC58E2">
              <w:rPr>
                <w:sz w:val="22"/>
                <w:szCs w:val="22"/>
                <w:lang w:val="en-US"/>
              </w:rPr>
              <w:t xml:space="preserve">: </w:t>
            </w:r>
          </w:p>
          <w:p w:rsidR="00405F4C" w:rsidRDefault="00405F4C">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6"/>
              <w:gridCol w:w="3077"/>
              <w:gridCol w:w="3077"/>
            </w:tblGrid>
            <w:tr w:rsidR="000243F7" w:rsidRPr="000243F7" w:rsidTr="00FC58E2">
              <w:trPr>
                <w:trHeight w:val="389"/>
              </w:trPr>
              <w:tc>
                <w:tcPr>
                  <w:tcW w:w="3076" w:type="dxa"/>
                </w:tcPr>
                <w:p w:rsidR="00462AB1" w:rsidRDefault="00462AB1" w:rsidP="00B35A98">
                  <w:pPr>
                    <w:framePr w:hSpace="180" w:wrap="around" w:vAnchor="text" w:hAnchor="text" w:x="-340" w:y="1"/>
                    <w:suppressOverlap/>
                    <w:jc w:val="both"/>
                    <w:rPr>
                      <w:color w:val="FF0000"/>
                      <w:sz w:val="22"/>
                      <w:szCs w:val="22"/>
                      <w:lang w:val="en-US"/>
                    </w:rPr>
                  </w:pPr>
                </w:p>
              </w:tc>
              <w:tc>
                <w:tcPr>
                  <w:tcW w:w="3077" w:type="dxa"/>
                </w:tcPr>
                <w:p w:rsidR="00462AB1" w:rsidRDefault="000243F7" w:rsidP="00B35A98">
                  <w:pPr>
                    <w:framePr w:hSpace="180" w:wrap="around" w:vAnchor="text" w:hAnchor="text" w:x="-340" w:y="1"/>
                    <w:suppressOverlap/>
                    <w:jc w:val="both"/>
                    <w:rPr>
                      <w:b/>
                      <w:sz w:val="22"/>
                      <w:szCs w:val="22"/>
                    </w:rPr>
                  </w:pPr>
                  <w:r w:rsidRPr="000243F7">
                    <w:rPr>
                      <w:b/>
                      <w:sz w:val="22"/>
                      <w:szCs w:val="22"/>
                      <w:lang w:val="en-US"/>
                    </w:rPr>
                    <w:t>Max ADSL Basic</w:t>
                  </w:r>
                </w:p>
              </w:tc>
              <w:tc>
                <w:tcPr>
                  <w:tcW w:w="3077" w:type="dxa"/>
                </w:tcPr>
                <w:p w:rsidR="00462AB1" w:rsidRDefault="000243F7" w:rsidP="00B35A98">
                  <w:pPr>
                    <w:framePr w:hSpace="180" w:wrap="around" w:vAnchor="text" w:hAnchor="text" w:x="-340" w:y="1"/>
                    <w:suppressOverlap/>
                    <w:jc w:val="both"/>
                    <w:rPr>
                      <w:b/>
                      <w:sz w:val="22"/>
                      <w:szCs w:val="22"/>
                    </w:rPr>
                  </w:pPr>
                  <w:r w:rsidRPr="000243F7">
                    <w:rPr>
                      <w:b/>
                      <w:sz w:val="22"/>
                      <w:szCs w:val="22"/>
                      <w:lang w:val="en-US"/>
                    </w:rPr>
                    <w:t>Max ADSL Start</w:t>
                  </w:r>
                </w:p>
              </w:tc>
            </w:tr>
            <w:tr w:rsidR="000243F7" w:rsidRPr="000243F7" w:rsidTr="00EC0FB2">
              <w:tc>
                <w:tcPr>
                  <w:tcW w:w="3076" w:type="dxa"/>
                </w:tcPr>
                <w:p w:rsidR="00462AB1" w:rsidRDefault="000243F7" w:rsidP="00B35A98">
                  <w:pPr>
                    <w:framePr w:hSpace="180" w:wrap="around" w:vAnchor="text" w:hAnchor="text" w:x="-340" w:y="1"/>
                    <w:suppressOverlap/>
                    <w:jc w:val="both"/>
                    <w:rPr>
                      <w:b/>
                      <w:sz w:val="22"/>
                      <w:szCs w:val="22"/>
                    </w:rPr>
                  </w:pPr>
                  <w:r w:rsidRPr="000243F7">
                    <w:rPr>
                      <w:b/>
                      <w:sz w:val="22"/>
                      <w:szCs w:val="22"/>
                    </w:rPr>
                    <w:t>Месечна претплата*</w:t>
                  </w:r>
                </w:p>
              </w:tc>
              <w:tc>
                <w:tcPr>
                  <w:tcW w:w="3077" w:type="dxa"/>
                </w:tcPr>
                <w:p w:rsidR="00462AB1" w:rsidRDefault="00FC58E2" w:rsidP="00B35A98">
                  <w:pPr>
                    <w:framePr w:hSpace="180" w:wrap="around" w:vAnchor="text" w:hAnchor="text" w:x="-340" w:y="1"/>
                    <w:suppressOverlap/>
                    <w:jc w:val="both"/>
                    <w:rPr>
                      <w:strike/>
                      <w:sz w:val="22"/>
                      <w:szCs w:val="22"/>
                      <w:lang w:val="mk-MK"/>
                    </w:rPr>
                  </w:pPr>
                  <w:r w:rsidRPr="00FC58E2">
                    <w:rPr>
                      <w:strike/>
                      <w:sz w:val="22"/>
                      <w:szCs w:val="22"/>
                      <w:lang w:val="mk-MK"/>
                    </w:rPr>
                    <w:t>4</w:t>
                  </w:r>
                  <w:r w:rsidR="000243F7" w:rsidRPr="00FC58E2">
                    <w:rPr>
                      <w:strike/>
                      <w:sz w:val="22"/>
                      <w:szCs w:val="22"/>
                      <w:lang w:val="en-US"/>
                    </w:rPr>
                    <w:t>99</w:t>
                  </w:r>
                  <w:r w:rsidR="000243F7" w:rsidRPr="00FC58E2">
                    <w:rPr>
                      <w:strike/>
                      <w:sz w:val="22"/>
                      <w:szCs w:val="22"/>
                    </w:rPr>
                    <w:t xml:space="preserve"> ден</w:t>
                  </w:r>
                  <w:r>
                    <w:rPr>
                      <w:strike/>
                      <w:sz w:val="22"/>
                      <w:szCs w:val="22"/>
                      <w:lang w:val="mk-MK"/>
                    </w:rPr>
                    <w:t xml:space="preserve"> </w:t>
                  </w:r>
                  <w:r w:rsidRPr="00FC58E2">
                    <w:rPr>
                      <w:sz w:val="22"/>
                      <w:szCs w:val="22"/>
                    </w:rPr>
                    <w:t>699 ден</w:t>
                  </w:r>
                  <w:r>
                    <w:rPr>
                      <w:strike/>
                      <w:sz w:val="22"/>
                      <w:szCs w:val="22"/>
                      <w:lang w:val="mk-MK"/>
                    </w:rPr>
                    <w:t xml:space="preserve"> </w:t>
                  </w:r>
                </w:p>
              </w:tc>
              <w:tc>
                <w:tcPr>
                  <w:tcW w:w="3077" w:type="dxa"/>
                </w:tcPr>
                <w:p w:rsidR="00462AB1" w:rsidRDefault="000243F7" w:rsidP="00B35A98">
                  <w:pPr>
                    <w:framePr w:hSpace="180" w:wrap="around" w:vAnchor="text" w:hAnchor="text" w:x="-340" w:y="1"/>
                    <w:suppressOverlap/>
                    <w:jc w:val="both"/>
                    <w:rPr>
                      <w:strike/>
                      <w:sz w:val="22"/>
                      <w:szCs w:val="22"/>
                    </w:rPr>
                  </w:pPr>
                  <w:r w:rsidRPr="00FC58E2">
                    <w:rPr>
                      <w:strike/>
                      <w:sz w:val="22"/>
                      <w:szCs w:val="22"/>
                      <w:lang w:val="en-US"/>
                    </w:rPr>
                    <w:t>899</w:t>
                  </w:r>
                  <w:r w:rsidRPr="00FC58E2">
                    <w:rPr>
                      <w:strike/>
                      <w:sz w:val="22"/>
                      <w:szCs w:val="22"/>
                    </w:rPr>
                    <w:t xml:space="preserve"> ден</w:t>
                  </w:r>
                  <w:r w:rsidR="00FC58E2">
                    <w:rPr>
                      <w:sz w:val="22"/>
                      <w:szCs w:val="22"/>
                      <w:lang w:val="mk-MK"/>
                    </w:rPr>
                    <w:t>10</w:t>
                  </w:r>
                  <w:r w:rsidR="00FC58E2" w:rsidRPr="00FC58E2">
                    <w:rPr>
                      <w:sz w:val="22"/>
                      <w:szCs w:val="22"/>
                    </w:rPr>
                    <w:t>99 ден</w:t>
                  </w:r>
                </w:p>
              </w:tc>
            </w:tr>
            <w:tr w:rsidR="000243F7" w:rsidRPr="000243F7" w:rsidTr="00EC0FB2">
              <w:tc>
                <w:tcPr>
                  <w:tcW w:w="3076" w:type="dxa"/>
                </w:tcPr>
                <w:p w:rsidR="00462AB1" w:rsidRDefault="000243F7" w:rsidP="00B35A98">
                  <w:pPr>
                    <w:framePr w:hSpace="180" w:wrap="around" w:vAnchor="text" w:hAnchor="text" w:x="-340" w:y="1"/>
                    <w:suppressOverlap/>
                    <w:jc w:val="both"/>
                    <w:rPr>
                      <w:b/>
                      <w:sz w:val="22"/>
                      <w:szCs w:val="22"/>
                    </w:rPr>
                  </w:pPr>
                  <w:r w:rsidRPr="000243F7">
                    <w:rPr>
                      <w:b/>
                      <w:sz w:val="22"/>
                      <w:szCs w:val="22"/>
                    </w:rPr>
                    <w:t>Вклучен интернет сообраќај</w:t>
                  </w:r>
                </w:p>
              </w:tc>
              <w:tc>
                <w:tcPr>
                  <w:tcW w:w="3077" w:type="dxa"/>
                </w:tcPr>
                <w:p w:rsidR="00462AB1" w:rsidRDefault="000243F7" w:rsidP="00B35A98">
                  <w:pPr>
                    <w:framePr w:hSpace="180" w:wrap="around" w:vAnchor="text" w:hAnchor="text" w:x="-340" w:y="1"/>
                    <w:suppressOverlap/>
                    <w:jc w:val="both"/>
                    <w:rPr>
                      <w:sz w:val="22"/>
                      <w:szCs w:val="22"/>
                    </w:rPr>
                  </w:pPr>
                  <w:r w:rsidRPr="000243F7">
                    <w:rPr>
                      <w:sz w:val="22"/>
                      <w:szCs w:val="22"/>
                    </w:rPr>
                    <w:t>неограничено</w:t>
                  </w:r>
                </w:p>
              </w:tc>
              <w:tc>
                <w:tcPr>
                  <w:tcW w:w="3077" w:type="dxa"/>
                </w:tcPr>
                <w:p w:rsidR="00462AB1" w:rsidRDefault="000243F7" w:rsidP="00B35A98">
                  <w:pPr>
                    <w:framePr w:hSpace="180" w:wrap="around" w:vAnchor="text" w:hAnchor="text" w:x="-340" w:y="1"/>
                    <w:suppressOverlap/>
                    <w:jc w:val="both"/>
                    <w:rPr>
                      <w:sz w:val="22"/>
                      <w:szCs w:val="22"/>
                    </w:rPr>
                  </w:pPr>
                  <w:r w:rsidRPr="000243F7">
                    <w:rPr>
                      <w:sz w:val="22"/>
                      <w:szCs w:val="22"/>
                    </w:rPr>
                    <w:t>неограничено</w:t>
                  </w:r>
                </w:p>
              </w:tc>
            </w:tr>
            <w:tr w:rsidR="000243F7" w:rsidRPr="000243F7" w:rsidTr="00EC0FB2">
              <w:tc>
                <w:tcPr>
                  <w:tcW w:w="3076" w:type="dxa"/>
                </w:tcPr>
                <w:p w:rsidR="00462AB1" w:rsidRDefault="000243F7" w:rsidP="00B35A98">
                  <w:pPr>
                    <w:framePr w:hSpace="180" w:wrap="around" w:vAnchor="text" w:hAnchor="text" w:x="-340" w:y="1"/>
                    <w:suppressOverlap/>
                    <w:jc w:val="both"/>
                    <w:rPr>
                      <w:b/>
                      <w:sz w:val="22"/>
                      <w:szCs w:val="22"/>
                    </w:rPr>
                  </w:pPr>
                  <w:r w:rsidRPr="000243F7">
                    <w:rPr>
                      <w:b/>
                      <w:sz w:val="22"/>
                      <w:szCs w:val="22"/>
                    </w:rPr>
                    <w:t>брзина на пристап (</w:t>
                  </w:r>
                  <w:r w:rsidRPr="000243F7">
                    <w:rPr>
                      <w:b/>
                      <w:sz w:val="22"/>
                      <w:szCs w:val="22"/>
                      <w:lang w:val="en-US"/>
                    </w:rPr>
                    <w:t>download)</w:t>
                  </w:r>
                </w:p>
              </w:tc>
              <w:tc>
                <w:tcPr>
                  <w:tcW w:w="3077" w:type="dxa"/>
                </w:tcPr>
                <w:p w:rsidR="00462AB1" w:rsidRDefault="000243F7" w:rsidP="00B35A98">
                  <w:pPr>
                    <w:framePr w:hSpace="180" w:wrap="around" w:vAnchor="text" w:hAnchor="text" w:x="-340" w:y="1"/>
                    <w:suppressOverlap/>
                    <w:jc w:val="both"/>
                    <w:rPr>
                      <w:sz w:val="22"/>
                      <w:szCs w:val="22"/>
                      <w:lang w:val="en-US"/>
                    </w:rPr>
                  </w:pPr>
                  <w:r w:rsidRPr="000243F7">
                    <w:rPr>
                      <w:sz w:val="22"/>
                      <w:szCs w:val="22"/>
                    </w:rPr>
                    <w:t xml:space="preserve">до 4 </w:t>
                  </w:r>
                  <w:r w:rsidRPr="000243F7">
                    <w:rPr>
                      <w:sz w:val="22"/>
                      <w:szCs w:val="22"/>
                      <w:lang w:val="en-US"/>
                    </w:rPr>
                    <w:t>Mbps</w:t>
                  </w:r>
                </w:p>
              </w:tc>
              <w:tc>
                <w:tcPr>
                  <w:tcW w:w="3077" w:type="dxa"/>
                </w:tcPr>
                <w:p w:rsidR="00462AB1" w:rsidRDefault="000243F7" w:rsidP="00B35A98">
                  <w:pPr>
                    <w:keepNext/>
                    <w:framePr w:hSpace="180" w:wrap="around" w:vAnchor="text" w:hAnchor="text" w:x="-340" w:y="1"/>
                    <w:suppressOverlap/>
                    <w:jc w:val="both"/>
                    <w:rPr>
                      <w:sz w:val="22"/>
                      <w:szCs w:val="22"/>
                      <w:lang w:val="en-US"/>
                    </w:rPr>
                  </w:pPr>
                  <w:r w:rsidRPr="000243F7">
                    <w:rPr>
                      <w:sz w:val="22"/>
                      <w:szCs w:val="22"/>
                    </w:rPr>
                    <w:t xml:space="preserve">до </w:t>
                  </w:r>
                  <w:r w:rsidRPr="000243F7">
                    <w:rPr>
                      <w:sz w:val="22"/>
                      <w:szCs w:val="22"/>
                      <w:lang w:val="en-US"/>
                    </w:rPr>
                    <w:t>8 Mbps</w:t>
                  </w:r>
                </w:p>
              </w:tc>
            </w:tr>
          </w:tbl>
          <w:p w:rsidR="00405F4C" w:rsidRDefault="00405F4C">
            <w:pPr>
              <w:pStyle w:val="Caption"/>
              <w:rPr>
                <w:sz w:val="22"/>
                <w:szCs w:val="22"/>
              </w:rPr>
            </w:pPr>
          </w:p>
          <w:p w:rsidR="00405F4C" w:rsidRDefault="000243F7">
            <w:pPr>
              <w:pStyle w:val="Caption"/>
              <w:rPr>
                <w:sz w:val="22"/>
                <w:szCs w:val="22"/>
              </w:rPr>
            </w:pPr>
            <w:bookmarkStart w:id="0" w:name="_Toc462822398"/>
            <w:r w:rsidRPr="000243F7">
              <w:rPr>
                <w:sz w:val="22"/>
                <w:szCs w:val="22"/>
              </w:rPr>
              <w:t xml:space="preserve">Табела  </w:t>
            </w:r>
            <w:r w:rsidR="00B94AD2" w:rsidRPr="000243F7">
              <w:rPr>
                <w:sz w:val="22"/>
                <w:szCs w:val="22"/>
              </w:rPr>
              <w:fldChar w:fldCharType="begin"/>
            </w:r>
            <w:r w:rsidRPr="000243F7">
              <w:rPr>
                <w:sz w:val="22"/>
                <w:szCs w:val="22"/>
              </w:rPr>
              <w:instrText xml:space="preserve"> SEQ Табела_ \* ARABIC </w:instrText>
            </w:r>
            <w:r w:rsidR="00B94AD2" w:rsidRPr="000243F7">
              <w:rPr>
                <w:sz w:val="22"/>
                <w:szCs w:val="22"/>
              </w:rPr>
              <w:fldChar w:fldCharType="separate"/>
            </w:r>
            <w:r w:rsidR="00987F55">
              <w:rPr>
                <w:noProof/>
                <w:sz w:val="22"/>
                <w:szCs w:val="22"/>
              </w:rPr>
              <w:t>1</w:t>
            </w:r>
            <w:r w:rsidR="00B94AD2" w:rsidRPr="000243F7">
              <w:rPr>
                <w:sz w:val="22"/>
                <w:szCs w:val="22"/>
              </w:rPr>
              <w:fldChar w:fldCharType="end"/>
            </w:r>
            <w:r w:rsidRPr="000243F7">
              <w:rPr>
                <w:sz w:val="22"/>
                <w:szCs w:val="22"/>
                <w:lang w:val="en-US"/>
              </w:rPr>
              <w:t xml:space="preserve"> </w:t>
            </w:r>
            <w:r w:rsidRPr="000243F7">
              <w:rPr>
                <w:sz w:val="22"/>
                <w:szCs w:val="22"/>
              </w:rPr>
              <w:t>Преглед на малопродажни понуди на Македонски Телеком АД</w:t>
            </w:r>
            <w:bookmarkEnd w:id="0"/>
          </w:p>
          <w:p w:rsidR="00405F4C" w:rsidRDefault="000243F7">
            <w:pPr>
              <w:rPr>
                <w:sz w:val="22"/>
                <w:szCs w:val="22"/>
              </w:rPr>
            </w:pPr>
            <w:r w:rsidRPr="000243F7">
              <w:rPr>
                <w:sz w:val="22"/>
                <w:szCs w:val="22"/>
              </w:rPr>
              <w:t xml:space="preserve">* прикажаните цени се со вклучен </w:t>
            </w:r>
            <w:r w:rsidR="00E35BEE">
              <w:rPr>
                <w:sz w:val="22"/>
                <w:szCs w:val="22"/>
                <w:lang w:val="mk-MK"/>
              </w:rPr>
              <w:t>ДДВ</w:t>
            </w:r>
            <w:r w:rsidRPr="000243F7">
              <w:rPr>
                <w:sz w:val="22"/>
                <w:szCs w:val="22"/>
              </w:rPr>
              <w:t xml:space="preserve"> и се однесуваат на договор со времетраење од 24 месеци</w:t>
            </w:r>
          </w:p>
          <w:p w:rsidR="00405F4C" w:rsidRDefault="00405F4C">
            <w:pPr>
              <w:rPr>
                <w:sz w:val="22"/>
                <w:szCs w:val="22"/>
                <w:lang w:val="mk-MK"/>
              </w:rPr>
            </w:pPr>
          </w:p>
          <w:p w:rsidR="00405F4C" w:rsidRDefault="00746AAA">
            <w:pPr>
              <w:rPr>
                <w:sz w:val="22"/>
                <w:szCs w:val="22"/>
                <w:lang w:val="mk-MK"/>
              </w:rPr>
            </w:pPr>
            <w:r>
              <w:rPr>
                <w:sz w:val="22"/>
                <w:szCs w:val="22"/>
                <w:lang w:val="mk-MK"/>
              </w:rPr>
              <w:t>Месечниот надомест</w:t>
            </w:r>
            <w:r w:rsidR="001C6625" w:rsidRPr="001C6625">
              <w:rPr>
                <w:sz w:val="22"/>
                <w:szCs w:val="22"/>
                <w:lang w:val="mk-MK"/>
              </w:rPr>
              <w:t xml:space="preserve"> за </w:t>
            </w:r>
            <w:r w:rsidR="00FC58E2">
              <w:rPr>
                <w:sz w:val="22"/>
                <w:szCs w:val="22"/>
                <w:lang w:val="mk-MK"/>
              </w:rPr>
              <w:t>С</w:t>
            </w:r>
            <w:r w:rsidR="001C6625" w:rsidRPr="001C6625">
              <w:rPr>
                <w:sz w:val="22"/>
                <w:szCs w:val="22"/>
                <w:lang w:val="mk-MK"/>
              </w:rPr>
              <w:t xml:space="preserve">амостоен </w:t>
            </w:r>
            <w:r w:rsidR="00FC58E2" w:rsidRPr="00FC58E2">
              <w:rPr>
                <w:sz w:val="22"/>
                <w:szCs w:val="22"/>
                <w:lang w:val="mk-MK"/>
              </w:rPr>
              <w:t>Max ADSL Basic</w:t>
            </w:r>
            <w:r w:rsidR="00FC58E2" w:rsidRPr="001C6625">
              <w:rPr>
                <w:sz w:val="22"/>
                <w:szCs w:val="22"/>
                <w:lang w:val="mk-MK"/>
              </w:rPr>
              <w:t xml:space="preserve"> </w:t>
            </w:r>
            <w:r w:rsidR="001C6625" w:rsidRPr="00FC58E2">
              <w:rPr>
                <w:sz w:val="22"/>
                <w:szCs w:val="22"/>
                <w:lang w:val="mk-MK"/>
              </w:rPr>
              <w:t>интернет пакет (што би било споредливо со понудата на О</w:t>
            </w:r>
            <w:r w:rsidR="00FC58E2" w:rsidRPr="00FC58E2">
              <w:rPr>
                <w:sz w:val="22"/>
                <w:szCs w:val="22"/>
                <w:lang w:val="mk-MK"/>
              </w:rPr>
              <w:t>НЕ.ВИП</w:t>
            </w:r>
            <w:r w:rsidR="001C6625" w:rsidRPr="00FC58E2">
              <w:rPr>
                <w:sz w:val="22"/>
                <w:szCs w:val="22"/>
                <w:lang w:val="mk-MK"/>
              </w:rPr>
              <w:t>) е 699 ден</w:t>
            </w:r>
            <w:r>
              <w:rPr>
                <w:sz w:val="22"/>
                <w:szCs w:val="22"/>
                <w:lang w:val="mk-MK"/>
              </w:rPr>
              <w:t>ари</w:t>
            </w:r>
            <w:r w:rsidR="001C6625" w:rsidRPr="00FC58E2">
              <w:rPr>
                <w:sz w:val="22"/>
                <w:szCs w:val="22"/>
                <w:lang w:val="mk-MK"/>
              </w:rPr>
              <w:t xml:space="preserve"> </w:t>
            </w:r>
            <w:r w:rsidR="00FC58E2" w:rsidRPr="00FC58E2">
              <w:rPr>
                <w:sz w:val="22"/>
                <w:szCs w:val="22"/>
                <w:lang w:val="mk-MK"/>
              </w:rPr>
              <w:t xml:space="preserve">а за Самостоен </w:t>
            </w:r>
            <w:r w:rsidR="00FC58E2" w:rsidRPr="00FC58E2">
              <w:rPr>
                <w:sz w:val="22"/>
                <w:szCs w:val="22"/>
                <w:lang w:val="en-US"/>
              </w:rPr>
              <w:t>Max ADSL Start</w:t>
            </w:r>
            <w:r w:rsidR="00FC58E2" w:rsidRPr="00FC58E2">
              <w:rPr>
                <w:sz w:val="22"/>
                <w:szCs w:val="22"/>
                <w:lang w:val="mk-MK"/>
              </w:rPr>
              <w:t xml:space="preserve"> е</w:t>
            </w:r>
            <w:r w:rsidR="001C6625" w:rsidRPr="00FC58E2">
              <w:rPr>
                <w:sz w:val="22"/>
                <w:szCs w:val="22"/>
                <w:lang w:val="mk-MK"/>
              </w:rPr>
              <w:t xml:space="preserve"> 1.099 ден</w:t>
            </w:r>
            <w:r>
              <w:rPr>
                <w:sz w:val="22"/>
                <w:szCs w:val="22"/>
                <w:lang w:val="mk-MK"/>
              </w:rPr>
              <w:t>ари</w:t>
            </w:r>
            <w:r w:rsidR="001C6625" w:rsidRPr="00FC58E2">
              <w:rPr>
                <w:sz w:val="22"/>
                <w:szCs w:val="22"/>
                <w:lang w:val="mk-MK"/>
              </w:rPr>
              <w:t>.</w:t>
            </w:r>
            <w:r w:rsidR="00FC58E2" w:rsidRPr="00FC58E2">
              <w:rPr>
                <w:sz w:val="22"/>
                <w:szCs w:val="22"/>
                <w:lang w:val="mk-MK"/>
              </w:rPr>
              <w:t xml:space="preserve"> </w:t>
            </w:r>
            <w:r w:rsidR="001C6625" w:rsidRPr="00FC58E2">
              <w:rPr>
                <w:sz w:val="22"/>
                <w:szCs w:val="22"/>
                <w:lang w:val="mk-MK"/>
              </w:rPr>
              <w:t xml:space="preserve">Според тоа, </w:t>
            </w:r>
            <w:r>
              <w:rPr>
                <w:sz w:val="22"/>
                <w:szCs w:val="22"/>
                <w:lang w:val="mk-MK"/>
              </w:rPr>
              <w:t>може да се заклучи дека малопродажните цени</w:t>
            </w:r>
            <w:r w:rsidR="001C6625" w:rsidRPr="00FC58E2">
              <w:rPr>
                <w:sz w:val="22"/>
                <w:szCs w:val="22"/>
                <w:lang w:val="mk-MK"/>
              </w:rPr>
              <w:t xml:space="preserve"> на </w:t>
            </w:r>
            <w:r w:rsidR="00987363">
              <w:rPr>
                <w:sz w:val="22"/>
                <w:szCs w:val="22"/>
                <w:lang w:val="mk-MK"/>
              </w:rPr>
              <w:t>МКТ</w:t>
            </w:r>
            <w:r w:rsidR="001C6625" w:rsidRPr="00FC58E2">
              <w:rPr>
                <w:sz w:val="22"/>
                <w:szCs w:val="22"/>
                <w:lang w:val="mk-MK"/>
              </w:rPr>
              <w:t xml:space="preserve"> се по</w:t>
            </w:r>
            <w:r>
              <w:rPr>
                <w:sz w:val="22"/>
                <w:szCs w:val="22"/>
                <w:lang w:val="mk-MK"/>
              </w:rPr>
              <w:t>високи</w:t>
            </w:r>
            <w:r w:rsidR="001C6625" w:rsidRPr="00FC58E2">
              <w:rPr>
                <w:sz w:val="22"/>
                <w:szCs w:val="22"/>
                <w:lang w:val="mk-MK"/>
              </w:rPr>
              <w:t xml:space="preserve"> од конкурентните понуди за </w:t>
            </w:r>
            <w:r w:rsidR="001C6625" w:rsidRPr="00FC58E2">
              <w:rPr>
                <w:sz w:val="22"/>
                <w:szCs w:val="22"/>
                <w:lang w:val="mk-MK"/>
              </w:rPr>
              <w:lastRenderedPageBreak/>
              <w:t>пакетите како преку бакарна</w:t>
            </w:r>
            <w:r w:rsidR="001C6625" w:rsidRPr="001C6625">
              <w:rPr>
                <w:sz w:val="22"/>
                <w:szCs w:val="22"/>
                <w:lang w:val="mk-MK"/>
              </w:rPr>
              <w:t xml:space="preserve"> мрежа така и преку оптика (особено ако се имаат во предвид и карактеристиките на пакетот). </w:t>
            </w:r>
          </w:p>
          <w:p w:rsidR="002F4636" w:rsidRDefault="002F4636">
            <w:pPr>
              <w:rPr>
                <w:sz w:val="22"/>
                <w:szCs w:val="22"/>
                <w:lang w:val="mk-MK"/>
              </w:rPr>
            </w:pPr>
          </w:p>
          <w:p w:rsidR="002F4636" w:rsidRPr="002F4636" w:rsidRDefault="002F4636">
            <w:pPr>
              <w:rPr>
                <w:i/>
                <w:color w:val="FF0000"/>
                <w:sz w:val="22"/>
                <w:szCs w:val="22"/>
                <w:lang w:val="en-US"/>
              </w:rPr>
            </w:pPr>
            <w:r>
              <w:rPr>
                <w:i/>
                <w:color w:val="FF0000"/>
                <w:sz w:val="22"/>
                <w:szCs w:val="22"/>
                <w:lang w:val="mk-MK"/>
              </w:rPr>
              <w:t>Одговор</w:t>
            </w:r>
            <w:r w:rsidR="00CE5BFE">
              <w:rPr>
                <w:i/>
                <w:color w:val="FF0000"/>
                <w:sz w:val="22"/>
                <w:szCs w:val="22"/>
                <w:lang w:val="mk-MK"/>
              </w:rPr>
              <w:t xml:space="preserve"> 4</w:t>
            </w:r>
            <w:r>
              <w:rPr>
                <w:i/>
                <w:color w:val="FF0000"/>
                <w:sz w:val="22"/>
                <w:szCs w:val="22"/>
                <w:lang w:val="mk-MK"/>
              </w:rPr>
              <w:t xml:space="preserve">: </w:t>
            </w:r>
            <w:r w:rsidR="004D50DC">
              <w:rPr>
                <w:i/>
                <w:color w:val="FF0000"/>
                <w:sz w:val="22"/>
                <w:szCs w:val="22"/>
                <w:lang w:val="mk-MK"/>
              </w:rPr>
              <w:t xml:space="preserve">Коментарот делумно се прифаќа. </w:t>
            </w:r>
            <w:r>
              <w:rPr>
                <w:i/>
                <w:color w:val="FF0000"/>
                <w:sz w:val="22"/>
                <w:szCs w:val="22"/>
                <w:lang w:val="mk-MK"/>
              </w:rPr>
              <w:t>Во текстот ќе биде дополнето соодветно објаснување дека претплатникот има дополнителен трошок за фиксна претплатничка линија.</w:t>
            </w:r>
          </w:p>
          <w:p w:rsidR="00405F4C" w:rsidRDefault="00405F4C">
            <w:pPr>
              <w:rPr>
                <w:sz w:val="22"/>
                <w:szCs w:val="22"/>
                <w:lang w:val="en-US"/>
              </w:rPr>
            </w:pPr>
          </w:p>
          <w:p w:rsidR="00405F4C" w:rsidRDefault="00746AAA">
            <w:pPr>
              <w:tabs>
                <w:tab w:val="left" w:pos="1260"/>
                <w:tab w:val="left" w:pos="10080"/>
              </w:tabs>
              <w:ind w:right="457"/>
              <w:jc w:val="both"/>
              <w:rPr>
                <w:sz w:val="22"/>
                <w:szCs w:val="22"/>
                <w:lang w:val="mk-MK"/>
              </w:rPr>
            </w:pPr>
            <w:r>
              <w:rPr>
                <w:sz w:val="22"/>
                <w:szCs w:val="22"/>
                <w:lang w:val="mk-MK"/>
              </w:rPr>
              <w:t>Би сакале</w:t>
            </w:r>
            <w:r w:rsidR="00906FC8">
              <w:rPr>
                <w:sz w:val="22"/>
                <w:szCs w:val="22"/>
                <w:lang w:val="mk-MK"/>
              </w:rPr>
              <w:t xml:space="preserve"> да потенцираме дека ц</w:t>
            </w:r>
            <w:r w:rsidR="00FC58E2" w:rsidRPr="00FC58E2">
              <w:rPr>
                <w:sz w:val="22"/>
                <w:szCs w:val="22"/>
                <w:lang w:val="mk-MK"/>
              </w:rPr>
              <w:t xml:space="preserve">елата </w:t>
            </w:r>
            <w:r w:rsidR="00906FC8">
              <w:rPr>
                <w:sz w:val="22"/>
                <w:szCs w:val="22"/>
                <w:lang w:val="mk-MK"/>
              </w:rPr>
              <w:t xml:space="preserve">Нацрт </w:t>
            </w:r>
            <w:r w:rsidR="00FC58E2" w:rsidRPr="00FC58E2">
              <w:rPr>
                <w:sz w:val="22"/>
                <w:szCs w:val="22"/>
                <w:lang w:val="mk-MK"/>
              </w:rPr>
              <w:t xml:space="preserve">анализа на пазарите </w:t>
            </w:r>
            <w:r w:rsidR="00FC58E2">
              <w:rPr>
                <w:sz w:val="22"/>
                <w:szCs w:val="22"/>
                <w:lang w:val="mk-MK"/>
              </w:rPr>
              <w:t>за</w:t>
            </w:r>
            <w:r w:rsidR="00FC58E2" w:rsidRPr="00B53850">
              <w:rPr>
                <w:sz w:val="22"/>
                <w:szCs w:val="22"/>
                <w:lang w:val="mk-MK"/>
              </w:rPr>
              <w:t xml:space="preserve"> физички пристап до мрежна инфраструктура </w:t>
            </w:r>
            <w:r w:rsidR="00FC58E2">
              <w:rPr>
                <w:sz w:val="22"/>
                <w:szCs w:val="22"/>
                <w:lang w:val="mk-MK"/>
              </w:rPr>
              <w:t xml:space="preserve">на фиксна локација </w:t>
            </w:r>
            <w:r w:rsidR="00FC58E2" w:rsidRPr="00B53850">
              <w:rPr>
                <w:sz w:val="22"/>
                <w:szCs w:val="22"/>
                <w:lang w:val="mk-MK"/>
              </w:rPr>
              <w:t>и за услуги со широк опсег</w:t>
            </w:r>
            <w:r w:rsidR="00FC58E2">
              <w:rPr>
                <w:sz w:val="22"/>
                <w:szCs w:val="22"/>
                <w:lang w:val="mk-MK"/>
              </w:rPr>
              <w:t xml:space="preserve"> </w:t>
            </w:r>
            <w:r w:rsidR="00FC58E2" w:rsidRPr="00FC58E2">
              <w:rPr>
                <w:sz w:val="22"/>
                <w:szCs w:val="22"/>
                <w:lang w:val="mk-MK"/>
              </w:rPr>
              <w:t>е направена к</w:t>
            </w:r>
            <w:r w:rsidR="00D771AE">
              <w:rPr>
                <w:sz w:val="22"/>
                <w:szCs w:val="22"/>
                <w:lang w:val="mk-MK"/>
              </w:rPr>
              <w:t>а</w:t>
            </w:r>
            <w:r w:rsidR="00FC58E2" w:rsidRPr="00FC58E2">
              <w:rPr>
                <w:sz w:val="22"/>
                <w:szCs w:val="22"/>
                <w:lang w:val="mk-MK"/>
              </w:rPr>
              <w:t xml:space="preserve">ко за </w:t>
            </w:r>
            <w:r w:rsidR="00FC58E2" w:rsidRPr="00FC58E2">
              <w:rPr>
                <w:sz w:val="22"/>
                <w:szCs w:val="22"/>
                <w:lang w:val="en-US"/>
              </w:rPr>
              <w:t>“joint dominance”</w:t>
            </w:r>
            <w:r w:rsidR="00FC58E2" w:rsidRPr="00FC58E2">
              <w:rPr>
                <w:sz w:val="22"/>
                <w:szCs w:val="22"/>
                <w:lang w:val="mk-MK"/>
              </w:rPr>
              <w:t xml:space="preserve"> регулација</w:t>
            </w:r>
            <w:r w:rsidR="00FC58E2" w:rsidRPr="00FC58E2">
              <w:rPr>
                <w:sz w:val="22"/>
                <w:szCs w:val="22"/>
                <w:lang w:val="en-US"/>
              </w:rPr>
              <w:t xml:space="preserve">, </w:t>
            </w:r>
            <w:r w:rsidR="00FC58E2" w:rsidRPr="00FC58E2">
              <w:rPr>
                <w:sz w:val="22"/>
                <w:szCs w:val="22"/>
                <w:lang w:val="mk-MK"/>
              </w:rPr>
              <w:t xml:space="preserve">а на крај заклучоците се дека има </w:t>
            </w:r>
            <w:r w:rsidR="00FC58E2" w:rsidRPr="00FC58E2">
              <w:rPr>
                <w:sz w:val="22"/>
                <w:szCs w:val="22"/>
                <w:lang w:val="en-US"/>
              </w:rPr>
              <w:t>“single dominance”,</w:t>
            </w:r>
            <w:r w:rsidR="00FC58E2" w:rsidRPr="00FC58E2">
              <w:rPr>
                <w:sz w:val="22"/>
                <w:szCs w:val="22"/>
                <w:lang w:val="mk-MK"/>
              </w:rPr>
              <w:t xml:space="preserve"> затоа што во целиот документ</w:t>
            </w:r>
            <w:r w:rsidR="00FC58E2" w:rsidRPr="00FC58E2">
              <w:rPr>
                <w:sz w:val="22"/>
                <w:szCs w:val="22"/>
                <w:lang w:val="en-US"/>
              </w:rPr>
              <w:t xml:space="preserve"> </w:t>
            </w:r>
            <w:r w:rsidR="00FC58E2" w:rsidRPr="00FC58E2">
              <w:rPr>
                <w:sz w:val="22"/>
                <w:szCs w:val="22"/>
                <w:lang w:val="mk-MK"/>
              </w:rPr>
              <w:t xml:space="preserve">стои дека заедничкиот пазарен удел на МКТ, ОНЕ.ВИП и Роби е </w:t>
            </w:r>
            <w:r w:rsidR="00FC58E2" w:rsidRPr="00FC58E2">
              <w:rPr>
                <w:sz w:val="22"/>
                <w:szCs w:val="22"/>
                <w:lang w:val="en-US"/>
              </w:rPr>
              <w:t>83</w:t>
            </w:r>
            <w:r w:rsidR="00FC58E2" w:rsidRPr="00FC58E2">
              <w:rPr>
                <w:sz w:val="22"/>
                <w:szCs w:val="22"/>
                <w:lang w:val="mk-MK"/>
              </w:rPr>
              <w:t>,27</w:t>
            </w:r>
            <w:r w:rsidR="00FC58E2" w:rsidRPr="00FC58E2">
              <w:rPr>
                <w:sz w:val="22"/>
                <w:szCs w:val="22"/>
                <w:lang w:val="en-US"/>
              </w:rPr>
              <w:t xml:space="preserve">% </w:t>
            </w:r>
            <w:r w:rsidR="00FC58E2" w:rsidRPr="00FC58E2">
              <w:rPr>
                <w:sz w:val="22"/>
                <w:szCs w:val="22"/>
                <w:lang w:val="mk-MK"/>
              </w:rPr>
              <w:t xml:space="preserve">од вкупниот малопродажен пазар за широкопојасен пристап до интернет (податоци од четврт квартал од 2015-та година). </w:t>
            </w:r>
            <w:r>
              <w:rPr>
                <w:sz w:val="22"/>
                <w:szCs w:val="22"/>
                <w:lang w:val="mk-MK"/>
              </w:rPr>
              <w:t xml:space="preserve">Во оваа насока, сметаме дека АЕК треба уште еднаш да ги преиспита своите предлог Одлуки и конечно да одлучи каков вид на регулација на пазарот за </w:t>
            </w:r>
            <w:r w:rsidRPr="00B53850">
              <w:rPr>
                <w:sz w:val="22"/>
                <w:szCs w:val="22"/>
                <w:lang w:val="mk-MK"/>
              </w:rPr>
              <w:t>услуги со широк опсег</w:t>
            </w:r>
            <w:r>
              <w:rPr>
                <w:sz w:val="22"/>
                <w:szCs w:val="22"/>
                <w:lang w:val="mk-MK"/>
              </w:rPr>
              <w:t xml:space="preserve"> е посоодветен за моменталната ситуација на овој пазар во Македонија. </w:t>
            </w:r>
          </w:p>
          <w:p w:rsidR="000C64F5" w:rsidRDefault="000C64F5">
            <w:pPr>
              <w:tabs>
                <w:tab w:val="left" w:pos="1260"/>
                <w:tab w:val="left" w:pos="10080"/>
              </w:tabs>
              <w:ind w:right="457"/>
              <w:jc w:val="both"/>
              <w:rPr>
                <w:sz w:val="22"/>
                <w:szCs w:val="22"/>
                <w:lang w:val="mk-MK"/>
              </w:rPr>
            </w:pPr>
          </w:p>
          <w:p w:rsidR="000C64F5" w:rsidRDefault="000C64F5">
            <w:pPr>
              <w:tabs>
                <w:tab w:val="left" w:pos="1260"/>
                <w:tab w:val="left" w:pos="10080"/>
              </w:tabs>
              <w:ind w:right="457"/>
              <w:jc w:val="both"/>
              <w:rPr>
                <w:i/>
                <w:color w:val="FF0000"/>
                <w:sz w:val="22"/>
                <w:szCs w:val="22"/>
                <w:lang w:val="mk-MK"/>
              </w:rPr>
            </w:pPr>
            <w:r>
              <w:rPr>
                <w:i/>
                <w:color w:val="FF0000"/>
                <w:sz w:val="22"/>
                <w:szCs w:val="22"/>
                <w:lang w:val="mk-MK"/>
              </w:rPr>
              <w:t>Одговор</w:t>
            </w:r>
            <w:r w:rsidR="00CE5BFE">
              <w:rPr>
                <w:i/>
                <w:color w:val="FF0000"/>
                <w:sz w:val="22"/>
                <w:szCs w:val="22"/>
                <w:lang w:val="mk-MK"/>
              </w:rPr>
              <w:t xml:space="preserve"> 5</w:t>
            </w:r>
            <w:r>
              <w:rPr>
                <w:i/>
                <w:color w:val="FF0000"/>
                <w:sz w:val="22"/>
                <w:szCs w:val="22"/>
                <w:lang w:val="mk-MK"/>
              </w:rPr>
              <w:t>: Коментарот не се прифаќа.</w:t>
            </w:r>
          </w:p>
          <w:p w:rsidR="000C64F5" w:rsidRPr="000C64F5" w:rsidRDefault="000C64F5">
            <w:pPr>
              <w:tabs>
                <w:tab w:val="left" w:pos="1260"/>
                <w:tab w:val="left" w:pos="10080"/>
              </w:tabs>
              <w:ind w:right="457"/>
              <w:jc w:val="both"/>
              <w:rPr>
                <w:i/>
                <w:color w:val="FF0000"/>
                <w:sz w:val="22"/>
                <w:szCs w:val="22"/>
                <w:lang w:val="en-US"/>
              </w:rPr>
            </w:pPr>
            <w:r>
              <w:rPr>
                <w:i/>
                <w:color w:val="FF0000"/>
                <w:sz w:val="22"/>
                <w:szCs w:val="22"/>
                <w:lang w:val="mk-MK"/>
              </w:rPr>
              <w:t xml:space="preserve">Во документот збирниот удел на најголемите три оператори се прикажува со единствена намера да се констатира немањето доволна потенцијална конкуренција од страна на сите други оператори кои се повеќе од 100 на бројка, но нивната реална моќ е занемарлива. Реално би било да се очекува дека пазарот за пристап до интернет има солидна развиена конкуренција со повеќе од 100 активни оператори, но во реалноста ситуацијата сосема се разликува. Индивидуалната пазарна моќ и доминација се утврдува исклучиво според членот 77 – Критериуми за определување на оператор и давател на јавни електронски комуникациски услуги со значителна пазарна моќ. </w:t>
            </w:r>
          </w:p>
          <w:p w:rsidR="002A7DDA" w:rsidRDefault="002A7DDA" w:rsidP="002A7DDA">
            <w:pPr>
              <w:tabs>
                <w:tab w:val="left" w:pos="1260"/>
                <w:tab w:val="left" w:pos="10080"/>
              </w:tabs>
              <w:ind w:right="457"/>
              <w:jc w:val="both"/>
              <w:rPr>
                <w:sz w:val="22"/>
                <w:szCs w:val="22"/>
                <w:lang w:val="mk-MK"/>
              </w:rPr>
            </w:pPr>
          </w:p>
          <w:p w:rsidR="000F299C" w:rsidRPr="00C00040" w:rsidRDefault="000F299C" w:rsidP="000F299C">
            <w:pPr>
              <w:numPr>
                <w:ilvl w:val="0"/>
                <w:numId w:val="11"/>
              </w:numPr>
              <w:rPr>
                <w:b/>
                <w:sz w:val="22"/>
                <w:szCs w:val="22"/>
                <w:u w:val="single"/>
                <w:lang w:val="mk-MK"/>
              </w:rPr>
            </w:pPr>
            <w:r>
              <w:rPr>
                <w:b/>
                <w:sz w:val="22"/>
                <w:szCs w:val="22"/>
                <w:u w:val="single"/>
                <w:lang w:val="mk-MK"/>
              </w:rPr>
              <w:t xml:space="preserve">Обезбедување </w:t>
            </w:r>
            <w:r w:rsidR="00C00040">
              <w:rPr>
                <w:b/>
                <w:sz w:val="22"/>
                <w:szCs w:val="22"/>
                <w:u w:val="single"/>
                <w:lang w:val="mk-MK"/>
              </w:rPr>
              <w:t xml:space="preserve">на </w:t>
            </w:r>
            <w:r w:rsidR="00C00040" w:rsidRPr="00C00040">
              <w:rPr>
                <w:b/>
                <w:sz w:val="22"/>
                <w:szCs w:val="22"/>
                <w:u w:val="single"/>
                <w:lang w:val="mk-MK"/>
              </w:rPr>
              <w:t xml:space="preserve">големопродажни </w:t>
            </w:r>
            <w:r w:rsidR="00C00040" w:rsidRPr="00CE5801">
              <w:rPr>
                <w:b/>
                <w:bCs/>
                <w:iCs/>
                <w:sz w:val="22"/>
                <w:szCs w:val="22"/>
                <w:u w:val="single"/>
              </w:rPr>
              <w:t xml:space="preserve">широкопојасни услуги преку кабелски </w:t>
            </w:r>
            <w:r w:rsidR="00C00040" w:rsidRPr="00CE5801">
              <w:rPr>
                <w:b/>
                <w:bCs/>
                <w:iCs/>
                <w:sz w:val="22"/>
                <w:szCs w:val="22"/>
                <w:u w:val="single"/>
                <w:lang w:val="en-US"/>
              </w:rPr>
              <w:t>(HFC)</w:t>
            </w:r>
            <w:r w:rsidR="00C00040" w:rsidRPr="00CE5801">
              <w:rPr>
                <w:b/>
                <w:bCs/>
                <w:iCs/>
                <w:sz w:val="22"/>
                <w:szCs w:val="22"/>
                <w:u w:val="single"/>
              </w:rPr>
              <w:t xml:space="preserve"> мрежи</w:t>
            </w:r>
          </w:p>
          <w:p w:rsidR="000F299C" w:rsidRDefault="000F299C" w:rsidP="000F299C">
            <w:pPr>
              <w:ind w:left="720"/>
              <w:rPr>
                <w:b/>
                <w:sz w:val="22"/>
                <w:szCs w:val="22"/>
                <w:u w:val="single"/>
                <w:lang w:val="mk-MK"/>
              </w:rPr>
            </w:pPr>
          </w:p>
          <w:p w:rsidR="002A7DDA" w:rsidRDefault="002A7DDA" w:rsidP="002A7DDA">
            <w:pPr>
              <w:tabs>
                <w:tab w:val="left" w:pos="1260"/>
                <w:tab w:val="left" w:pos="10080"/>
              </w:tabs>
              <w:ind w:right="457"/>
              <w:jc w:val="both"/>
              <w:rPr>
                <w:sz w:val="22"/>
                <w:szCs w:val="22"/>
                <w:lang w:val="mk-MK"/>
              </w:rPr>
            </w:pPr>
            <w:r>
              <w:rPr>
                <w:sz w:val="22"/>
                <w:szCs w:val="22"/>
                <w:lang w:val="mk-MK"/>
              </w:rPr>
              <w:t xml:space="preserve">Дополнително сакаме да ја допрецизираме точка 7.4 </w:t>
            </w:r>
            <w:bookmarkStart w:id="1" w:name="_Toc384891248"/>
            <w:bookmarkStart w:id="2" w:name="_Toc463340638"/>
            <w:r>
              <w:rPr>
                <w:sz w:val="22"/>
                <w:szCs w:val="22"/>
                <w:lang w:val="mk-MK"/>
              </w:rPr>
              <w:t xml:space="preserve">од анализата </w:t>
            </w:r>
            <w:r>
              <w:rPr>
                <w:sz w:val="22"/>
                <w:szCs w:val="22"/>
                <w:lang w:val="en-US"/>
              </w:rPr>
              <w:t>“</w:t>
            </w:r>
            <w:r w:rsidRPr="002A7DDA">
              <w:rPr>
                <w:bCs/>
                <w:iCs/>
                <w:sz w:val="22"/>
                <w:szCs w:val="22"/>
                <w:lang w:val="en-US"/>
              </w:rPr>
              <w:t>Обезбедување</w:t>
            </w:r>
            <w:r w:rsidRPr="002A7DDA">
              <w:rPr>
                <w:bCs/>
                <w:iCs/>
                <w:sz w:val="22"/>
                <w:szCs w:val="22"/>
              </w:rPr>
              <w:t xml:space="preserve"> на големопродажни широкопојасни услуги преку кабелски </w:t>
            </w:r>
            <w:r w:rsidRPr="002A7DDA">
              <w:rPr>
                <w:bCs/>
                <w:iCs/>
                <w:sz w:val="22"/>
                <w:szCs w:val="22"/>
                <w:lang w:val="en-US"/>
              </w:rPr>
              <w:t>(HFC)</w:t>
            </w:r>
            <w:r w:rsidRPr="002A7DDA">
              <w:rPr>
                <w:bCs/>
                <w:iCs/>
                <w:sz w:val="22"/>
                <w:szCs w:val="22"/>
              </w:rPr>
              <w:t xml:space="preserve"> мрежи, еквивалентни на битстрим пристап</w:t>
            </w:r>
            <w:bookmarkEnd w:id="1"/>
            <w:bookmarkEnd w:id="2"/>
            <w:r>
              <w:rPr>
                <w:bCs/>
                <w:iCs/>
                <w:sz w:val="22"/>
                <w:szCs w:val="22"/>
                <w:lang w:val="en-US"/>
              </w:rPr>
              <w:t>”</w:t>
            </w:r>
            <w:r>
              <w:rPr>
                <w:b/>
                <w:bCs/>
                <w:iCs/>
                <w:sz w:val="22"/>
                <w:szCs w:val="22"/>
                <w:lang w:val="mk-MK"/>
              </w:rPr>
              <w:t xml:space="preserve"> </w:t>
            </w:r>
            <w:r w:rsidRPr="002A7DDA">
              <w:rPr>
                <w:bCs/>
                <w:iCs/>
                <w:sz w:val="22"/>
                <w:szCs w:val="22"/>
                <w:lang w:val="mk-MK"/>
              </w:rPr>
              <w:t>од која</w:t>
            </w:r>
            <w:r>
              <w:rPr>
                <w:b/>
                <w:bCs/>
                <w:iCs/>
                <w:sz w:val="22"/>
                <w:szCs w:val="22"/>
                <w:lang w:val="mk-MK"/>
              </w:rPr>
              <w:t xml:space="preserve"> </w:t>
            </w:r>
            <w:r w:rsidRPr="002A7DDA">
              <w:rPr>
                <w:sz w:val="22"/>
                <w:szCs w:val="22"/>
                <w:lang w:val="mk-MK"/>
              </w:rPr>
              <w:t xml:space="preserve">може да се заклучи дека </w:t>
            </w:r>
            <w:r>
              <w:rPr>
                <w:sz w:val="22"/>
                <w:szCs w:val="22"/>
                <w:lang w:val="mk-MK"/>
              </w:rPr>
              <w:t>е многу сложено да се направи</w:t>
            </w:r>
            <w:r w:rsidRPr="002A7DDA">
              <w:rPr>
                <w:sz w:val="22"/>
                <w:szCs w:val="22"/>
                <w:lang w:val="mk-MK"/>
              </w:rPr>
              <w:t xml:space="preserve"> развој на понуда за битстр</w:t>
            </w:r>
            <w:r>
              <w:rPr>
                <w:sz w:val="22"/>
                <w:szCs w:val="22"/>
                <w:lang w:val="mk-MK"/>
              </w:rPr>
              <w:t>и</w:t>
            </w:r>
            <w:r w:rsidR="00664088">
              <w:rPr>
                <w:sz w:val="22"/>
                <w:szCs w:val="22"/>
                <w:lang w:val="mk-MK"/>
              </w:rPr>
              <w:t>м услуга преку HFC мрежа</w:t>
            </w:r>
            <w:r w:rsidR="00664088">
              <w:rPr>
                <w:sz w:val="22"/>
                <w:szCs w:val="22"/>
                <w:lang w:val="en-US"/>
              </w:rPr>
              <w:t xml:space="preserve">, </w:t>
            </w:r>
            <w:r w:rsidR="00664088">
              <w:rPr>
                <w:sz w:val="22"/>
                <w:szCs w:val="22"/>
                <w:lang w:val="mk-MK"/>
              </w:rPr>
              <w:t xml:space="preserve">што сметаме дека не е издржано и </w:t>
            </w:r>
            <w:r w:rsidR="00D120D3">
              <w:rPr>
                <w:sz w:val="22"/>
                <w:szCs w:val="22"/>
                <w:lang w:val="mk-MK"/>
              </w:rPr>
              <w:t xml:space="preserve">заради тоа </w:t>
            </w:r>
            <w:r w:rsidR="00664088">
              <w:rPr>
                <w:sz w:val="22"/>
                <w:szCs w:val="22"/>
                <w:lang w:val="mk-MK"/>
              </w:rPr>
              <w:t xml:space="preserve">треба да се направат соодветни корекции </w:t>
            </w:r>
            <w:r w:rsidR="00D120D3">
              <w:rPr>
                <w:sz w:val="22"/>
                <w:szCs w:val="22"/>
                <w:lang w:val="mk-MK"/>
              </w:rPr>
              <w:t>на текстот на</w:t>
            </w:r>
            <w:r w:rsidR="00664088">
              <w:rPr>
                <w:sz w:val="22"/>
                <w:szCs w:val="22"/>
                <w:lang w:val="mk-MK"/>
              </w:rPr>
              <w:t xml:space="preserve"> анализ</w:t>
            </w:r>
            <w:r w:rsidR="00D120D3">
              <w:rPr>
                <w:sz w:val="22"/>
                <w:szCs w:val="22"/>
                <w:lang w:val="mk-MK"/>
              </w:rPr>
              <w:t>а</w:t>
            </w:r>
            <w:r w:rsidR="00664088">
              <w:rPr>
                <w:sz w:val="22"/>
                <w:szCs w:val="22"/>
                <w:lang w:val="mk-MK"/>
              </w:rPr>
              <w:t>та</w:t>
            </w:r>
            <w:r w:rsidRPr="002A7DDA">
              <w:rPr>
                <w:sz w:val="22"/>
                <w:szCs w:val="22"/>
                <w:lang w:val="mk-MK"/>
              </w:rPr>
              <w:t>.</w:t>
            </w:r>
          </w:p>
          <w:p w:rsidR="00C00040" w:rsidRPr="002A7DDA" w:rsidRDefault="00C00040" w:rsidP="002A7DDA">
            <w:pPr>
              <w:tabs>
                <w:tab w:val="left" w:pos="1260"/>
                <w:tab w:val="left" w:pos="10080"/>
              </w:tabs>
              <w:ind w:right="457"/>
              <w:jc w:val="both"/>
              <w:rPr>
                <w:b/>
                <w:bCs/>
                <w:iCs/>
                <w:sz w:val="22"/>
                <w:szCs w:val="22"/>
                <w:lang w:val="en-US"/>
              </w:rPr>
            </w:pPr>
          </w:p>
          <w:p w:rsidR="002A7DDA" w:rsidRDefault="002A7DDA" w:rsidP="002A7DDA">
            <w:pPr>
              <w:tabs>
                <w:tab w:val="left" w:pos="1260"/>
                <w:tab w:val="left" w:pos="10080"/>
              </w:tabs>
              <w:ind w:right="457"/>
              <w:jc w:val="both"/>
              <w:rPr>
                <w:sz w:val="22"/>
                <w:szCs w:val="22"/>
                <w:lang w:val="mk-MK"/>
              </w:rPr>
            </w:pPr>
            <w:r>
              <w:rPr>
                <w:sz w:val="22"/>
                <w:szCs w:val="22"/>
                <w:lang w:val="mk-MK"/>
              </w:rPr>
              <w:t xml:space="preserve">Во врска со делот дека </w:t>
            </w:r>
            <w:r w:rsidR="00462AB1">
              <w:rPr>
                <w:sz w:val="22"/>
                <w:szCs w:val="22"/>
                <w:lang w:val="en-US"/>
              </w:rPr>
              <w:t>“</w:t>
            </w:r>
            <w:r w:rsidRPr="002A7DDA">
              <w:rPr>
                <w:sz w:val="22"/>
                <w:szCs w:val="22"/>
                <w:lang w:val="en-US"/>
              </w:rPr>
              <w:t xml:space="preserve">клиентскиот софтвер </w:t>
            </w:r>
            <w:r>
              <w:rPr>
                <w:sz w:val="22"/>
                <w:szCs w:val="22"/>
                <w:lang w:val="mk-MK"/>
              </w:rPr>
              <w:t xml:space="preserve">е </w:t>
            </w:r>
            <w:r>
              <w:rPr>
                <w:sz w:val="22"/>
                <w:szCs w:val="22"/>
                <w:lang w:val="en-US"/>
              </w:rPr>
              <w:t xml:space="preserve">потребно </w:t>
            </w:r>
            <w:r w:rsidRPr="002A7DDA">
              <w:rPr>
                <w:sz w:val="22"/>
                <w:szCs w:val="22"/>
                <w:lang w:val="en-US"/>
              </w:rPr>
              <w:t>да се инсталира на клиентските компјутери, што ќе резултира да клиентот секогаш кога ќе треба да се конeктира на интернет ќе мора да се иденти</w:t>
            </w:r>
            <w:r>
              <w:rPr>
                <w:sz w:val="22"/>
                <w:szCs w:val="22"/>
                <w:lang w:val="en-US"/>
              </w:rPr>
              <w:t>фик</w:t>
            </w:r>
            <w:r>
              <w:rPr>
                <w:sz w:val="22"/>
                <w:szCs w:val="22"/>
                <w:lang w:val="mk-MK"/>
              </w:rPr>
              <w:t>ува</w:t>
            </w:r>
            <w:r w:rsidR="00462AB1">
              <w:rPr>
                <w:sz w:val="22"/>
                <w:szCs w:val="22"/>
                <w:lang w:val="en-US"/>
              </w:rPr>
              <w:t>”</w:t>
            </w:r>
            <w:r>
              <w:rPr>
                <w:sz w:val="22"/>
                <w:szCs w:val="22"/>
                <w:lang w:val="mk-MK"/>
              </w:rPr>
              <w:t>, сметаме дека о</w:t>
            </w:r>
            <w:r w:rsidRPr="002A7DDA">
              <w:rPr>
                <w:sz w:val="22"/>
                <w:szCs w:val="22"/>
                <w:lang w:val="mk-MK"/>
              </w:rPr>
              <w:t xml:space="preserve">вој недостаток не е ограничувачки доколку се договори </w:t>
            </w:r>
            <w:r w:rsidR="00D120D3">
              <w:rPr>
                <w:sz w:val="22"/>
                <w:szCs w:val="22"/>
                <w:lang w:val="mk-MK"/>
              </w:rPr>
              <w:t xml:space="preserve">помеѓу операторите </w:t>
            </w:r>
            <w:r w:rsidRPr="002A7DDA">
              <w:rPr>
                <w:sz w:val="22"/>
                <w:szCs w:val="22"/>
                <w:lang w:val="mk-MK"/>
              </w:rPr>
              <w:t>на кој начин ќе се нудат услугите. Еден предлог е да се искористат постојни</w:t>
            </w:r>
            <w:r w:rsidR="00AE6A28">
              <w:rPr>
                <w:sz w:val="22"/>
                <w:szCs w:val="22"/>
                <w:lang w:val="mk-MK"/>
              </w:rPr>
              <w:t>те</w:t>
            </w:r>
            <w:r w:rsidRPr="002A7DDA">
              <w:rPr>
                <w:sz w:val="22"/>
                <w:szCs w:val="22"/>
                <w:lang w:val="mk-MK"/>
              </w:rPr>
              <w:t xml:space="preserve"> уреди </w:t>
            </w:r>
            <w:r w:rsidR="00AE6A28">
              <w:rPr>
                <w:sz w:val="22"/>
                <w:szCs w:val="22"/>
                <w:lang w:val="mk-MK"/>
              </w:rPr>
              <w:t>на МКТ</w:t>
            </w:r>
            <w:r w:rsidRPr="002A7DDA">
              <w:rPr>
                <w:sz w:val="22"/>
                <w:szCs w:val="22"/>
                <w:lang w:val="mk-MK"/>
              </w:rPr>
              <w:t>–</w:t>
            </w:r>
            <w:r w:rsidRPr="002A7DDA">
              <w:rPr>
                <w:sz w:val="22"/>
                <w:szCs w:val="22"/>
                <w:lang w:val="en-US"/>
              </w:rPr>
              <w:t xml:space="preserve">HGW </w:t>
            </w:r>
            <w:r>
              <w:rPr>
                <w:sz w:val="22"/>
                <w:szCs w:val="22"/>
                <w:lang w:val="mk-MK"/>
              </w:rPr>
              <w:t>(</w:t>
            </w:r>
            <w:r>
              <w:rPr>
                <w:sz w:val="22"/>
                <w:szCs w:val="22"/>
                <w:lang w:val="en-US"/>
              </w:rPr>
              <w:t xml:space="preserve">Home Gateway) </w:t>
            </w:r>
            <w:r w:rsidRPr="002A7DDA">
              <w:rPr>
                <w:sz w:val="22"/>
                <w:szCs w:val="22"/>
                <w:lang w:val="mk-MK"/>
              </w:rPr>
              <w:t xml:space="preserve">кои се 24 часа конетирани преку </w:t>
            </w:r>
            <w:r w:rsidRPr="002A7DDA">
              <w:rPr>
                <w:sz w:val="22"/>
                <w:szCs w:val="22"/>
                <w:lang w:val="en-US"/>
              </w:rPr>
              <w:t xml:space="preserve">PPPoE </w:t>
            </w:r>
            <w:r w:rsidRPr="002A7DDA">
              <w:rPr>
                <w:sz w:val="22"/>
                <w:szCs w:val="22"/>
                <w:lang w:val="mk-MK"/>
              </w:rPr>
              <w:t>сесија и со тоа да се овозможи оваа услуга кај клиентот без да се најавува</w:t>
            </w:r>
            <w:r w:rsidR="00080628">
              <w:rPr>
                <w:sz w:val="22"/>
                <w:szCs w:val="22"/>
                <w:lang w:val="mk-MK"/>
              </w:rPr>
              <w:t xml:space="preserve"> при воспоставување на секоја нова конекција</w:t>
            </w:r>
            <w:r w:rsidRPr="002A7DDA">
              <w:rPr>
                <w:sz w:val="22"/>
                <w:szCs w:val="22"/>
                <w:lang w:val="mk-MK"/>
              </w:rPr>
              <w:t xml:space="preserve">. Секако уредот единствено </w:t>
            </w:r>
            <w:r w:rsidR="00462AB1">
              <w:rPr>
                <w:sz w:val="22"/>
                <w:szCs w:val="22"/>
                <w:lang w:val="mk-MK"/>
              </w:rPr>
              <w:t>ќе се разликува</w:t>
            </w:r>
            <w:r w:rsidRPr="002A7DDA">
              <w:rPr>
                <w:sz w:val="22"/>
                <w:szCs w:val="22"/>
                <w:lang w:val="mk-MK"/>
              </w:rPr>
              <w:t xml:space="preserve"> во конфигурација</w:t>
            </w:r>
            <w:r w:rsidR="00462AB1">
              <w:rPr>
                <w:sz w:val="22"/>
                <w:szCs w:val="22"/>
                <w:lang w:val="mk-MK"/>
              </w:rPr>
              <w:t>та</w:t>
            </w:r>
            <w:r w:rsidRPr="002A7DDA">
              <w:rPr>
                <w:sz w:val="22"/>
                <w:szCs w:val="22"/>
                <w:lang w:val="mk-MK"/>
              </w:rPr>
              <w:t xml:space="preserve"> </w:t>
            </w:r>
            <w:r w:rsidR="00462AB1">
              <w:rPr>
                <w:sz w:val="22"/>
                <w:szCs w:val="22"/>
                <w:lang w:val="mk-MK"/>
              </w:rPr>
              <w:t>и</w:t>
            </w:r>
            <w:r w:rsidRPr="002A7DDA">
              <w:rPr>
                <w:sz w:val="22"/>
                <w:szCs w:val="22"/>
                <w:lang w:val="mk-MK"/>
              </w:rPr>
              <w:t> </w:t>
            </w:r>
            <w:r w:rsidR="00462AB1">
              <w:rPr>
                <w:sz w:val="22"/>
                <w:szCs w:val="22"/>
                <w:lang w:val="mk-MK"/>
              </w:rPr>
              <w:t>ќе</w:t>
            </w:r>
            <w:r w:rsidRPr="002A7DDA">
              <w:rPr>
                <w:sz w:val="22"/>
                <w:szCs w:val="22"/>
                <w:lang w:val="mk-MK"/>
              </w:rPr>
              <w:t xml:space="preserve"> користи </w:t>
            </w:r>
            <w:r w:rsidRPr="002A7DDA">
              <w:rPr>
                <w:sz w:val="22"/>
                <w:szCs w:val="22"/>
                <w:lang w:val="en-US"/>
              </w:rPr>
              <w:t xml:space="preserve">Ethernet uplink </w:t>
            </w:r>
            <w:r w:rsidRPr="002A7DDA">
              <w:rPr>
                <w:sz w:val="22"/>
                <w:szCs w:val="22"/>
                <w:lang w:val="mk-MK"/>
              </w:rPr>
              <w:t>кон кабелскиот модем.  </w:t>
            </w:r>
          </w:p>
          <w:p w:rsidR="00C00040" w:rsidRDefault="00C00040" w:rsidP="002A7DDA">
            <w:pPr>
              <w:tabs>
                <w:tab w:val="left" w:pos="1260"/>
                <w:tab w:val="left" w:pos="10080"/>
              </w:tabs>
              <w:ind w:right="457"/>
              <w:jc w:val="both"/>
              <w:rPr>
                <w:sz w:val="22"/>
                <w:szCs w:val="22"/>
                <w:lang w:val="mk-MK"/>
              </w:rPr>
            </w:pPr>
          </w:p>
          <w:p w:rsidR="002A7DDA" w:rsidRDefault="002A7DDA" w:rsidP="002A7DDA">
            <w:pPr>
              <w:tabs>
                <w:tab w:val="left" w:pos="1260"/>
                <w:tab w:val="left" w:pos="10080"/>
              </w:tabs>
              <w:ind w:right="457"/>
              <w:jc w:val="both"/>
              <w:rPr>
                <w:sz w:val="22"/>
                <w:szCs w:val="22"/>
                <w:lang w:val="mk-MK"/>
              </w:rPr>
            </w:pPr>
            <w:r>
              <w:rPr>
                <w:sz w:val="22"/>
                <w:szCs w:val="22"/>
                <w:lang w:val="mk-MK"/>
              </w:rPr>
              <w:t>На констатацијата дека</w:t>
            </w:r>
            <w:r w:rsidRPr="002A7DDA">
              <w:rPr>
                <w:sz w:val="22"/>
                <w:szCs w:val="22"/>
                <w:lang w:val="en-US"/>
              </w:rPr>
              <w:t xml:space="preserve"> </w:t>
            </w:r>
            <w:r w:rsidR="00462AB1">
              <w:rPr>
                <w:sz w:val="22"/>
                <w:szCs w:val="22"/>
                <w:lang w:val="en-US"/>
              </w:rPr>
              <w:t>“</w:t>
            </w:r>
            <w:r w:rsidRPr="002A7DDA">
              <w:rPr>
                <w:sz w:val="22"/>
                <w:szCs w:val="22"/>
                <w:lang w:val="en-US"/>
              </w:rPr>
              <w:t>користењето на тунели прави</w:t>
            </w:r>
            <w:r>
              <w:rPr>
                <w:sz w:val="22"/>
                <w:szCs w:val="22"/>
                <w:lang w:val="en-US"/>
              </w:rPr>
              <w:t xml:space="preserve"> самите пакети да бидат поголем</w:t>
            </w:r>
            <w:r>
              <w:rPr>
                <w:sz w:val="22"/>
                <w:szCs w:val="22"/>
                <w:lang w:val="mk-MK"/>
              </w:rPr>
              <w:t>и</w:t>
            </w:r>
            <w:r w:rsidR="00462AB1">
              <w:rPr>
                <w:sz w:val="22"/>
                <w:szCs w:val="22"/>
                <w:lang w:val="en-US"/>
              </w:rPr>
              <w:t>”</w:t>
            </w:r>
            <w:r>
              <w:rPr>
                <w:sz w:val="22"/>
                <w:szCs w:val="22"/>
                <w:lang w:val="mk-MK"/>
              </w:rPr>
              <w:t xml:space="preserve">, нашиот коментар е дека </w:t>
            </w:r>
            <w:r w:rsidRPr="002A7DDA">
              <w:rPr>
                <w:sz w:val="22"/>
                <w:szCs w:val="22"/>
                <w:lang w:val="en-US"/>
              </w:rPr>
              <w:t>overhead</w:t>
            </w:r>
            <w:r w:rsidRPr="002A7DDA">
              <w:rPr>
                <w:sz w:val="22"/>
                <w:szCs w:val="22"/>
                <w:lang w:val="mk-MK"/>
              </w:rPr>
              <w:t>-от</w:t>
            </w:r>
            <w:r w:rsidRPr="002A7DDA">
              <w:rPr>
                <w:sz w:val="22"/>
                <w:szCs w:val="22"/>
                <w:lang w:val="en-US"/>
              </w:rPr>
              <w:t xml:space="preserve"> </w:t>
            </w:r>
            <w:r>
              <w:rPr>
                <w:sz w:val="22"/>
                <w:szCs w:val="22"/>
                <w:lang w:val="mk-MK"/>
              </w:rPr>
              <w:t xml:space="preserve">на пакетите е </w:t>
            </w:r>
            <w:r w:rsidR="00080628">
              <w:rPr>
                <w:sz w:val="22"/>
                <w:szCs w:val="22"/>
                <w:lang w:val="mk-MK"/>
              </w:rPr>
              <w:t>незначително</w:t>
            </w:r>
            <w:r>
              <w:rPr>
                <w:sz w:val="22"/>
                <w:szCs w:val="22"/>
                <w:lang w:val="mk-MK"/>
              </w:rPr>
              <w:t xml:space="preserve"> мал </w:t>
            </w:r>
            <w:r w:rsidRPr="002A7DDA">
              <w:rPr>
                <w:sz w:val="22"/>
                <w:szCs w:val="22"/>
                <w:lang w:val="en-US"/>
              </w:rPr>
              <w:t>(</w:t>
            </w:r>
            <w:r w:rsidR="00080628">
              <w:rPr>
                <w:sz w:val="22"/>
                <w:szCs w:val="22"/>
                <w:lang w:val="mk-MK"/>
              </w:rPr>
              <w:t xml:space="preserve">само </w:t>
            </w:r>
            <w:r w:rsidRPr="002A7DDA">
              <w:rPr>
                <w:sz w:val="22"/>
                <w:szCs w:val="22"/>
                <w:lang w:val="en-US"/>
              </w:rPr>
              <w:t>o</w:t>
            </w:r>
            <w:r w:rsidRPr="002A7DDA">
              <w:rPr>
                <w:sz w:val="22"/>
                <w:szCs w:val="22"/>
                <w:lang w:val="mk-MK"/>
              </w:rPr>
              <w:t>д неколку</w:t>
            </w:r>
            <w:r>
              <w:rPr>
                <w:sz w:val="22"/>
                <w:szCs w:val="22"/>
                <w:lang w:val="mk-MK"/>
              </w:rPr>
              <w:t xml:space="preserve"> </w:t>
            </w:r>
            <w:r w:rsidR="00080628">
              <w:rPr>
                <w:sz w:val="22"/>
                <w:szCs w:val="22"/>
                <w:lang w:val="mk-MK"/>
              </w:rPr>
              <w:t xml:space="preserve">дополнителни </w:t>
            </w:r>
            <w:r>
              <w:rPr>
                <w:sz w:val="22"/>
                <w:szCs w:val="22"/>
                <w:lang w:val="mk-MK"/>
              </w:rPr>
              <w:t>бајти)</w:t>
            </w:r>
            <w:r w:rsidRPr="002A7DDA">
              <w:rPr>
                <w:sz w:val="22"/>
                <w:szCs w:val="22"/>
                <w:lang w:val="mk-MK"/>
              </w:rPr>
              <w:t xml:space="preserve">, </w:t>
            </w:r>
            <w:r>
              <w:rPr>
                <w:sz w:val="22"/>
                <w:szCs w:val="22"/>
                <w:lang w:val="mk-MK"/>
              </w:rPr>
              <w:t>с</w:t>
            </w:r>
            <w:r w:rsidRPr="002A7DDA">
              <w:rPr>
                <w:sz w:val="22"/>
                <w:szCs w:val="22"/>
                <w:lang w:val="mk-MK"/>
              </w:rPr>
              <w:t xml:space="preserve">о </w:t>
            </w:r>
            <w:r>
              <w:rPr>
                <w:sz w:val="22"/>
                <w:szCs w:val="22"/>
                <w:lang w:val="mk-MK"/>
              </w:rPr>
              <w:t xml:space="preserve">што </w:t>
            </w:r>
            <w:r w:rsidRPr="002A7DDA">
              <w:rPr>
                <w:sz w:val="22"/>
                <w:szCs w:val="22"/>
                <w:lang w:val="mk-MK"/>
              </w:rPr>
              <w:t xml:space="preserve">нема да се намалат перфомансите ниту драстично да влијае на </w:t>
            </w:r>
            <w:r w:rsidRPr="002A7DDA">
              <w:rPr>
                <w:sz w:val="22"/>
                <w:szCs w:val="22"/>
                <w:lang w:val="en-US"/>
              </w:rPr>
              <w:t>bandwidth-o</w:t>
            </w:r>
            <w:r>
              <w:rPr>
                <w:sz w:val="22"/>
                <w:szCs w:val="22"/>
                <w:lang w:val="mk-MK"/>
              </w:rPr>
              <w:t>т</w:t>
            </w:r>
            <w:r w:rsidR="00080628">
              <w:rPr>
                <w:sz w:val="22"/>
                <w:szCs w:val="22"/>
                <w:lang w:val="mk-MK"/>
              </w:rPr>
              <w:t xml:space="preserve"> (брзината)</w:t>
            </w:r>
            <w:r w:rsidRPr="002A7DDA">
              <w:rPr>
                <w:sz w:val="22"/>
                <w:szCs w:val="22"/>
                <w:lang w:val="mk-MK"/>
              </w:rPr>
              <w:t xml:space="preserve"> особено во региони со </w:t>
            </w:r>
            <w:r w:rsidRPr="002A7DDA">
              <w:rPr>
                <w:sz w:val="22"/>
                <w:szCs w:val="22"/>
                <w:lang w:val="en-US"/>
              </w:rPr>
              <w:t>DOCSIS 3.0</w:t>
            </w:r>
            <w:r w:rsidR="00462AB1">
              <w:rPr>
                <w:sz w:val="22"/>
                <w:szCs w:val="22"/>
                <w:lang w:val="mk-MK"/>
              </w:rPr>
              <w:t xml:space="preserve"> технологија</w:t>
            </w:r>
            <w:r w:rsidRPr="002A7DDA">
              <w:rPr>
                <w:sz w:val="22"/>
                <w:szCs w:val="22"/>
                <w:lang w:val="en-US"/>
              </w:rPr>
              <w:t xml:space="preserve">. </w:t>
            </w:r>
          </w:p>
          <w:p w:rsidR="00C00040" w:rsidRPr="00C00040" w:rsidRDefault="00C00040" w:rsidP="002A7DDA">
            <w:pPr>
              <w:tabs>
                <w:tab w:val="left" w:pos="1260"/>
                <w:tab w:val="left" w:pos="10080"/>
              </w:tabs>
              <w:ind w:right="457"/>
              <w:jc w:val="both"/>
              <w:rPr>
                <w:sz w:val="22"/>
                <w:szCs w:val="22"/>
                <w:lang w:val="mk-MK"/>
              </w:rPr>
            </w:pPr>
          </w:p>
          <w:p w:rsidR="00747DBA" w:rsidRDefault="002A7DDA" w:rsidP="002A7DDA">
            <w:pPr>
              <w:tabs>
                <w:tab w:val="left" w:pos="1260"/>
                <w:tab w:val="left" w:pos="10080"/>
              </w:tabs>
              <w:ind w:right="457"/>
              <w:jc w:val="both"/>
              <w:rPr>
                <w:sz w:val="22"/>
                <w:szCs w:val="22"/>
                <w:lang w:val="mk-MK"/>
              </w:rPr>
            </w:pPr>
            <w:r>
              <w:rPr>
                <w:sz w:val="22"/>
                <w:szCs w:val="22"/>
                <w:lang w:val="mk-MK"/>
              </w:rPr>
              <w:t>За заклучокот дека</w:t>
            </w:r>
            <w:r w:rsidRPr="002A7DDA">
              <w:rPr>
                <w:sz w:val="22"/>
                <w:szCs w:val="22"/>
                <w:lang w:val="en-US"/>
              </w:rPr>
              <w:t xml:space="preserve"> </w:t>
            </w:r>
            <w:r w:rsidR="00462AB1">
              <w:rPr>
                <w:sz w:val="22"/>
                <w:szCs w:val="22"/>
                <w:lang w:val="en-US"/>
              </w:rPr>
              <w:t>“</w:t>
            </w:r>
            <w:r w:rsidRPr="002A7DDA">
              <w:rPr>
                <w:sz w:val="22"/>
                <w:szCs w:val="22"/>
                <w:lang w:val="en-US"/>
              </w:rPr>
              <w:t>PPPoE и L2TP тунелите не се транспарентни за провајдерите и услугите како што се QoS нема да може да с</w:t>
            </w:r>
            <w:r>
              <w:rPr>
                <w:sz w:val="22"/>
                <w:szCs w:val="22"/>
                <w:lang w:val="en-US"/>
              </w:rPr>
              <w:t>е понудат до крајниот корисник</w:t>
            </w:r>
            <w:r w:rsidR="00462AB1">
              <w:rPr>
                <w:sz w:val="22"/>
                <w:szCs w:val="22"/>
                <w:lang w:val="en-US"/>
              </w:rPr>
              <w:t>”</w:t>
            </w:r>
            <w:r>
              <w:rPr>
                <w:sz w:val="22"/>
                <w:szCs w:val="22"/>
                <w:lang w:val="mk-MK"/>
              </w:rPr>
              <w:t xml:space="preserve"> нашиот коментар е следниот</w:t>
            </w:r>
            <w:r>
              <w:rPr>
                <w:sz w:val="22"/>
                <w:szCs w:val="22"/>
                <w:lang w:val="en-US"/>
              </w:rPr>
              <w:t xml:space="preserve">: </w:t>
            </w:r>
            <w:r>
              <w:rPr>
                <w:sz w:val="22"/>
                <w:szCs w:val="22"/>
                <w:lang w:val="mk-MK"/>
              </w:rPr>
              <w:t xml:space="preserve">на </w:t>
            </w:r>
            <w:r w:rsidRPr="002A7DDA">
              <w:rPr>
                <w:sz w:val="22"/>
                <w:szCs w:val="22"/>
                <w:lang w:val="mk-MK"/>
              </w:rPr>
              <w:t>самиот уред</w:t>
            </w:r>
            <w:r w:rsidRPr="002A7DDA">
              <w:rPr>
                <w:sz w:val="22"/>
                <w:szCs w:val="22"/>
                <w:lang w:val="en-US"/>
              </w:rPr>
              <w:t xml:space="preserve"> CMTS, </w:t>
            </w:r>
            <w:r w:rsidR="00462AB1">
              <w:rPr>
                <w:sz w:val="22"/>
                <w:szCs w:val="22"/>
                <w:lang w:val="mk-MK"/>
              </w:rPr>
              <w:t>агрегаторот</w:t>
            </w:r>
            <w:r w:rsidRPr="002A7DDA">
              <w:rPr>
                <w:sz w:val="22"/>
                <w:szCs w:val="22"/>
                <w:lang w:val="en-US"/>
              </w:rPr>
              <w:t xml:space="preserve"> </w:t>
            </w:r>
            <w:r w:rsidRPr="002A7DDA">
              <w:rPr>
                <w:sz w:val="22"/>
                <w:szCs w:val="22"/>
                <w:lang w:val="mk-MK"/>
              </w:rPr>
              <w:t xml:space="preserve">на ниво 2 или пак </w:t>
            </w:r>
            <w:r w:rsidRPr="002A7DDA">
              <w:rPr>
                <w:sz w:val="22"/>
                <w:szCs w:val="22"/>
                <w:lang w:val="en-US"/>
              </w:rPr>
              <w:t xml:space="preserve">MPLS </w:t>
            </w:r>
            <w:r w:rsidRPr="002A7DDA">
              <w:rPr>
                <w:sz w:val="22"/>
                <w:szCs w:val="22"/>
                <w:lang w:val="mk-MK"/>
              </w:rPr>
              <w:t xml:space="preserve">рутерот постојат можности за конфигурација на </w:t>
            </w:r>
            <w:r w:rsidRPr="002A7DDA">
              <w:rPr>
                <w:sz w:val="22"/>
                <w:szCs w:val="22"/>
                <w:lang w:val="en-US"/>
              </w:rPr>
              <w:t xml:space="preserve">QoS </w:t>
            </w:r>
            <w:r w:rsidR="00080628">
              <w:rPr>
                <w:sz w:val="22"/>
                <w:szCs w:val="22"/>
                <w:lang w:val="mk-MK"/>
              </w:rPr>
              <w:t xml:space="preserve">параметрите </w:t>
            </w:r>
            <w:r w:rsidRPr="002A7DDA">
              <w:rPr>
                <w:sz w:val="22"/>
                <w:szCs w:val="22"/>
                <w:lang w:val="mk-MK"/>
              </w:rPr>
              <w:t xml:space="preserve">на </w:t>
            </w:r>
            <w:r w:rsidRPr="002A7DDA">
              <w:rPr>
                <w:sz w:val="22"/>
                <w:szCs w:val="22"/>
                <w:lang w:val="en-US"/>
              </w:rPr>
              <w:t xml:space="preserve">VLAN </w:t>
            </w:r>
            <w:r w:rsidRPr="002A7DDA">
              <w:rPr>
                <w:sz w:val="22"/>
                <w:szCs w:val="22"/>
                <w:lang w:val="mk-MK"/>
              </w:rPr>
              <w:t>по услуга</w:t>
            </w:r>
            <w:r w:rsidR="00080628">
              <w:rPr>
                <w:sz w:val="22"/>
                <w:szCs w:val="22"/>
                <w:lang w:val="mk-MK"/>
              </w:rPr>
              <w:t>,</w:t>
            </w:r>
            <w:r w:rsidRPr="002A7DDA">
              <w:rPr>
                <w:sz w:val="22"/>
                <w:szCs w:val="22"/>
                <w:lang w:val="mk-MK"/>
              </w:rPr>
              <w:t xml:space="preserve"> кој потоа би се предал кон </w:t>
            </w:r>
            <w:r w:rsidR="00462AB1">
              <w:rPr>
                <w:sz w:val="22"/>
                <w:szCs w:val="22"/>
                <w:lang w:val="mk-MK"/>
              </w:rPr>
              <w:t>големопродажниот партнер</w:t>
            </w:r>
            <w:r w:rsidRPr="002A7DDA">
              <w:rPr>
                <w:sz w:val="22"/>
                <w:szCs w:val="22"/>
                <w:lang w:val="mk-MK"/>
              </w:rPr>
              <w:t xml:space="preserve"> како </w:t>
            </w:r>
            <w:r w:rsidRPr="002A7DDA">
              <w:rPr>
                <w:sz w:val="22"/>
                <w:szCs w:val="22"/>
                <w:lang w:val="en-US"/>
              </w:rPr>
              <w:t>VPN</w:t>
            </w:r>
            <w:r w:rsidRPr="002A7DDA">
              <w:rPr>
                <w:sz w:val="22"/>
                <w:szCs w:val="22"/>
                <w:lang w:val="mk-MK"/>
              </w:rPr>
              <w:t xml:space="preserve"> </w:t>
            </w:r>
            <w:r w:rsidR="00080628">
              <w:rPr>
                <w:sz w:val="22"/>
                <w:szCs w:val="22"/>
                <w:lang w:val="mk-MK"/>
              </w:rPr>
              <w:t xml:space="preserve">канал </w:t>
            </w:r>
            <w:r w:rsidRPr="002A7DDA">
              <w:rPr>
                <w:sz w:val="22"/>
                <w:szCs w:val="22"/>
                <w:lang w:val="mk-MK"/>
              </w:rPr>
              <w:t>на ниво</w:t>
            </w:r>
            <w:r w:rsidR="00462AB1">
              <w:rPr>
                <w:sz w:val="22"/>
                <w:szCs w:val="22"/>
                <w:lang w:val="mk-MK"/>
              </w:rPr>
              <w:t xml:space="preserve"> </w:t>
            </w:r>
            <w:r w:rsidRPr="002A7DDA">
              <w:rPr>
                <w:sz w:val="22"/>
                <w:szCs w:val="22"/>
                <w:lang w:val="mk-MK"/>
              </w:rPr>
              <w:t>2</w:t>
            </w:r>
            <w:r w:rsidR="00462AB1">
              <w:rPr>
                <w:sz w:val="22"/>
                <w:szCs w:val="22"/>
                <w:lang w:val="mk-MK"/>
              </w:rPr>
              <w:t xml:space="preserve"> или </w:t>
            </w:r>
            <w:r w:rsidRPr="002A7DDA">
              <w:rPr>
                <w:sz w:val="22"/>
                <w:szCs w:val="22"/>
                <w:lang w:val="mk-MK"/>
              </w:rPr>
              <w:t xml:space="preserve">3. </w:t>
            </w:r>
            <w:r w:rsidR="00747DBA">
              <w:rPr>
                <w:sz w:val="22"/>
                <w:szCs w:val="22"/>
                <w:lang w:val="mk-MK"/>
              </w:rPr>
              <w:t>В</w:t>
            </w:r>
            <w:r w:rsidRPr="002A7DDA">
              <w:rPr>
                <w:sz w:val="22"/>
                <w:szCs w:val="22"/>
                <w:lang w:val="mk-MK"/>
              </w:rPr>
              <w:t xml:space="preserve">о соодветни временски рамки и со </w:t>
            </w:r>
            <w:r w:rsidR="00080628">
              <w:rPr>
                <w:sz w:val="22"/>
                <w:szCs w:val="22"/>
                <w:lang w:val="mk-MK"/>
              </w:rPr>
              <w:t xml:space="preserve">мала </w:t>
            </w:r>
            <w:r w:rsidR="00747DBA">
              <w:rPr>
                <w:sz w:val="22"/>
                <w:szCs w:val="22"/>
                <w:lang w:val="mk-MK"/>
              </w:rPr>
              <w:t xml:space="preserve">помош </w:t>
            </w:r>
            <w:r w:rsidRPr="002A7DDA">
              <w:rPr>
                <w:sz w:val="22"/>
                <w:szCs w:val="22"/>
                <w:lang w:val="mk-MK"/>
              </w:rPr>
              <w:t xml:space="preserve">од </w:t>
            </w:r>
            <w:r w:rsidR="00747DBA">
              <w:rPr>
                <w:sz w:val="22"/>
                <w:szCs w:val="22"/>
                <w:lang w:val="mk-MK"/>
              </w:rPr>
              <w:t>добавувачите</w:t>
            </w:r>
            <w:r w:rsidRPr="002A7DDA">
              <w:rPr>
                <w:sz w:val="22"/>
                <w:szCs w:val="22"/>
                <w:lang w:val="mk-MK"/>
              </w:rPr>
              <w:t xml:space="preserve"> би се постигнала техничка можност за понуда на двете нивоа</w:t>
            </w:r>
            <w:r w:rsidR="00462AB1">
              <w:rPr>
                <w:sz w:val="22"/>
                <w:szCs w:val="22"/>
                <w:lang w:val="mk-MK"/>
              </w:rPr>
              <w:t xml:space="preserve"> </w:t>
            </w:r>
            <w:r w:rsidR="00080628">
              <w:rPr>
                <w:sz w:val="22"/>
                <w:szCs w:val="22"/>
                <w:lang w:val="mk-MK"/>
              </w:rPr>
              <w:t xml:space="preserve">(2 и 3) </w:t>
            </w:r>
            <w:r w:rsidR="00462AB1">
              <w:rPr>
                <w:sz w:val="22"/>
                <w:szCs w:val="22"/>
                <w:lang w:val="mk-MK"/>
              </w:rPr>
              <w:t>од страна на регулираниот оператор (во овој случај ОНЕ.ВИП)</w:t>
            </w:r>
            <w:r w:rsidR="00080628">
              <w:rPr>
                <w:sz w:val="22"/>
                <w:szCs w:val="22"/>
                <w:lang w:val="mk-MK"/>
              </w:rPr>
              <w:t>, како што е случај со референтната понуда за битстрим пристап на МКТ</w:t>
            </w:r>
            <w:r w:rsidRPr="002A7DDA">
              <w:rPr>
                <w:sz w:val="22"/>
                <w:szCs w:val="22"/>
                <w:lang w:val="mk-MK"/>
              </w:rPr>
              <w:t xml:space="preserve">. </w:t>
            </w:r>
          </w:p>
          <w:p w:rsidR="00C00040" w:rsidRDefault="00C00040" w:rsidP="002A7DDA">
            <w:pPr>
              <w:tabs>
                <w:tab w:val="left" w:pos="1260"/>
                <w:tab w:val="left" w:pos="10080"/>
              </w:tabs>
              <w:ind w:right="457"/>
              <w:jc w:val="both"/>
              <w:rPr>
                <w:sz w:val="22"/>
                <w:szCs w:val="22"/>
                <w:lang w:val="mk-MK"/>
              </w:rPr>
            </w:pPr>
          </w:p>
          <w:p w:rsidR="002A7DDA" w:rsidRPr="002A7DDA" w:rsidRDefault="00747DBA" w:rsidP="002A7DDA">
            <w:pPr>
              <w:tabs>
                <w:tab w:val="left" w:pos="1260"/>
                <w:tab w:val="left" w:pos="10080"/>
              </w:tabs>
              <w:ind w:right="457"/>
              <w:jc w:val="both"/>
              <w:rPr>
                <w:sz w:val="22"/>
                <w:szCs w:val="22"/>
                <w:lang w:val="en-US"/>
              </w:rPr>
            </w:pPr>
            <w:r>
              <w:rPr>
                <w:sz w:val="22"/>
                <w:szCs w:val="22"/>
                <w:lang w:val="mk-MK"/>
              </w:rPr>
              <w:t>Коментарот на следниот дел</w:t>
            </w:r>
            <w:r>
              <w:rPr>
                <w:sz w:val="22"/>
                <w:szCs w:val="22"/>
                <w:lang w:val="en-US"/>
              </w:rPr>
              <w:t xml:space="preserve">: </w:t>
            </w:r>
            <w:r w:rsidR="002A7DDA" w:rsidRPr="002A7DDA">
              <w:rPr>
                <w:sz w:val="22"/>
                <w:szCs w:val="22"/>
                <w:lang w:val="en-US"/>
              </w:rPr>
              <w:t>“</w:t>
            </w:r>
            <w:r w:rsidR="002A7DDA" w:rsidRPr="002A7DDA">
              <w:rPr>
                <w:sz w:val="22"/>
                <w:szCs w:val="22"/>
                <w:lang w:val="mk-MK"/>
              </w:rPr>
              <w:t>Пристапот на трето</w:t>
            </w:r>
            <w:r>
              <w:rPr>
                <w:sz w:val="22"/>
                <w:szCs w:val="22"/>
                <w:lang w:val="mk-MK"/>
              </w:rPr>
              <w:t xml:space="preserve"> ниво во основа ги опфаќа PBR (Policy Based Routing), MPLS (</w:t>
            </w:r>
            <w:r w:rsidR="002A7DDA" w:rsidRPr="002A7DDA">
              <w:rPr>
                <w:sz w:val="22"/>
                <w:szCs w:val="22"/>
                <w:lang w:val="mk-MK"/>
              </w:rPr>
              <w:t>Multi Protocol Lab</w:t>
            </w:r>
            <w:r>
              <w:rPr>
                <w:sz w:val="22"/>
                <w:szCs w:val="22"/>
                <w:lang w:val="mk-MK"/>
              </w:rPr>
              <w:t>el Switching</w:t>
            </w:r>
            <w:r w:rsidR="002A7DDA" w:rsidRPr="002A7DDA">
              <w:rPr>
                <w:sz w:val="22"/>
                <w:szCs w:val="22"/>
                <w:lang w:val="mk-MK"/>
              </w:rPr>
              <w:t>) и IP-VPN. Повторно тука основниот проблем е идентификација на клиентите, како и потребата за имплементација на рутери со висок</w:t>
            </w:r>
            <w:r w:rsidR="00080628">
              <w:rPr>
                <w:sz w:val="22"/>
                <w:szCs w:val="22"/>
                <w:lang w:val="mk-MK"/>
              </w:rPr>
              <w:t>и</w:t>
            </w:r>
            <w:r w:rsidR="002A7DDA" w:rsidRPr="002A7DDA">
              <w:rPr>
                <w:sz w:val="22"/>
                <w:szCs w:val="22"/>
                <w:lang w:val="mk-MK"/>
              </w:rPr>
              <w:t xml:space="preserve"> перформанси во мрежата поради комплексните полиси шт</w:t>
            </w:r>
            <w:r w:rsidR="000F299C">
              <w:rPr>
                <w:sz w:val="22"/>
                <w:szCs w:val="22"/>
                <w:lang w:val="mk-MK"/>
              </w:rPr>
              <w:t>о треба да бидат имплементирани</w:t>
            </w:r>
            <w:r w:rsidR="00080628">
              <w:rPr>
                <w:sz w:val="22"/>
                <w:szCs w:val="22"/>
                <w:lang w:val="mk-MK"/>
              </w:rPr>
              <w:t>.</w:t>
            </w:r>
            <w:r w:rsidR="002A7DDA" w:rsidRPr="002A7DDA">
              <w:rPr>
                <w:sz w:val="22"/>
                <w:szCs w:val="22"/>
                <w:lang w:val="en-US"/>
              </w:rPr>
              <w:t>”</w:t>
            </w:r>
            <w:r w:rsidR="000F299C">
              <w:rPr>
                <w:sz w:val="22"/>
                <w:szCs w:val="22"/>
                <w:lang w:val="mk-MK"/>
              </w:rPr>
              <w:t xml:space="preserve"> е </w:t>
            </w:r>
            <w:r w:rsidR="000F299C">
              <w:rPr>
                <w:sz w:val="22"/>
                <w:szCs w:val="22"/>
                <w:lang w:val="mk-MK"/>
              </w:rPr>
              <w:lastRenderedPageBreak/>
              <w:t>следниот</w:t>
            </w:r>
            <w:r w:rsidR="000F299C">
              <w:rPr>
                <w:sz w:val="22"/>
                <w:szCs w:val="22"/>
                <w:lang w:val="en-US"/>
              </w:rPr>
              <w:t xml:space="preserve">: </w:t>
            </w:r>
            <w:r w:rsidR="002A7DDA" w:rsidRPr="002A7DDA">
              <w:rPr>
                <w:sz w:val="22"/>
                <w:szCs w:val="22"/>
                <w:lang w:val="en-US"/>
              </w:rPr>
              <w:t xml:space="preserve"> </w:t>
            </w:r>
          </w:p>
          <w:p w:rsidR="002A7DDA" w:rsidRDefault="002A7DDA" w:rsidP="000F299C">
            <w:pPr>
              <w:tabs>
                <w:tab w:val="left" w:pos="1260"/>
                <w:tab w:val="left" w:pos="10080"/>
              </w:tabs>
              <w:ind w:right="457"/>
              <w:jc w:val="both"/>
              <w:rPr>
                <w:sz w:val="22"/>
                <w:szCs w:val="22"/>
                <w:lang w:val="en-US"/>
              </w:rPr>
            </w:pPr>
            <w:r w:rsidRPr="002A7DDA">
              <w:rPr>
                <w:sz w:val="22"/>
                <w:szCs w:val="22"/>
                <w:lang w:val="en-US"/>
              </w:rPr>
              <w:t>T</w:t>
            </w:r>
            <w:r w:rsidRPr="002A7DDA">
              <w:rPr>
                <w:sz w:val="22"/>
                <w:szCs w:val="22"/>
                <w:lang w:val="mk-MK"/>
              </w:rPr>
              <w:t>рето</w:t>
            </w:r>
            <w:r w:rsidR="00462AB1">
              <w:rPr>
                <w:sz w:val="22"/>
                <w:szCs w:val="22"/>
                <w:lang w:val="mk-MK"/>
              </w:rPr>
              <w:t>то</w:t>
            </w:r>
            <w:r w:rsidRPr="002A7DDA">
              <w:rPr>
                <w:sz w:val="22"/>
                <w:szCs w:val="22"/>
                <w:lang w:val="mk-MK"/>
              </w:rPr>
              <w:t xml:space="preserve"> ниво </w:t>
            </w:r>
            <w:r w:rsidR="00462AB1">
              <w:rPr>
                <w:sz w:val="22"/>
                <w:szCs w:val="22"/>
                <w:lang w:val="mk-MK"/>
              </w:rPr>
              <w:t xml:space="preserve">од битстрим пристапот преку </w:t>
            </w:r>
            <w:r w:rsidR="00462AB1">
              <w:rPr>
                <w:sz w:val="22"/>
                <w:szCs w:val="22"/>
                <w:lang w:val="en-US"/>
              </w:rPr>
              <w:t xml:space="preserve">HFC </w:t>
            </w:r>
            <w:r w:rsidR="00462AB1">
              <w:rPr>
                <w:sz w:val="22"/>
                <w:szCs w:val="22"/>
                <w:lang w:val="mk-MK"/>
              </w:rPr>
              <w:t xml:space="preserve">мрежа </w:t>
            </w:r>
            <w:r w:rsidRPr="002A7DDA">
              <w:rPr>
                <w:sz w:val="22"/>
                <w:szCs w:val="22"/>
                <w:lang w:val="mk-MK"/>
              </w:rPr>
              <w:t xml:space="preserve">може да има лесни интеграциски конекции со сегментирање на IP VPN </w:t>
            </w:r>
            <w:r w:rsidR="00080628">
              <w:rPr>
                <w:sz w:val="22"/>
                <w:szCs w:val="22"/>
                <w:lang w:val="mk-MK"/>
              </w:rPr>
              <w:t xml:space="preserve">каналите </w:t>
            </w:r>
            <w:r w:rsidRPr="002A7DDA">
              <w:rPr>
                <w:sz w:val="22"/>
                <w:szCs w:val="22"/>
                <w:lang w:val="mk-MK"/>
              </w:rPr>
              <w:t>по услуга</w:t>
            </w:r>
            <w:r w:rsidR="00080628">
              <w:rPr>
                <w:sz w:val="22"/>
                <w:szCs w:val="22"/>
                <w:lang w:val="mk-MK"/>
              </w:rPr>
              <w:t xml:space="preserve"> (на пример обезбедување на дедициран</w:t>
            </w:r>
            <w:r w:rsidR="00080628" w:rsidRPr="002A7DDA">
              <w:rPr>
                <w:sz w:val="22"/>
                <w:szCs w:val="22"/>
                <w:lang w:val="mk-MK"/>
              </w:rPr>
              <w:t xml:space="preserve"> VPN </w:t>
            </w:r>
            <w:r w:rsidR="00080628">
              <w:rPr>
                <w:sz w:val="22"/>
                <w:szCs w:val="22"/>
                <w:lang w:val="mk-MK"/>
              </w:rPr>
              <w:t>канал за интернет и посебно за телевизија).</w:t>
            </w:r>
            <w:r w:rsidRPr="002A7DDA">
              <w:rPr>
                <w:sz w:val="22"/>
                <w:szCs w:val="22"/>
                <w:lang w:val="mk-MK"/>
              </w:rPr>
              <w:t xml:space="preserve"> Доколку се откажеме од идентификација на трет параметар </w:t>
            </w:r>
            <w:r w:rsidRPr="002A7DDA">
              <w:rPr>
                <w:sz w:val="22"/>
                <w:szCs w:val="22"/>
                <w:lang w:val="en-US"/>
              </w:rPr>
              <w:t>“Circuit-</w:t>
            </w:r>
            <w:r w:rsidR="00747DBA">
              <w:rPr>
                <w:sz w:val="22"/>
                <w:szCs w:val="22"/>
                <w:lang w:val="en-US"/>
              </w:rPr>
              <w:t>ID</w:t>
            </w:r>
            <w:r w:rsidRPr="002A7DDA">
              <w:rPr>
                <w:sz w:val="22"/>
                <w:szCs w:val="22"/>
                <w:lang w:val="en-US"/>
              </w:rPr>
              <w:t xml:space="preserve">” </w:t>
            </w:r>
            <w:r w:rsidRPr="002A7DDA">
              <w:rPr>
                <w:sz w:val="22"/>
                <w:szCs w:val="22"/>
                <w:lang w:val="mk-MK"/>
              </w:rPr>
              <w:t xml:space="preserve">би генерирале </w:t>
            </w:r>
            <w:r w:rsidRPr="002A7DDA">
              <w:rPr>
                <w:sz w:val="22"/>
                <w:szCs w:val="22"/>
                <w:lang w:val="en-US"/>
              </w:rPr>
              <w:t>PPPoE user/pass</w:t>
            </w:r>
            <w:r w:rsidR="000F299C">
              <w:rPr>
                <w:sz w:val="22"/>
                <w:szCs w:val="22"/>
                <w:lang w:val="en-US"/>
              </w:rPr>
              <w:t>word</w:t>
            </w:r>
            <w:r w:rsidRPr="002A7DDA">
              <w:rPr>
                <w:sz w:val="22"/>
                <w:szCs w:val="22"/>
                <w:lang w:val="en-US"/>
              </w:rPr>
              <w:t xml:space="preserve"> </w:t>
            </w:r>
            <w:r w:rsidRPr="002A7DDA">
              <w:rPr>
                <w:sz w:val="22"/>
                <w:szCs w:val="22"/>
                <w:lang w:val="mk-MK"/>
              </w:rPr>
              <w:t xml:space="preserve">кои би биле </w:t>
            </w:r>
            <w:r w:rsidR="000F299C">
              <w:rPr>
                <w:sz w:val="22"/>
                <w:szCs w:val="22"/>
                <w:lang w:val="mk-MK"/>
              </w:rPr>
              <w:t>уникатни</w:t>
            </w:r>
            <w:r w:rsidRPr="002A7DDA">
              <w:rPr>
                <w:sz w:val="22"/>
                <w:szCs w:val="22"/>
                <w:lang w:val="en-US"/>
              </w:rPr>
              <w:t xml:space="preserve"> </w:t>
            </w:r>
            <w:r w:rsidRPr="002A7DDA">
              <w:rPr>
                <w:sz w:val="22"/>
                <w:szCs w:val="22"/>
                <w:lang w:val="mk-MK"/>
              </w:rPr>
              <w:t xml:space="preserve">по корисник и би се поставиле директно на </w:t>
            </w:r>
            <w:r w:rsidRPr="002A7DDA">
              <w:rPr>
                <w:sz w:val="22"/>
                <w:szCs w:val="22"/>
                <w:lang w:val="en-US"/>
              </w:rPr>
              <w:t xml:space="preserve">HGW </w:t>
            </w:r>
            <w:r w:rsidRPr="002A7DDA">
              <w:rPr>
                <w:sz w:val="22"/>
                <w:szCs w:val="22"/>
                <w:lang w:val="mk-MK"/>
              </w:rPr>
              <w:t xml:space="preserve">како на </w:t>
            </w:r>
            <w:r w:rsidR="000F299C">
              <w:rPr>
                <w:sz w:val="22"/>
                <w:szCs w:val="22"/>
                <w:lang w:val="mk-MK"/>
              </w:rPr>
              <w:t>следната слика</w:t>
            </w:r>
            <w:r w:rsidR="000F299C">
              <w:rPr>
                <w:sz w:val="22"/>
                <w:szCs w:val="22"/>
                <w:lang w:val="en-US"/>
              </w:rPr>
              <w:t xml:space="preserve">: </w:t>
            </w:r>
          </w:p>
          <w:p w:rsidR="000F299C" w:rsidRPr="000F299C" w:rsidRDefault="006E3D19" w:rsidP="000F299C">
            <w:pPr>
              <w:tabs>
                <w:tab w:val="left" w:pos="1260"/>
                <w:tab w:val="left" w:pos="10080"/>
              </w:tabs>
              <w:ind w:right="457"/>
              <w:jc w:val="both"/>
              <w:rPr>
                <w:sz w:val="22"/>
                <w:szCs w:val="22"/>
                <w:lang w:val="mk-MK"/>
              </w:rPr>
            </w:pPr>
            <w:r>
              <w:rPr>
                <w:noProof/>
                <w:lang w:val="mk-MK" w:eastAsia="mk-MK"/>
              </w:rPr>
              <w:drawing>
                <wp:inline distT="0" distB="0" distL="0" distR="0">
                  <wp:extent cx="5443496" cy="3997274"/>
                  <wp:effectExtent l="19050" t="0" r="4804" b="0"/>
                  <wp:docPr id="7" name="Picture 7" descr="C:\Users\draganaj\AppData\Local\Microsoft\Windows\INetCache\Content.Word\WS HFC - MKT Bitst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aganaj\AppData\Local\Microsoft\Windows\INetCache\Content.Word\WS HFC - MKT Bitstream.jpg"/>
                          <pic:cNvPicPr>
                            <a:picLocks noChangeAspect="1" noChangeArrowheads="1"/>
                          </pic:cNvPicPr>
                        </pic:nvPicPr>
                        <pic:blipFill>
                          <a:blip r:embed="rId18" cstate="print"/>
                          <a:srcRect/>
                          <a:stretch>
                            <a:fillRect/>
                          </a:stretch>
                        </pic:blipFill>
                        <pic:spPr bwMode="auto">
                          <a:xfrm>
                            <a:off x="0" y="0"/>
                            <a:ext cx="5446937" cy="3999801"/>
                          </a:xfrm>
                          <a:prstGeom prst="rect">
                            <a:avLst/>
                          </a:prstGeom>
                          <a:noFill/>
                          <a:ln w="9525">
                            <a:noFill/>
                            <a:miter lim="800000"/>
                            <a:headEnd/>
                            <a:tailEnd/>
                          </a:ln>
                        </pic:spPr>
                      </pic:pic>
                    </a:graphicData>
                  </a:graphic>
                </wp:inline>
              </w:drawing>
            </w:r>
          </w:p>
          <w:p w:rsidR="002A7DDA" w:rsidRPr="002A7DDA" w:rsidRDefault="002A7DDA" w:rsidP="002A7DDA">
            <w:pPr>
              <w:tabs>
                <w:tab w:val="left" w:pos="1260"/>
                <w:tab w:val="left" w:pos="10080"/>
              </w:tabs>
              <w:ind w:right="457"/>
              <w:jc w:val="both"/>
              <w:rPr>
                <w:sz w:val="22"/>
                <w:szCs w:val="22"/>
                <w:lang w:val="mk-MK"/>
              </w:rPr>
            </w:pPr>
          </w:p>
          <w:p w:rsidR="002A7DDA" w:rsidRPr="002A7DDA" w:rsidRDefault="00BA352A" w:rsidP="002A7DDA">
            <w:pPr>
              <w:tabs>
                <w:tab w:val="left" w:pos="1260"/>
                <w:tab w:val="left" w:pos="10080"/>
              </w:tabs>
              <w:ind w:right="457"/>
              <w:jc w:val="both"/>
              <w:rPr>
                <w:sz w:val="22"/>
                <w:szCs w:val="22"/>
                <w:lang w:val="mk-MK"/>
              </w:rPr>
            </w:pPr>
            <w:r>
              <w:rPr>
                <w:sz w:val="22"/>
                <w:szCs w:val="22"/>
                <w:lang w:val="mk-MK"/>
              </w:rPr>
              <w:t>Согласно</w:t>
            </w:r>
            <w:r w:rsidR="002A7DDA" w:rsidRPr="002A7DDA">
              <w:rPr>
                <w:sz w:val="22"/>
                <w:szCs w:val="22"/>
                <w:lang w:val="mk-MK"/>
              </w:rPr>
              <w:t xml:space="preserve"> член 11 од </w:t>
            </w:r>
            <w:r>
              <w:rPr>
                <w:sz w:val="22"/>
                <w:szCs w:val="22"/>
                <w:lang w:val="mk-MK"/>
              </w:rPr>
              <w:t>П</w:t>
            </w:r>
            <w:r w:rsidR="002A7DDA" w:rsidRPr="002A7DDA">
              <w:rPr>
                <w:sz w:val="22"/>
                <w:szCs w:val="22"/>
                <w:lang w:val="mk-MK"/>
              </w:rPr>
              <w:t xml:space="preserve">равилникот </w:t>
            </w:r>
            <w:r>
              <w:rPr>
                <w:sz w:val="22"/>
                <w:szCs w:val="22"/>
                <w:lang w:val="mk-MK"/>
              </w:rPr>
              <w:t xml:space="preserve">за </w:t>
            </w:r>
            <w:r w:rsidR="00080628">
              <w:rPr>
                <w:sz w:val="22"/>
                <w:szCs w:val="22"/>
                <w:lang w:val="mk-MK"/>
              </w:rPr>
              <w:t xml:space="preserve">обезбедување </w:t>
            </w:r>
            <w:r>
              <w:rPr>
                <w:sz w:val="22"/>
                <w:szCs w:val="22"/>
                <w:lang w:val="mk-MK"/>
              </w:rPr>
              <w:t xml:space="preserve">битстрим пристап </w:t>
            </w:r>
            <w:r w:rsidR="000F299C">
              <w:rPr>
                <w:sz w:val="22"/>
                <w:szCs w:val="22"/>
                <w:lang w:val="mk-MK"/>
              </w:rPr>
              <w:t xml:space="preserve">и препродажба на бистрим услуга </w:t>
            </w:r>
            <w:r w:rsidR="002A7DDA" w:rsidRPr="002A7DDA">
              <w:rPr>
                <w:sz w:val="22"/>
                <w:szCs w:val="22"/>
                <w:lang w:val="mk-MK"/>
              </w:rPr>
              <w:t xml:space="preserve">операторот </w:t>
            </w:r>
            <w:r w:rsidR="00C00040">
              <w:rPr>
                <w:sz w:val="22"/>
                <w:szCs w:val="22"/>
                <w:lang w:val="mk-MK"/>
              </w:rPr>
              <w:t xml:space="preserve">ОНЕ.ВИП </w:t>
            </w:r>
            <w:r w:rsidR="002A7DDA" w:rsidRPr="002A7DDA">
              <w:rPr>
                <w:sz w:val="22"/>
                <w:szCs w:val="22"/>
                <w:lang w:val="mk-MK"/>
              </w:rPr>
              <w:t xml:space="preserve">задолжително </w:t>
            </w:r>
            <w:r>
              <w:rPr>
                <w:sz w:val="22"/>
                <w:szCs w:val="22"/>
                <w:lang w:val="mk-MK"/>
              </w:rPr>
              <w:t xml:space="preserve">треба </w:t>
            </w:r>
            <w:r w:rsidR="002A7DDA" w:rsidRPr="002A7DDA">
              <w:rPr>
                <w:sz w:val="22"/>
                <w:szCs w:val="22"/>
                <w:lang w:val="mk-MK"/>
              </w:rPr>
              <w:t xml:space="preserve">да обезбеди технички услови за дополнителни услуги </w:t>
            </w:r>
            <w:r w:rsidR="00C00040">
              <w:rPr>
                <w:sz w:val="22"/>
                <w:szCs w:val="22"/>
                <w:lang w:val="en-US"/>
              </w:rPr>
              <w:t>(VoIP, IPTV, VoD</w:t>
            </w:r>
            <w:r w:rsidR="00080628">
              <w:rPr>
                <w:sz w:val="22"/>
                <w:szCs w:val="22"/>
                <w:lang w:val="mk-MK"/>
              </w:rPr>
              <w:t xml:space="preserve">, </w:t>
            </w:r>
            <w:r w:rsidR="00080628">
              <w:rPr>
                <w:sz w:val="22"/>
                <w:szCs w:val="22"/>
                <w:lang w:val="en-US"/>
              </w:rPr>
              <w:t xml:space="preserve">Home Gateway </w:t>
            </w:r>
            <w:r w:rsidR="00080628" w:rsidRPr="00080628">
              <w:rPr>
                <w:sz w:val="22"/>
                <w:szCs w:val="22"/>
                <w:lang w:val="mk-MK"/>
              </w:rPr>
              <w:t xml:space="preserve">Management </w:t>
            </w:r>
            <w:r w:rsidR="00080628">
              <w:rPr>
                <w:sz w:val="22"/>
                <w:szCs w:val="22"/>
                <w:lang w:val="mk-MK"/>
              </w:rPr>
              <w:t>(</w:t>
            </w:r>
            <w:r w:rsidR="00080628" w:rsidRPr="00080628">
              <w:rPr>
                <w:sz w:val="22"/>
                <w:szCs w:val="22"/>
                <w:lang w:val="mk-MK"/>
              </w:rPr>
              <w:t>HGW</w:t>
            </w:r>
            <w:r w:rsidR="00080628">
              <w:rPr>
                <w:sz w:val="22"/>
                <w:szCs w:val="22"/>
                <w:lang w:val="mk-MK"/>
              </w:rPr>
              <w:t>) систем</w:t>
            </w:r>
            <w:r w:rsidR="00462AB1">
              <w:rPr>
                <w:sz w:val="22"/>
                <w:szCs w:val="22"/>
                <w:lang w:val="mk-MK"/>
              </w:rPr>
              <w:t xml:space="preserve"> и др.</w:t>
            </w:r>
            <w:r w:rsidR="000F299C">
              <w:rPr>
                <w:sz w:val="22"/>
                <w:szCs w:val="22"/>
                <w:lang w:val="mk-MK"/>
              </w:rPr>
              <w:t>) и соодве</w:t>
            </w:r>
            <w:r w:rsidR="002A7DDA" w:rsidRPr="002A7DDA">
              <w:rPr>
                <w:sz w:val="22"/>
                <w:szCs w:val="22"/>
                <w:lang w:val="mk-MK"/>
              </w:rPr>
              <w:t>т</w:t>
            </w:r>
            <w:r w:rsidR="000F299C">
              <w:rPr>
                <w:sz w:val="22"/>
                <w:szCs w:val="22"/>
                <w:lang w:val="mk-MK"/>
              </w:rPr>
              <w:t>н</w:t>
            </w:r>
            <w:r w:rsidR="002A7DDA" w:rsidRPr="002A7DDA">
              <w:rPr>
                <w:sz w:val="22"/>
                <w:szCs w:val="22"/>
                <w:lang w:val="mk-MK"/>
              </w:rPr>
              <w:t xml:space="preserve">а апликација за </w:t>
            </w:r>
            <w:r w:rsidR="000F299C">
              <w:rPr>
                <w:sz w:val="22"/>
                <w:szCs w:val="22"/>
                <w:lang w:val="mk-MK"/>
              </w:rPr>
              <w:t>обезбедување на услугите</w:t>
            </w:r>
            <w:r w:rsidR="002A7DDA" w:rsidRPr="002A7DDA">
              <w:rPr>
                <w:sz w:val="22"/>
                <w:szCs w:val="22"/>
                <w:lang w:val="en-US"/>
              </w:rPr>
              <w:t xml:space="preserve">, </w:t>
            </w:r>
            <w:r w:rsidR="002A7DDA" w:rsidRPr="002A7DDA">
              <w:rPr>
                <w:sz w:val="22"/>
                <w:szCs w:val="22"/>
                <w:lang w:val="mk-MK"/>
              </w:rPr>
              <w:t xml:space="preserve">како што </w:t>
            </w:r>
            <w:r w:rsidR="00D53C4B">
              <w:rPr>
                <w:sz w:val="22"/>
                <w:szCs w:val="22"/>
                <w:lang w:val="mk-MK"/>
              </w:rPr>
              <w:t>обезбед</w:t>
            </w:r>
            <w:r w:rsidR="006B0DB1">
              <w:rPr>
                <w:sz w:val="22"/>
                <w:szCs w:val="22"/>
                <w:lang w:val="mk-MK"/>
              </w:rPr>
              <w:t>ува и</w:t>
            </w:r>
            <w:r w:rsidR="00D53C4B">
              <w:rPr>
                <w:sz w:val="22"/>
                <w:szCs w:val="22"/>
                <w:lang w:val="mk-MK"/>
              </w:rPr>
              <w:t xml:space="preserve"> </w:t>
            </w:r>
            <w:r w:rsidR="002A7DDA" w:rsidRPr="002A7DDA">
              <w:rPr>
                <w:sz w:val="22"/>
                <w:szCs w:val="22"/>
                <w:lang w:val="mk-MK"/>
              </w:rPr>
              <w:t>МКТ</w:t>
            </w:r>
            <w:r w:rsidR="006B0DB1">
              <w:rPr>
                <w:sz w:val="22"/>
                <w:szCs w:val="22"/>
                <w:lang w:val="mk-MK"/>
              </w:rPr>
              <w:t xml:space="preserve"> во моментот. </w:t>
            </w:r>
            <w:r w:rsidR="002A7DDA" w:rsidRPr="002A7DDA">
              <w:rPr>
                <w:sz w:val="22"/>
                <w:szCs w:val="22"/>
                <w:lang w:val="mk-MK"/>
              </w:rPr>
              <w:t xml:space="preserve"> </w:t>
            </w:r>
          </w:p>
          <w:p w:rsidR="00352091" w:rsidRDefault="00352091" w:rsidP="002A7DDA">
            <w:pPr>
              <w:tabs>
                <w:tab w:val="left" w:pos="1260"/>
                <w:tab w:val="left" w:pos="10080"/>
              </w:tabs>
              <w:ind w:right="457"/>
              <w:jc w:val="both"/>
              <w:rPr>
                <w:sz w:val="22"/>
                <w:szCs w:val="22"/>
                <w:lang w:val="mk-MK"/>
              </w:rPr>
            </w:pPr>
          </w:p>
          <w:p w:rsidR="002A7DDA" w:rsidRDefault="002A7DDA" w:rsidP="002A7DDA">
            <w:pPr>
              <w:tabs>
                <w:tab w:val="left" w:pos="1260"/>
                <w:tab w:val="left" w:pos="10080"/>
              </w:tabs>
              <w:ind w:right="457"/>
              <w:jc w:val="both"/>
              <w:rPr>
                <w:sz w:val="22"/>
                <w:szCs w:val="22"/>
                <w:lang w:val="mk-MK"/>
              </w:rPr>
            </w:pPr>
            <w:r w:rsidRPr="002A7DDA">
              <w:rPr>
                <w:sz w:val="22"/>
                <w:szCs w:val="22"/>
                <w:lang w:val="mk-MK"/>
              </w:rPr>
              <w:t xml:space="preserve">Очекуваме </w:t>
            </w:r>
            <w:r w:rsidR="006B0DB1">
              <w:rPr>
                <w:sz w:val="22"/>
                <w:szCs w:val="22"/>
                <w:lang w:val="mk-MK"/>
              </w:rPr>
              <w:t xml:space="preserve">дека </w:t>
            </w:r>
            <w:r w:rsidRPr="002A7DDA">
              <w:rPr>
                <w:sz w:val="22"/>
                <w:szCs w:val="22"/>
                <w:lang w:val="mk-MK"/>
              </w:rPr>
              <w:t>ов</w:t>
            </w:r>
            <w:r w:rsidR="000F299C">
              <w:rPr>
                <w:sz w:val="22"/>
                <w:szCs w:val="22"/>
                <w:lang w:val="mk-MK"/>
              </w:rPr>
              <w:t xml:space="preserve">ие </w:t>
            </w:r>
            <w:r w:rsidR="006B0DB1">
              <w:rPr>
                <w:sz w:val="22"/>
                <w:szCs w:val="22"/>
                <w:lang w:val="mk-MK"/>
              </w:rPr>
              <w:t>дополнителни забелешки</w:t>
            </w:r>
            <w:r w:rsidRPr="002A7DDA">
              <w:rPr>
                <w:sz w:val="22"/>
                <w:szCs w:val="22"/>
                <w:lang w:val="mk-MK"/>
              </w:rPr>
              <w:t xml:space="preserve"> </w:t>
            </w:r>
            <w:r w:rsidR="006B0DB1">
              <w:rPr>
                <w:sz w:val="22"/>
                <w:szCs w:val="22"/>
                <w:lang w:val="mk-MK"/>
              </w:rPr>
              <w:t>ќе</w:t>
            </w:r>
            <w:r w:rsidRPr="002A7DDA">
              <w:rPr>
                <w:sz w:val="22"/>
                <w:szCs w:val="22"/>
                <w:lang w:val="mk-MK"/>
              </w:rPr>
              <w:t xml:space="preserve"> </w:t>
            </w:r>
            <w:r w:rsidR="006B0DB1">
              <w:rPr>
                <w:sz w:val="22"/>
                <w:szCs w:val="22"/>
                <w:lang w:val="mk-MK"/>
              </w:rPr>
              <w:t xml:space="preserve">бидат земени во предвид при изработката на </w:t>
            </w:r>
            <w:r w:rsidRPr="002A7DDA">
              <w:rPr>
                <w:sz w:val="22"/>
                <w:szCs w:val="22"/>
                <w:lang w:val="mk-MK"/>
              </w:rPr>
              <w:t xml:space="preserve"> референтна</w:t>
            </w:r>
            <w:r w:rsidR="006B0DB1">
              <w:rPr>
                <w:sz w:val="22"/>
                <w:szCs w:val="22"/>
                <w:lang w:val="mk-MK"/>
              </w:rPr>
              <w:t>та</w:t>
            </w:r>
            <w:r w:rsidRPr="002A7DDA">
              <w:rPr>
                <w:sz w:val="22"/>
                <w:szCs w:val="22"/>
                <w:lang w:val="mk-MK"/>
              </w:rPr>
              <w:t xml:space="preserve"> понуда </w:t>
            </w:r>
            <w:r w:rsidR="00D53C4B">
              <w:rPr>
                <w:sz w:val="22"/>
                <w:szCs w:val="22"/>
                <w:lang w:val="mk-MK"/>
              </w:rPr>
              <w:t xml:space="preserve">за битстрим пристап </w:t>
            </w:r>
            <w:r w:rsidR="000F299C">
              <w:rPr>
                <w:sz w:val="22"/>
                <w:szCs w:val="22"/>
                <w:lang w:val="mk-MK"/>
              </w:rPr>
              <w:t xml:space="preserve">од ОНЕ.ВИП </w:t>
            </w:r>
            <w:r w:rsidR="006B0DB1">
              <w:rPr>
                <w:sz w:val="22"/>
                <w:szCs w:val="22"/>
                <w:lang w:val="mk-MK"/>
              </w:rPr>
              <w:t>и секој оператор корисник ќе има јасна слика за  техничките можности на битстрим пристапот преку</w:t>
            </w:r>
            <w:r w:rsidR="006B0DB1" w:rsidRPr="002A7DDA">
              <w:rPr>
                <w:sz w:val="22"/>
                <w:szCs w:val="22"/>
                <w:lang w:val="mk-MK"/>
              </w:rPr>
              <w:t xml:space="preserve"> </w:t>
            </w:r>
            <w:r w:rsidR="006B0DB1">
              <w:rPr>
                <w:sz w:val="22"/>
                <w:szCs w:val="22"/>
                <w:lang w:val="mk-MK"/>
              </w:rPr>
              <w:t xml:space="preserve">HFC мрежа. Исто така сметаме дека оваа нова референтна понуда на ОНЕ.ВИП </w:t>
            </w:r>
            <w:r w:rsidRPr="002A7DDA">
              <w:rPr>
                <w:sz w:val="22"/>
                <w:szCs w:val="22"/>
                <w:lang w:val="mk-MK"/>
              </w:rPr>
              <w:t>ќе ги рефлектира реално условите за интерконекција и</w:t>
            </w:r>
            <w:r w:rsidR="00BB2E0B">
              <w:rPr>
                <w:sz w:val="22"/>
                <w:szCs w:val="22"/>
                <w:lang w:val="en-US"/>
              </w:rPr>
              <w:t>/</w:t>
            </w:r>
            <w:r w:rsidR="00BB2E0B">
              <w:rPr>
                <w:sz w:val="22"/>
                <w:szCs w:val="22"/>
                <w:lang w:val="mk-MK"/>
              </w:rPr>
              <w:t>или</w:t>
            </w:r>
            <w:r w:rsidR="00C00040">
              <w:rPr>
                <w:sz w:val="22"/>
                <w:szCs w:val="22"/>
                <w:lang w:val="mk-MK"/>
              </w:rPr>
              <w:t xml:space="preserve"> пристап како и </w:t>
            </w:r>
            <w:r w:rsidR="00746AAA">
              <w:rPr>
                <w:sz w:val="22"/>
                <w:szCs w:val="22"/>
                <w:lang w:val="mk-MK"/>
              </w:rPr>
              <w:t xml:space="preserve">дека ќе обезбеди </w:t>
            </w:r>
            <w:r w:rsidR="00C00040">
              <w:rPr>
                <w:sz w:val="22"/>
                <w:szCs w:val="22"/>
                <w:lang w:val="mk-MK"/>
              </w:rPr>
              <w:t>целосна</w:t>
            </w:r>
            <w:r w:rsidRPr="002A7DDA">
              <w:rPr>
                <w:sz w:val="22"/>
                <w:szCs w:val="22"/>
                <w:lang w:val="mk-MK"/>
              </w:rPr>
              <w:t xml:space="preserve"> географска покриеност</w:t>
            </w:r>
            <w:r w:rsidR="00D53C4B">
              <w:rPr>
                <w:sz w:val="22"/>
                <w:szCs w:val="22"/>
                <w:lang w:val="mk-MK"/>
              </w:rPr>
              <w:t xml:space="preserve"> која ја има во моментот ОНЕ.ВИП</w:t>
            </w:r>
            <w:r w:rsidRPr="002A7DDA">
              <w:rPr>
                <w:sz w:val="22"/>
                <w:szCs w:val="22"/>
                <w:lang w:val="mk-MK"/>
              </w:rPr>
              <w:t xml:space="preserve">, </w:t>
            </w:r>
            <w:r w:rsidR="00746AAA">
              <w:rPr>
                <w:sz w:val="22"/>
                <w:szCs w:val="22"/>
                <w:lang w:val="mk-MK"/>
              </w:rPr>
              <w:t xml:space="preserve">а </w:t>
            </w:r>
            <w:r w:rsidRPr="002A7DDA">
              <w:rPr>
                <w:sz w:val="22"/>
                <w:szCs w:val="22"/>
                <w:lang w:val="mk-MK"/>
              </w:rPr>
              <w:t xml:space="preserve">воедно </w:t>
            </w:r>
            <w:r w:rsidR="00746AAA">
              <w:rPr>
                <w:sz w:val="22"/>
                <w:szCs w:val="22"/>
                <w:lang w:val="mk-MK"/>
              </w:rPr>
              <w:t xml:space="preserve">ќе обезбеди </w:t>
            </w:r>
            <w:r w:rsidR="00D53C4B">
              <w:rPr>
                <w:sz w:val="22"/>
                <w:szCs w:val="22"/>
                <w:lang w:val="mk-MK"/>
              </w:rPr>
              <w:t xml:space="preserve">и </w:t>
            </w:r>
            <w:r w:rsidRPr="002A7DDA">
              <w:rPr>
                <w:sz w:val="22"/>
                <w:szCs w:val="22"/>
                <w:lang w:val="mk-MK"/>
              </w:rPr>
              <w:t xml:space="preserve">постигнување на </w:t>
            </w:r>
            <w:r w:rsidR="00746AAA">
              <w:rPr>
                <w:sz w:val="22"/>
                <w:szCs w:val="22"/>
                <w:lang w:val="mk-MK"/>
              </w:rPr>
              <w:t xml:space="preserve">целните вредности од </w:t>
            </w:r>
            <w:r w:rsidR="00D53C4B">
              <w:rPr>
                <w:sz w:val="22"/>
                <w:szCs w:val="22"/>
                <w:lang w:val="mk-MK"/>
              </w:rPr>
              <w:t>Д</w:t>
            </w:r>
            <w:r w:rsidRPr="002A7DDA">
              <w:rPr>
                <w:sz w:val="22"/>
                <w:szCs w:val="22"/>
                <w:lang w:val="mk-MK"/>
              </w:rPr>
              <w:t xml:space="preserve">игиталната </w:t>
            </w:r>
            <w:r w:rsidR="00D53C4B">
              <w:rPr>
                <w:sz w:val="22"/>
                <w:szCs w:val="22"/>
                <w:lang w:val="mk-MK"/>
              </w:rPr>
              <w:t>А</w:t>
            </w:r>
            <w:r w:rsidRPr="002A7DDA">
              <w:rPr>
                <w:sz w:val="22"/>
                <w:szCs w:val="22"/>
                <w:lang w:val="mk-MK"/>
              </w:rPr>
              <w:t>генда 2020</w:t>
            </w:r>
            <w:r w:rsidR="00D53C4B">
              <w:rPr>
                <w:sz w:val="22"/>
                <w:szCs w:val="22"/>
                <w:lang w:val="mk-MK"/>
              </w:rPr>
              <w:t>,</w:t>
            </w:r>
            <w:r w:rsidRPr="002A7DDA">
              <w:rPr>
                <w:sz w:val="22"/>
                <w:szCs w:val="22"/>
                <w:lang w:val="mk-MK"/>
              </w:rPr>
              <w:t xml:space="preserve"> </w:t>
            </w:r>
            <w:r w:rsidR="00D53C4B">
              <w:rPr>
                <w:sz w:val="22"/>
                <w:szCs w:val="22"/>
                <w:lang w:val="mk-MK"/>
              </w:rPr>
              <w:t>бидејќи</w:t>
            </w:r>
            <w:r w:rsidRPr="002A7DDA">
              <w:rPr>
                <w:sz w:val="22"/>
                <w:szCs w:val="22"/>
                <w:lang w:val="mk-MK"/>
              </w:rPr>
              <w:t xml:space="preserve"> HFC мрежите се во </w:t>
            </w:r>
            <w:r w:rsidR="00C00040">
              <w:rPr>
                <w:sz w:val="22"/>
                <w:szCs w:val="22"/>
                <w:lang w:val="mk-MK"/>
              </w:rPr>
              <w:t xml:space="preserve">голема предност за </w:t>
            </w:r>
            <w:r w:rsidRPr="002A7DDA">
              <w:rPr>
                <w:sz w:val="22"/>
                <w:szCs w:val="22"/>
                <w:lang w:val="mk-MK"/>
              </w:rPr>
              <w:t>покривање на поголем број на домаќинства</w:t>
            </w:r>
            <w:r w:rsidR="00BB2E0B">
              <w:rPr>
                <w:sz w:val="22"/>
                <w:szCs w:val="22"/>
                <w:lang w:val="mk-MK"/>
              </w:rPr>
              <w:t xml:space="preserve"> </w:t>
            </w:r>
            <w:r w:rsidR="00D53C4B">
              <w:rPr>
                <w:sz w:val="22"/>
                <w:szCs w:val="22"/>
                <w:lang w:val="mk-MK"/>
              </w:rPr>
              <w:t xml:space="preserve"> во доста краток временски период</w:t>
            </w:r>
            <w:r w:rsidRPr="002A7DDA">
              <w:rPr>
                <w:sz w:val="22"/>
                <w:szCs w:val="22"/>
                <w:lang w:val="mk-MK"/>
              </w:rPr>
              <w:t>.</w:t>
            </w:r>
          </w:p>
          <w:p w:rsidR="00CE5BFE" w:rsidRDefault="00CE5BFE" w:rsidP="002A7DDA">
            <w:pPr>
              <w:tabs>
                <w:tab w:val="left" w:pos="1260"/>
                <w:tab w:val="left" w:pos="10080"/>
              </w:tabs>
              <w:ind w:right="457"/>
              <w:jc w:val="both"/>
              <w:rPr>
                <w:sz w:val="22"/>
                <w:szCs w:val="22"/>
                <w:lang w:val="mk-MK"/>
              </w:rPr>
            </w:pPr>
          </w:p>
          <w:p w:rsidR="00B35A98" w:rsidRPr="00B35A98" w:rsidRDefault="00CE5BFE" w:rsidP="00B35A98">
            <w:pPr>
              <w:tabs>
                <w:tab w:val="left" w:pos="1260"/>
                <w:tab w:val="left" w:pos="10080"/>
              </w:tabs>
              <w:ind w:right="457"/>
              <w:jc w:val="both"/>
              <w:rPr>
                <w:i/>
                <w:color w:val="FF0000"/>
                <w:sz w:val="22"/>
                <w:szCs w:val="22"/>
                <w:lang w:val="mk-MK"/>
              </w:rPr>
            </w:pPr>
            <w:r>
              <w:rPr>
                <w:i/>
                <w:color w:val="FF0000"/>
                <w:sz w:val="22"/>
                <w:szCs w:val="22"/>
                <w:lang w:val="mk-MK"/>
              </w:rPr>
              <w:t xml:space="preserve">Одговор 6: </w:t>
            </w:r>
            <w:r w:rsidR="00B35A98">
              <w:t xml:space="preserve"> </w:t>
            </w:r>
            <w:r w:rsidR="00B35A98" w:rsidRPr="00B35A98">
              <w:rPr>
                <w:i/>
                <w:color w:val="FF0000"/>
                <w:sz w:val="22"/>
                <w:szCs w:val="22"/>
                <w:lang w:val="mk-MK"/>
              </w:rPr>
              <w:t>Анализата и текстот</w:t>
            </w:r>
            <w:r w:rsidR="00B35A98">
              <w:rPr>
                <w:i/>
                <w:color w:val="FF0000"/>
                <w:sz w:val="22"/>
                <w:szCs w:val="22"/>
                <w:lang w:val="en-US"/>
              </w:rPr>
              <w:t xml:space="preserve"> </w:t>
            </w:r>
            <w:r w:rsidR="00B35A98">
              <w:rPr>
                <w:i/>
                <w:color w:val="FF0000"/>
                <w:sz w:val="22"/>
                <w:szCs w:val="22"/>
                <w:lang w:val="mk-MK"/>
              </w:rPr>
              <w:t>во</w:t>
            </w:r>
            <w:r w:rsidR="00B35A98" w:rsidRPr="00B35A98">
              <w:rPr>
                <w:i/>
                <w:color w:val="FF0000"/>
                <w:sz w:val="22"/>
                <w:szCs w:val="22"/>
                <w:lang w:val="mk-MK"/>
              </w:rPr>
              <w:t xml:space="preserve"> поглавје </w:t>
            </w:r>
            <w:r w:rsidR="00B35A98">
              <w:rPr>
                <w:i/>
                <w:color w:val="FF0000"/>
                <w:sz w:val="22"/>
                <w:szCs w:val="22"/>
                <w:lang w:val="mk-MK"/>
              </w:rPr>
              <w:t xml:space="preserve">7.4 </w:t>
            </w:r>
            <w:r w:rsidR="00B35A98" w:rsidRPr="00B35A98">
              <w:rPr>
                <w:i/>
                <w:color w:val="FF0000"/>
                <w:sz w:val="22"/>
                <w:szCs w:val="22"/>
                <w:lang w:val="mk-MK"/>
              </w:rPr>
              <w:t xml:space="preserve">е направена според заклучоците од документот ERG (04) 19 rev1 - Wholesale Broadband Access via Cable. Бидејќи документот е од 2005 година и во меѓувреме нема понова анализа за техничките можности за пристап до кабелските мрежи, а додека пак од друга страна технологијата напредувала за истото време веруваме дека условите и техничите можности за пристап се промениле во меѓувреме. Агенцијата не се сомнева за тоа дали технички е можен пристап до кабелската мрежа, бидејќи за тоа постојат неколку примери во други земји кои што ги имате и вие наведено. Од друга страна техничката реализација на истиот пристап зависи од опремата која е набавена од страна на операторот како и топологијата на неговата мрежа. Ова претставува само еден генерален текст на можностите за пристап и нивоата на пристап кои што операторот на хибридно оптичи коаксијални мрежи  може да ги обезбедува. Агенцијата очекува техничките детали за пристап да бидат дополнително разработени помеѓу операторот што ја нуди оваа големопродажна услуга и операторот што ја користи. </w:t>
            </w:r>
          </w:p>
          <w:p w:rsidR="00B35A98" w:rsidRPr="00B35A98" w:rsidRDefault="00B35A98" w:rsidP="00B35A98">
            <w:pPr>
              <w:tabs>
                <w:tab w:val="left" w:pos="1260"/>
                <w:tab w:val="left" w:pos="10080"/>
              </w:tabs>
              <w:ind w:right="457"/>
              <w:jc w:val="both"/>
              <w:rPr>
                <w:i/>
                <w:color w:val="FF0000"/>
                <w:sz w:val="22"/>
                <w:szCs w:val="22"/>
                <w:lang w:val="mk-MK"/>
              </w:rPr>
            </w:pPr>
            <w:r w:rsidRPr="00B35A98">
              <w:rPr>
                <w:i/>
                <w:color w:val="FF0000"/>
                <w:sz w:val="22"/>
                <w:szCs w:val="22"/>
                <w:lang w:val="mk-MK"/>
              </w:rPr>
              <w:t xml:space="preserve">Поради пристигнатите забелешки, како и од заклучоците на дискусијата на јавниот </w:t>
            </w:r>
            <w:r w:rsidRPr="00B35A98">
              <w:rPr>
                <w:i/>
                <w:color w:val="FF0000"/>
                <w:sz w:val="22"/>
                <w:szCs w:val="22"/>
                <w:lang w:val="mk-MK"/>
              </w:rPr>
              <w:lastRenderedPageBreak/>
              <w:t xml:space="preserve">состанок, Агенцијата ќе направи измени во текстот каде што стои дека операторот треба да обезбеди </w:t>
            </w:r>
            <w:r w:rsidRPr="00B35A98">
              <w:rPr>
                <w:b/>
                <w:i/>
                <w:color w:val="FF0000"/>
                <w:sz w:val="22"/>
                <w:szCs w:val="22"/>
                <w:u w:val="single"/>
                <w:lang w:val="mk-MK"/>
              </w:rPr>
              <w:t>Пристап на вторно ниво или етернет пристап</w:t>
            </w:r>
            <w:r w:rsidRPr="00B35A98">
              <w:rPr>
                <w:i/>
                <w:color w:val="FF0000"/>
                <w:sz w:val="22"/>
                <w:szCs w:val="22"/>
                <w:lang w:val="mk-MK"/>
              </w:rPr>
              <w:t xml:space="preserve">, ќе се замени со </w:t>
            </w:r>
            <w:r w:rsidRPr="00B35A98">
              <w:rPr>
                <w:b/>
                <w:i/>
                <w:color w:val="FF0000"/>
                <w:sz w:val="22"/>
                <w:szCs w:val="22"/>
                <w:u w:val="single"/>
                <w:lang w:val="mk-MK"/>
              </w:rPr>
              <w:t>Пристап на локално CMTS ниво или агрегациакси уред на локално ниво</w:t>
            </w:r>
            <w:r w:rsidRPr="00B35A98">
              <w:rPr>
                <w:i/>
                <w:color w:val="FF0000"/>
                <w:sz w:val="22"/>
                <w:szCs w:val="22"/>
                <w:lang w:val="mk-MK"/>
              </w:rPr>
              <w:t xml:space="preserve"> без да ја наведува технологијата на пристап. Оваа измена е од причина што операторот Оне.Вип на јавниот состанок наведе дека CMTS уредот претставува IP мрежен уред и дека е невозможно на овој мрежен уред да се обезбеди етернет пристап. </w:t>
            </w:r>
          </w:p>
          <w:p w:rsidR="00B35A98" w:rsidRPr="00B35A98" w:rsidRDefault="00B35A98" w:rsidP="00B35A98">
            <w:pPr>
              <w:tabs>
                <w:tab w:val="left" w:pos="1260"/>
                <w:tab w:val="left" w:pos="10080"/>
              </w:tabs>
              <w:ind w:right="457"/>
              <w:jc w:val="both"/>
              <w:rPr>
                <w:i/>
                <w:color w:val="FF0000"/>
                <w:sz w:val="22"/>
                <w:szCs w:val="22"/>
                <w:lang w:val="mk-MK"/>
              </w:rPr>
            </w:pPr>
            <w:r w:rsidRPr="00B35A98">
              <w:rPr>
                <w:i/>
                <w:color w:val="FF0000"/>
                <w:sz w:val="22"/>
                <w:szCs w:val="22"/>
                <w:lang w:val="mk-MK"/>
              </w:rPr>
              <w:t xml:space="preserve">Исто така од страна на операторот Оне.Вип беше наведено дека CMTS уредот не подржува мултикаст протокол, што значи дека операторот кој што користи пристап нема да може да понуди IPTV услуга на своите корисници. На состноакот беше наведено дека како алтернатива на IPTV услугата може да се нуди OTT телевизија. </w:t>
            </w:r>
          </w:p>
          <w:p w:rsidR="00B35A98" w:rsidRPr="00B35A98" w:rsidRDefault="00B35A98" w:rsidP="00B35A98">
            <w:pPr>
              <w:tabs>
                <w:tab w:val="left" w:pos="1260"/>
                <w:tab w:val="left" w:pos="10080"/>
              </w:tabs>
              <w:ind w:right="457"/>
              <w:jc w:val="both"/>
              <w:rPr>
                <w:i/>
                <w:color w:val="FF0000"/>
                <w:sz w:val="22"/>
                <w:szCs w:val="22"/>
                <w:lang w:val="mk-MK"/>
              </w:rPr>
            </w:pPr>
            <w:r w:rsidRPr="00B35A98">
              <w:rPr>
                <w:i/>
                <w:color w:val="FF0000"/>
                <w:sz w:val="22"/>
                <w:szCs w:val="22"/>
                <w:lang w:val="mk-MK"/>
              </w:rPr>
              <w:t>На состанокот од страна на операторот оне.Вип беше наведено дека инсталацијата на кабелскиот модем треба да биде направена од технички тим на кабелскиот оператор со цел да се избегне генерирање на шум и да се задржи новото на квалитет на кабелската мрежа. Како алтернатива на овој проблем е можноста операторот кој што користи пристап да инсталира свој модем помеѓу корисничката опрема на корисникот и кабелскиот модем, а целиот сообраќај помеѓу овој модем е првата мрежна опрема на операторот кој користи пристап да биде тунелиран преку некој протокол како на пример L2TP, IPSEC...</w:t>
            </w:r>
          </w:p>
          <w:p w:rsidR="00B35A98" w:rsidRPr="00B35A98" w:rsidRDefault="00B35A98" w:rsidP="00B35A98">
            <w:pPr>
              <w:tabs>
                <w:tab w:val="left" w:pos="1260"/>
                <w:tab w:val="left" w:pos="10080"/>
              </w:tabs>
              <w:ind w:right="457"/>
              <w:jc w:val="both"/>
              <w:rPr>
                <w:i/>
                <w:color w:val="FF0000"/>
                <w:sz w:val="22"/>
                <w:szCs w:val="22"/>
                <w:lang w:val="mk-MK"/>
              </w:rPr>
            </w:pPr>
            <w:r w:rsidRPr="00B35A98">
              <w:rPr>
                <w:i/>
                <w:color w:val="FF0000"/>
                <w:sz w:val="22"/>
                <w:szCs w:val="22"/>
                <w:lang w:val="mk-MK"/>
              </w:rPr>
              <w:t>Со цел да не дојде до драстично оптеретување на процесорот на CMTS поради DHCP барања, како можна алтернатива е користење на IP опсези наменети за операторот корисник на пристап кои ќе бидат провизионирани на DHCP сервери на операторот Оне.Вип, како и можноста на резервација на одредени ИП адреси со MAC адреси на модемите наменети за корисниците на операторот кој што користи пристап.</w:t>
            </w:r>
          </w:p>
          <w:p w:rsidR="00B35A98" w:rsidRPr="00B35A98" w:rsidRDefault="00B35A98" w:rsidP="00B35A98">
            <w:pPr>
              <w:tabs>
                <w:tab w:val="left" w:pos="1260"/>
                <w:tab w:val="left" w:pos="10080"/>
              </w:tabs>
              <w:ind w:right="457"/>
              <w:jc w:val="both"/>
              <w:rPr>
                <w:i/>
                <w:color w:val="FF0000"/>
                <w:sz w:val="22"/>
                <w:szCs w:val="22"/>
                <w:lang w:val="mk-MK"/>
              </w:rPr>
            </w:pPr>
            <w:r w:rsidRPr="00B35A98">
              <w:rPr>
                <w:i/>
                <w:color w:val="FF0000"/>
                <w:sz w:val="22"/>
                <w:szCs w:val="22"/>
                <w:lang w:val="mk-MK"/>
              </w:rPr>
              <w:t>Од операторот оне.Вип беше наведено дека на ниво на CMTS уред не е можно да се направи приоритет по сервис, со цел да се обезбеди QoS за одредени сервиси. Како алтернатива беше наведена можноста за обезбедвуање на гарантиран проток по одереден CPE т.е. кабелски модем,кој проток би бил гарантиран за сите сервиси што се користат од крајниот корисник.  Ваквата опција можеби би довела до дискриминација на корисниците од двата оператори бидејќи корисниците на операторот корисник на пристап би биле попривилегирани.</w:t>
            </w:r>
          </w:p>
          <w:p w:rsidR="00CE5BFE" w:rsidRPr="00CE5BFE" w:rsidRDefault="00B35A98" w:rsidP="00B35A98">
            <w:pPr>
              <w:tabs>
                <w:tab w:val="left" w:pos="1260"/>
                <w:tab w:val="left" w:pos="10080"/>
              </w:tabs>
              <w:ind w:right="457"/>
              <w:jc w:val="both"/>
              <w:rPr>
                <w:i/>
                <w:color w:val="FF0000"/>
                <w:sz w:val="22"/>
                <w:szCs w:val="22"/>
                <w:lang w:val="mk-MK"/>
              </w:rPr>
            </w:pPr>
            <w:r w:rsidRPr="00B35A98">
              <w:rPr>
                <w:i/>
                <w:color w:val="FF0000"/>
                <w:sz w:val="22"/>
                <w:szCs w:val="22"/>
                <w:lang w:val="mk-MK"/>
              </w:rPr>
              <w:t>Поради сите овие предизвици Агенцијата очекува техничките детали за пристап да бидат дополнително разработени помеѓу операторот што ја нуди оваа големопродажна услуга и операторот што ја користи. Како и во претходните анализи кога операторот Македонски Телеком Ад Скопје требаше да обезбеди битстрим пристап на FTTH  мрежата т.е. VULA пристап, техничките детали за пристапот беа доработувани во рамки на технички експертски групи од операторите.</w:t>
            </w:r>
          </w:p>
          <w:p w:rsidR="00405F4C" w:rsidRDefault="001C6625">
            <w:pPr>
              <w:pStyle w:val="Default"/>
              <w:spacing w:after="120"/>
              <w:rPr>
                <w:rFonts w:ascii="Tele-GroteskNor" w:hAnsi="Tele-GroteskNor"/>
                <w:b/>
                <w:sz w:val="22"/>
                <w:szCs w:val="22"/>
                <w:u w:val="single"/>
              </w:rPr>
            </w:pPr>
            <w:r w:rsidRPr="001C6625">
              <w:rPr>
                <w:rFonts w:ascii="Tele-GroteskNor" w:hAnsi="Tele-GroteskNor"/>
                <w:sz w:val="22"/>
                <w:szCs w:val="22"/>
              </w:rPr>
              <w:t xml:space="preserve">                                                                                                                                                                                                                                                                                                                                                                                                                                                                                                                                                             </w:t>
            </w:r>
          </w:p>
          <w:p w:rsidR="00405F4C" w:rsidRDefault="001C6625" w:rsidP="000F299C">
            <w:pPr>
              <w:numPr>
                <w:ilvl w:val="0"/>
                <w:numId w:val="11"/>
              </w:numPr>
              <w:rPr>
                <w:b/>
                <w:sz w:val="22"/>
                <w:szCs w:val="22"/>
                <w:u w:val="single"/>
                <w:lang w:val="mk-MK"/>
              </w:rPr>
            </w:pPr>
            <w:r w:rsidRPr="00906FC8">
              <w:rPr>
                <w:b/>
                <w:sz w:val="22"/>
                <w:szCs w:val="22"/>
                <w:u w:val="single"/>
                <w:lang w:val="mk-MK"/>
              </w:rPr>
              <w:t>Географска поделба на пазарот на конкурентн</w:t>
            </w:r>
            <w:r w:rsidR="00DE0CF3">
              <w:rPr>
                <w:b/>
                <w:sz w:val="22"/>
                <w:szCs w:val="22"/>
                <w:u w:val="single"/>
                <w:lang w:val="mk-MK"/>
              </w:rPr>
              <w:t>и и неконкурентни</w:t>
            </w:r>
            <w:r w:rsidRPr="00906FC8">
              <w:rPr>
                <w:b/>
                <w:sz w:val="22"/>
                <w:szCs w:val="22"/>
                <w:u w:val="single"/>
                <w:lang w:val="mk-MK"/>
              </w:rPr>
              <w:t xml:space="preserve"> област</w:t>
            </w:r>
            <w:r w:rsidR="00DE0CF3">
              <w:rPr>
                <w:b/>
                <w:sz w:val="22"/>
                <w:szCs w:val="22"/>
                <w:u w:val="single"/>
                <w:lang w:val="mk-MK"/>
              </w:rPr>
              <w:t>и</w:t>
            </w:r>
            <w:r w:rsidRPr="00906FC8">
              <w:rPr>
                <w:b/>
                <w:sz w:val="22"/>
                <w:szCs w:val="22"/>
                <w:u w:val="single"/>
                <w:lang w:val="mk-MK"/>
              </w:rPr>
              <w:t xml:space="preserve"> кои треба да имаат различни регулативни обврски</w:t>
            </w:r>
          </w:p>
          <w:p w:rsidR="00405F4C" w:rsidRDefault="00405F4C">
            <w:pPr>
              <w:rPr>
                <w:b/>
                <w:sz w:val="22"/>
                <w:szCs w:val="22"/>
                <w:u w:val="double"/>
                <w:lang w:val="mk-MK"/>
              </w:rPr>
            </w:pPr>
          </w:p>
          <w:p w:rsidR="00405F4C" w:rsidRPr="002C1FEF" w:rsidRDefault="00A52807">
            <w:pPr>
              <w:rPr>
                <w:sz w:val="22"/>
                <w:szCs w:val="22"/>
                <w:lang w:val="en-US"/>
              </w:rPr>
            </w:pPr>
            <w:r>
              <w:rPr>
                <w:sz w:val="22"/>
                <w:szCs w:val="22"/>
                <w:lang w:val="mk-MK"/>
              </w:rPr>
              <w:t xml:space="preserve">Сакаме да потенцираме дека АЕК треба </w:t>
            </w:r>
            <w:r w:rsidR="00DE0CF3">
              <w:rPr>
                <w:sz w:val="22"/>
                <w:szCs w:val="22"/>
                <w:lang w:val="mk-MK"/>
              </w:rPr>
              <w:t>д</w:t>
            </w:r>
            <w:r>
              <w:rPr>
                <w:sz w:val="22"/>
                <w:szCs w:val="22"/>
                <w:lang w:val="mk-MK"/>
              </w:rPr>
              <w:t>а планира во иднина да направи г</w:t>
            </w:r>
            <w:r w:rsidR="008B5175" w:rsidRPr="003076D6">
              <w:rPr>
                <w:sz w:val="22"/>
                <w:szCs w:val="22"/>
                <w:lang w:val="mk-MK"/>
              </w:rPr>
              <w:t xml:space="preserve">еографска сегментација </w:t>
            </w:r>
            <w:r>
              <w:rPr>
                <w:sz w:val="22"/>
                <w:szCs w:val="22"/>
                <w:lang w:val="mk-MK"/>
              </w:rPr>
              <w:t>во</w:t>
            </w:r>
            <w:r w:rsidR="008B5175" w:rsidRPr="003076D6">
              <w:rPr>
                <w:sz w:val="22"/>
                <w:szCs w:val="22"/>
                <w:lang w:val="mk-MK"/>
              </w:rPr>
              <w:t xml:space="preserve"> анализа</w:t>
            </w:r>
            <w:r>
              <w:rPr>
                <w:sz w:val="22"/>
                <w:szCs w:val="22"/>
                <w:lang w:val="mk-MK"/>
              </w:rPr>
              <w:t>та</w:t>
            </w:r>
            <w:r w:rsidR="008B5175" w:rsidRPr="003076D6">
              <w:rPr>
                <w:sz w:val="22"/>
                <w:szCs w:val="22"/>
                <w:lang w:val="mk-MK"/>
              </w:rPr>
              <w:t xml:space="preserve"> на пазарот за големопродажен локален пристап обезбеден на фиксна локација</w:t>
            </w:r>
            <w:r w:rsidR="008B5175" w:rsidRPr="003076D6">
              <w:rPr>
                <w:sz w:val="22"/>
                <w:szCs w:val="22"/>
                <w:lang w:val="en-US"/>
              </w:rPr>
              <w:t xml:space="preserve"> </w:t>
            </w:r>
            <w:r w:rsidR="008B5175" w:rsidRPr="003076D6">
              <w:rPr>
                <w:sz w:val="22"/>
                <w:szCs w:val="22"/>
                <w:lang w:val="mk-MK"/>
              </w:rPr>
              <w:t>и пазар</w:t>
            </w:r>
            <w:r>
              <w:rPr>
                <w:sz w:val="22"/>
                <w:szCs w:val="22"/>
                <w:lang w:val="mk-MK"/>
              </w:rPr>
              <w:t>от</w:t>
            </w:r>
            <w:r w:rsidR="008B5175" w:rsidRPr="003076D6">
              <w:rPr>
                <w:sz w:val="22"/>
                <w:szCs w:val="22"/>
                <w:lang w:val="mk-MK"/>
              </w:rPr>
              <w:t xml:space="preserve"> за големопродажен централен пристап обезбеден на фиксна локација за </w:t>
            </w:r>
            <w:r w:rsidR="008B5175" w:rsidRPr="00A52807">
              <w:rPr>
                <w:sz w:val="22"/>
                <w:szCs w:val="22"/>
                <w:lang w:val="mk-MK"/>
              </w:rPr>
              <w:t>производи за широка потрошувачка</w:t>
            </w:r>
            <w:r w:rsidR="007B53B9">
              <w:rPr>
                <w:sz w:val="22"/>
                <w:szCs w:val="22"/>
                <w:lang w:val="en-US"/>
              </w:rPr>
              <w:t xml:space="preserve">, </w:t>
            </w:r>
            <w:r w:rsidR="007B53B9">
              <w:rPr>
                <w:sz w:val="22"/>
                <w:szCs w:val="22"/>
                <w:lang w:val="mk-MK"/>
              </w:rPr>
              <w:t xml:space="preserve">земајќи  предвид дека конкуретните услови во даден регион </w:t>
            </w:r>
            <w:r w:rsidR="007B53B9">
              <w:rPr>
                <w:sz w:val="22"/>
                <w:szCs w:val="22"/>
                <w:lang w:val="en-US"/>
              </w:rPr>
              <w:t xml:space="preserve">се разликуваат од оние во соседните региони. </w:t>
            </w:r>
          </w:p>
          <w:p w:rsidR="00405F4C" w:rsidRPr="002C1FEF" w:rsidRDefault="007B53B9">
            <w:pPr>
              <w:rPr>
                <w:sz w:val="22"/>
                <w:szCs w:val="22"/>
                <w:lang w:val="en-US"/>
              </w:rPr>
            </w:pPr>
            <w:r>
              <w:rPr>
                <w:sz w:val="22"/>
                <w:szCs w:val="22"/>
                <w:lang w:val="en-US"/>
              </w:rPr>
              <w:t xml:space="preserve">Спроведувањето на детална географска анализа </w:t>
            </w:r>
            <w:r>
              <w:rPr>
                <w:sz w:val="22"/>
                <w:szCs w:val="22"/>
                <w:lang w:val="mk-MK"/>
              </w:rPr>
              <w:t xml:space="preserve">сметаме дека </w:t>
            </w:r>
            <w:r>
              <w:rPr>
                <w:sz w:val="22"/>
                <w:szCs w:val="22"/>
                <w:lang w:val="en-US"/>
              </w:rPr>
              <w:t>е оправдано</w:t>
            </w:r>
            <w:r>
              <w:rPr>
                <w:sz w:val="22"/>
                <w:szCs w:val="22"/>
                <w:lang w:val="mk-MK"/>
              </w:rPr>
              <w:t>,</w:t>
            </w:r>
            <w:r>
              <w:rPr>
                <w:sz w:val="22"/>
                <w:szCs w:val="22"/>
                <w:lang w:val="en-US"/>
              </w:rPr>
              <w:t xml:space="preserve"> </w:t>
            </w:r>
            <w:r>
              <w:rPr>
                <w:sz w:val="22"/>
                <w:szCs w:val="22"/>
                <w:lang w:val="mk-MK"/>
              </w:rPr>
              <w:t>бидејќи може да се докаже дека се исполнети условите</w:t>
            </w:r>
            <w:r>
              <w:rPr>
                <w:sz w:val="22"/>
                <w:szCs w:val="22"/>
                <w:lang w:val="en-US"/>
              </w:rPr>
              <w:t>:</w:t>
            </w:r>
          </w:p>
          <w:p w:rsidR="007B53B9" w:rsidRDefault="007B53B9" w:rsidP="007B53B9">
            <w:pPr>
              <w:pStyle w:val="ListParagraph"/>
              <w:numPr>
                <w:ilvl w:val="0"/>
                <w:numId w:val="12"/>
              </w:numPr>
              <w:rPr>
                <w:sz w:val="22"/>
                <w:szCs w:val="22"/>
                <w:lang w:val="en-US"/>
              </w:rPr>
            </w:pPr>
            <w:r w:rsidRPr="007B53B9">
              <w:rPr>
                <w:sz w:val="22"/>
                <w:szCs w:val="22"/>
                <w:lang w:val="mk-MK"/>
              </w:rPr>
              <w:t>е</w:t>
            </w:r>
            <w:r w:rsidRPr="007B53B9">
              <w:rPr>
                <w:sz w:val="22"/>
                <w:szCs w:val="22"/>
                <w:lang w:val="en-US"/>
              </w:rPr>
              <w:t>ден или неколку од алтернативните оператори имаат значителна, но помалку од национална покриеност на мрежите на територијата на земјата и вршат значителен конкурентен притисок во областите во кои спроведуваат активности</w:t>
            </w:r>
            <w:r>
              <w:rPr>
                <w:sz w:val="22"/>
                <w:szCs w:val="22"/>
                <w:lang w:val="en-US"/>
              </w:rPr>
              <w:t>;</w:t>
            </w:r>
          </w:p>
          <w:p w:rsidR="007B53B9" w:rsidRPr="007B53B9" w:rsidRDefault="007B53B9" w:rsidP="007B53B9">
            <w:pPr>
              <w:pStyle w:val="ListParagraph"/>
              <w:numPr>
                <w:ilvl w:val="0"/>
                <w:numId w:val="12"/>
              </w:numPr>
              <w:rPr>
                <w:sz w:val="22"/>
                <w:szCs w:val="22"/>
                <w:lang w:val="en-US"/>
              </w:rPr>
            </w:pPr>
            <w:r>
              <w:rPr>
                <w:sz w:val="22"/>
                <w:szCs w:val="22"/>
                <w:lang w:val="mk-MK"/>
              </w:rPr>
              <w:t xml:space="preserve">се </w:t>
            </w:r>
            <w:r>
              <w:rPr>
                <w:sz w:val="22"/>
                <w:szCs w:val="22"/>
                <w:lang w:val="en-US"/>
              </w:rPr>
              <w:t xml:space="preserve">применуваат единствени национални цени кои се разликуваат значително од цените на </w:t>
            </w:r>
            <w:r>
              <w:rPr>
                <w:sz w:val="22"/>
                <w:szCs w:val="22"/>
                <w:lang w:val="mk-MK"/>
              </w:rPr>
              <w:t>останатите</w:t>
            </w:r>
            <w:r>
              <w:rPr>
                <w:sz w:val="22"/>
                <w:szCs w:val="22"/>
                <w:lang w:val="en-US"/>
              </w:rPr>
              <w:t xml:space="preserve"> оператори.</w:t>
            </w:r>
          </w:p>
          <w:p w:rsidR="00405F4C" w:rsidRDefault="00405F4C">
            <w:pPr>
              <w:rPr>
                <w:sz w:val="22"/>
                <w:szCs w:val="22"/>
                <w:lang w:val="en-US"/>
              </w:rPr>
            </w:pPr>
          </w:p>
          <w:p w:rsidR="00405F4C" w:rsidRDefault="00A52807">
            <w:pPr>
              <w:rPr>
                <w:sz w:val="22"/>
                <w:szCs w:val="22"/>
                <w:lang w:val="mk-MK"/>
              </w:rPr>
            </w:pPr>
            <w:r w:rsidRPr="00A52807">
              <w:rPr>
                <w:sz w:val="22"/>
                <w:szCs w:val="22"/>
                <w:lang w:val="mk-MK"/>
              </w:rPr>
              <w:t>Ова е важно, бидејќи во одредени урбани средини има голема конкуренција и се присутни мрежи на повеќе оператори. Доколку се лоцираат овие области каде има ефективна конкуренција</w:t>
            </w:r>
            <w:r>
              <w:rPr>
                <w:sz w:val="22"/>
                <w:szCs w:val="22"/>
                <w:lang w:val="mk-MK"/>
              </w:rPr>
              <w:t xml:space="preserve">, АЕК треба да ги </w:t>
            </w:r>
            <w:r w:rsidRPr="00A52807">
              <w:rPr>
                <w:sz w:val="22"/>
                <w:szCs w:val="22"/>
                <w:lang w:val="mk-MK"/>
              </w:rPr>
              <w:t>дерегулира  операторите со зн</w:t>
            </w:r>
            <w:r w:rsidR="00C624F1">
              <w:rPr>
                <w:sz w:val="22"/>
                <w:szCs w:val="22"/>
                <w:lang w:val="en-US"/>
              </w:rPr>
              <w:t>a</w:t>
            </w:r>
            <w:r w:rsidRPr="00A52807">
              <w:rPr>
                <w:sz w:val="22"/>
                <w:szCs w:val="22"/>
                <w:lang w:val="mk-MK"/>
              </w:rPr>
              <w:t xml:space="preserve">чителна пазарна моќ </w:t>
            </w:r>
            <w:r>
              <w:rPr>
                <w:sz w:val="22"/>
                <w:szCs w:val="22"/>
                <w:lang w:val="mk-MK"/>
              </w:rPr>
              <w:t>во областите во кои постои ефективна конкуренција</w:t>
            </w:r>
            <w:r w:rsidRPr="001C6625">
              <w:rPr>
                <w:sz w:val="22"/>
                <w:szCs w:val="22"/>
                <w:lang w:val="mk-MK"/>
              </w:rPr>
              <w:t xml:space="preserve"> </w:t>
            </w:r>
            <w:r>
              <w:rPr>
                <w:sz w:val="22"/>
                <w:szCs w:val="22"/>
                <w:lang w:val="mk-MK"/>
              </w:rPr>
              <w:t xml:space="preserve">и да </w:t>
            </w:r>
            <w:r w:rsidRPr="001C6625">
              <w:rPr>
                <w:sz w:val="22"/>
                <w:szCs w:val="22"/>
                <w:lang w:val="mk-MK"/>
              </w:rPr>
              <w:t>бид</w:t>
            </w:r>
            <w:r>
              <w:rPr>
                <w:sz w:val="22"/>
                <w:szCs w:val="22"/>
                <w:lang w:val="mk-MK"/>
              </w:rPr>
              <w:t>ат</w:t>
            </w:r>
            <w:r w:rsidRPr="001C6625">
              <w:rPr>
                <w:sz w:val="22"/>
                <w:szCs w:val="22"/>
                <w:lang w:val="mk-MK"/>
              </w:rPr>
              <w:t xml:space="preserve"> ослободен</w:t>
            </w:r>
            <w:r>
              <w:rPr>
                <w:sz w:val="22"/>
                <w:szCs w:val="22"/>
                <w:lang w:val="mk-MK"/>
              </w:rPr>
              <w:t xml:space="preserve">и </w:t>
            </w:r>
            <w:r w:rsidRPr="001C6625">
              <w:rPr>
                <w:sz w:val="22"/>
                <w:szCs w:val="22"/>
                <w:lang w:val="mk-MK"/>
              </w:rPr>
              <w:t xml:space="preserve"> од обврските кои </w:t>
            </w:r>
            <w:r>
              <w:rPr>
                <w:sz w:val="22"/>
                <w:szCs w:val="22"/>
                <w:lang w:val="mk-MK"/>
              </w:rPr>
              <w:t>им</w:t>
            </w:r>
            <w:r w:rsidRPr="001C6625">
              <w:rPr>
                <w:sz w:val="22"/>
                <w:szCs w:val="22"/>
                <w:lang w:val="mk-MK"/>
              </w:rPr>
              <w:t xml:space="preserve"> се наметнати</w:t>
            </w:r>
            <w:r w:rsidR="00DE0CF3">
              <w:rPr>
                <w:sz w:val="22"/>
                <w:szCs w:val="22"/>
                <w:lang w:val="mk-MK"/>
              </w:rPr>
              <w:t xml:space="preserve"> во моментот</w:t>
            </w:r>
            <w:r w:rsidRPr="001C6625">
              <w:rPr>
                <w:sz w:val="22"/>
                <w:szCs w:val="22"/>
                <w:lang w:val="mk-MK"/>
              </w:rPr>
              <w:t>.</w:t>
            </w:r>
            <w:r>
              <w:rPr>
                <w:sz w:val="22"/>
                <w:szCs w:val="22"/>
                <w:lang w:val="mk-MK"/>
              </w:rPr>
              <w:t xml:space="preserve">  </w:t>
            </w:r>
          </w:p>
          <w:p w:rsidR="00405F4C" w:rsidRDefault="00405F4C">
            <w:pPr>
              <w:rPr>
                <w:sz w:val="22"/>
                <w:szCs w:val="22"/>
                <w:lang w:val="mk-MK"/>
              </w:rPr>
            </w:pPr>
          </w:p>
          <w:p w:rsidR="00405F4C" w:rsidRDefault="001C6625">
            <w:pPr>
              <w:rPr>
                <w:sz w:val="22"/>
                <w:szCs w:val="22"/>
                <w:lang w:val="mk-MK"/>
              </w:rPr>
            </w:pPr>
            <w:r w:rsidRPr="001C6625">
              <w:rPr>
                <w:sz w:val="22"/>
                <w:szCs w:val="22"/>
                <w:lang w:val="mk-MK"/>
              </w:rPr>
              <w:t>При одредување на регулативните обврски сметаме дека АЕК мора да води сметка</w:t>
            </w:r>
            <w:r w:rsidR="008B5175">
              <w:rPr>
                <w:sz w:val="22"/>
                <w:szCs w:val="22"/>
                <w:lang w:val="mk-MK"/>
              </w:rPr>
              <w:t xml:space="preserve"> </w:t>
            </w:r>
            <w:r w:rsidRPr="001C6625">
              <w:rPr>
                <w:sz w:val="22"/>
                <w:szCs w:val="22"/>
                <w:lang w:val="mk-MK"/>
              </w:rPr>
              <w:t xml:space="preserve">да ги поттикне сите оператори да вложуваат во областите каде што нема развиена конкуренција што ќе придонесе за соодветно исполнување и на целите на </w:t>
            </w:r>
            <w:r w:rsidR="008B5175">
              <w:rPr>
                <w:sz w:val="22"/>
                <w:szCs w:val="22"/>
                <w:lang w:val="mk-MK"/>
              </w:rPr>
              <w:t>Д</w:t>
            </w:r>
            <w:r w:rsidRPr="001C6625">
              <w:rPr>
                <w:sz w:val="22"/>
                <w:szCs w:val="22"/>
                <w:lang w:val="mk-MK"/>
              </w:rPr>
              <w:t>игитална</w:t>
            </w:r>
            <w:r w:rsidR="008B5175">
              <w:rPr>
                <w:sz w:val="22"/>
                <w:szCs w:val="22"/>
                <w:lang w:val="mk-MK"/>
              </w:rPr>
              <w:t>та</w:t>
            </w:r>
            <w:r w:rsidRPr="001C6625">
              <w:rPr>
                <w:sz w:val="22"/>
                <w:szCs w:val="22"/>
                <w:lang w:val="mk-MK"/>
              </w:rPr>
              <w:t xml:space="preserve"> </w:t>
            </w:r>
            <w:r w:rsidR="008B5175">
              <w:rPr>
                <w:sz w:val="22"/>
                <w:szCs w:val="22"/>
                <w:lang w:val="mk-MK"/>
              </w:rPr>
              <w:t>А</w:t>
            </w:r>
            <w:r w:rsidRPr="001C6625">
              <w:rPr>
                <w:sz w:val="22"/>
                <w:szCs w:val="22"/>
                <w:lang w:val="mk-MK"/>
              </w:rPr>
              <w:t>генда</w:t>
            </w:r>
            <w:r w:rsidR="008B5175">
              <w:rPr>
                <w:sz w:val="22"/>
                <w:szCs w:val="22"/>
                <w:lang w:val="mk-MK"/>
              </w:rPr>
              <w:t xml:space="preserve"> 2020</w:t>
            </w:r>
            <w:r w:rsidRPr="001C6625">
              <w:rPr>
                <w:sz w:val="22"/>
                <w:szCs w:val="22"/>
                <w:lang w:val="mk-MK"/>
              </w:rPr>
              <w:t>.</w:t>
            </w:r>
          </w:p>
          <w:p w:rsidR="00C50D58" w:rsidRDefault="00C50D58">
            <w:pPr>
              <w:rPr>
                <w:sz w:val="22"/>
                <w:szCs w:val="22"/>
                <w:lang w:val="mk-MK"/>
              </w:rPr>
            </w:pPr>
          </w:p>
          <w:p w:rsidR="00C50D58" w:rsidRPr="00C50D58" w:rsidRDefault="00C50D58">
            <w:pPr>
              <w:rPr>
                <w:i/>
                <w:color w:val="FF0000"/>
                <w:sz w:val="22"/>
                <w:szCs w:val="22"/>
                <w:lang w:val="mk-MK"/>
              </w:rPr>
            </w:pPr>
            <w:r>
              <w:rPr>
                <w:i/>
                <w:color w:val="FF0000"/>
                <w:sz w:val="22"/>
                <w:szCs w:val="22"/>
                <w:lang w:val="mk-MK"/>
              </w:rPr>
              <w:t>Одговор</w:t>
            </w:r>
            <w:r w:rsidR="00CE5BFE">
              <w:rPr>
                <w:i/>
                <w:color w:val="FF0000"/>
                <w:sz w:val="22"/>
                <w:szCs w:val="22"/>
                <w:lang w:val="mk-MK"/>
              </w:rPr>
              <w:t xml:space="preserve"> 7</w:t>
            </w:r>
            <w:r>
              <w:rPr>
                <w:i/>
                <w:color w:val="FF0000"/>
                <w:sz w:val="22"/>
                <w:szCs w:val="22"/>
                <w:lang w:val="mk-MK"/>
              </w:rPr>
              <w:t>: АЕК ќе ги земе во предвид овие констатации во следен циклус на анализа на овие релевантни големопродажни пазари</w:t>
            </w:r>
            <w:r w:rsidR="000C2AC3">
              <w:rPr>
                <w:i/>
                <w:color w:val="FF0000"/>
                <w:sz w:val="22"/>
                <w:szCs w:val="22"/>
                <w:lang w:val="mk-MK"/>
              </w:rPr>
              <w:t>, земајќи ги во предвид ЗЕК и подзаконските акти, секако</w:t>
            </w:r>
            <w:r>
              <w:rPr>
                <w:i/>
                <w:color w:val="FF0000"/>
                <w:sz w:val="22"/>
                <w:szCs w:val="22"/>
                <w:lang w:val="mk-MK"/>
              </w:rPr>
              <w:t xml:space="preserve"> </w:t>
            </w:r>
            <w:r w:rsidR="000C2AC3">
              <w:rPr>
                <w:i/>
                <w:color w:val="FF0000"/>
                <w:sz w:val="22"/>
                <w:szCs w:val="22"/>
                <w:lang w:val="mk-MK"/>
              </w:rPr>
              <w:t xml:space="preserve">во зависност и од </w:t>
            </w:r>
            <w:r>
              <w:rPr>
                <w:i/>
                <w:color w:val="FF0000"/>
                <w:sz w:val="22"/>
                <w:szCs w:val="22"/>
                <w:lang w:val="mk-MK"/>
              </w:rPr>
              <w:t>трендот на развој на пазарот и ефективната конкуренција во иднина.</w:t>
            </w:r>
          </w:p>
          <w:p w:rsidR="00405F4C" w:rsidRDefault="00405F4C">
            <w:pPr>
              <w:pStyle w:val="ListParagraph"/>
              <w:rPr>
                <w:b/>
                <w:sz w:val="22"/>
                <w:szCs w:val="22"/>
                <w:u w:val="double"/>
                <w:lang w:val="mk-MK"/>
              </w:rPr>
            </w:pPr>
          </w:p>
          <w:p w:rsidR="00405F4C" w:rsidRDefault="001C6625" w:rsidP="000F299C">
            <w:pPr>
              <w:numPr>
                <w:ilvl w:val="0"/>
                <w:numId w:val="11"/>
              </w:numPr>
              <w:rPr>
                <w:b/>
                <w:sz w:val="22"/>
                <w:szCs w:val="22"/>
                <w:u w:val="single"/>
                <w:lang w:val="mk-MK"/>
              </w:rPr>
            </w:pPr>
            <w:r w:rsidRPr="001C6625">
              <w:rPr>
                <w:b/>
                <w:sz w:val="22"/>
                <w:szCs w:val="22"/>
                <w:u w:val="single"/>
                <w:lang w:val="mk-MK"/>
              </w:rPr>
              <w:t>Миграциски процедури при премин од една големопродажна услуга на друга</w:t>
            </w:r>
          </w:p>
          <w:p w:rsidR="00405F4C" w:rsidRDefault="00405F4C">
            <w:pPr>
              <w:rPr>
                <w:b/>
                <w:sz w:val="22"/>
                <w:szCs w:val="22"/>
                <w:u w:val="double"/>
                <w:lang w:val="mk-MK"/>
              </w:rPr>
            </w:pPr>
          </w:p>
          <w:p w:rsidR="00405F4C" w:rsidRDefault="00405F4C">
            <w:pPr>
              <w:rPr>
                <w:sz w:val="22"/>
                <w:szCs w:val="22"/>
                <w:lang w:val="mk-MK"/>
              </w:rPr>
            </w:pPr>
          </w:p>
          <w:p w:rsidR="00405F4C" w:rsidRDefault="001C6625">
            <w:pPr>
              <w:rPr>
                <w:sz w:val="22"/>
                <w:szCs w:val="22"/>
                <w:lang w:val="mk-MK"/>
              </w:rPr>
            </w:pPr>
            <w:r w:rsidRPr="001C6625">
              <w:rPr>
                <w:sz w:val="22"/>
                <w:szCs w:val="22"/>
                <w:lang w:val="mk-MK"/>
              </w:rPr>
              <w:t>АЕК треба да има во предвид дека континуираност без прекин на услугата при премин од услугата за битстрим пристап на услугата за разврзан пристап на локална јамка не е возможно да се обезбеди, пред се поради потребата од поддршка на други големопродажни услуги кои се пропратен дел на наведените услуги (како н</w:t>
            </w:r>
            <w:r w:rsidR="00DE0CF3">
              <w:rPr>
                <w:sz w:val="22"/>
                <w:szCs w:val="22"/>
                <w:lang w:val="mk-MK"/>
              </w:rPr>
              <w:t>а пример преносливост на броеви</w:t>
            </w:r>
            <w:r w:rsidRPr="001C6625">
              <w:rPr>
                <w:sz w:val="22"/>
                <w:szCs w:val="22"/>
                <w:lang w:val="mk-MK"/>
              </w:rPr>
              <w:t xml:space="preserve">) заради кои е неопходен минимален прекин од неколку часа заради потребните активности (за активирање и деактивирање на корисничката линија) кое е во согласност и со веќе поставената важечка регулатива.  </w:t>
            </w:r>
          </w:p>
          <w:p w:rsidR="00405F4C" w:rsidRDefault="00405F4C">
            <w:pPr>
              <w:rPr>
                <w:sz w:val="22"/>
                <w:szCs w:val="22"/>
                <w:lang w:val="mk-MK"/>
              </w:rPr>
            </w:pPr>
          </w:p>
          <w:p w:rsidR="00405F4C" w:rsidRDefault="001C6625">
            <w:pPr>
              <w:rPr>
                <w:sz w:val="22"/>
                <w:szCs w:val="22"/>
                <w:lang w:val="mk-MK"/>
              </w:rPr>
            </w:pPr>
            <w:r w:rsidRPr="001C6625">
              <w:rPr>
                <w:sz w:val="22"/>
                <w:szCs w:val="22"/>
                <w:lang w:val="mk-MK"/>
              </w:rPr>
              <w:t>Сметаме дека АЕК мора да ги земе во предвид техничките ограничувања заради обезбедувањето на повеќе услуги одеднаш и усогласувањето на истовремена активација во системите, поради што предлагаме да не се регулира мигри</w:t>
            </w:r>
            <w:r w:rsidR="00DE0CF3">
              <w:rPr>
                <w:sz w:val="22"/>
                <w:szCs w:val="22"/>
                <w:lang w:val="mk-MK"/>
              </w:rPr>
              <w:t>р</w:t>
            </w:r>
            <w:r w:rsidRPr="001C6625">
              <w:rPr>
                <w:sz w:val="22"/>
                <w:szCs w:val="22"/>
                <w:lang w:val="mk-MK"/>
              </w:rPr>
              <w:t xml:space="preserve">ањето бидејќи усогласувањето помеѓу операторите за пред-договорен ден кога ќе настане прекинот и миграцијата веќе е ефикасно во пракса помеѓу операторите и во согласност со важечките правилници. </w:t>
            </w:r>
          </w:p>
          <w:p w:rsidR="00405F4C" w:rsidRDefault="00405F4C">
            <w:pPr>
              <w:rPr>
                <w:sz w:val="22"/>
                <w:szCs w:val="22"/>
                <w:lang w:val="mk-MK"/>
              </w:rPr>
            </w:pPr>
          </w:p>
          <w:p w:rsidR="00405F4C" w:rsidRDefault="000F3A2F">
            <w:pPr>
              <w:rPr>
                <w:bCs/>
                <w:sz w:val="22"/>
                <w:szCs w:val="22"/>
                <w:lang w:val="mk-MK"/>
              </w:rPr>
            </w:pPr>
            <w:r>
              <w:rPr>
                <w:sz w:val="22"/>
                <w:szCs w:val="22"/>
                <w:lang w:val="mk-MK"/>
              </w:rPr>
              <w:t xml:space="preserve">Согласно </w:t>
            </w:r>
            <w:r w:rsidR="00520863">
              <w:rPr>
                <w:sz w:val="22"/>
                <w:szCs w:val="22"/>
                <w:lang w:val="mk-MK"/>
              </w:rPr>
              <w:t xml:space="preserve">Европската препорака за регулирање на пристапот до напредни генерации на мрежи, како и </w:t>
            </w:r>
            <w:r>
              <w:rPr>
                <w:sz w:val="22"/>
                <w:szCs w:val="22"/>
                <w:lang w:val="mk-MK"/>
              </w:rPr>
              <w:t xml:space="preserve">документот издаден од </w:t>
            </w:r>
            <w:r w:rsidRPr="000F3A2F">
              <w:rPr>
                <w:sz w:val="22"/>
                <w:szCs w:val="22"/>
                <w:lang w:val="en-US"/>
              </w:rPr>
              <w:t>BEREC</w:t>
            </w:r>
            <w:r>
              <w:rPr>
                <w:sz w:val="22"/>
                <w:szCs w:val="22"/>
                <w:lang w:val="en-US"/>
              </w:rPr>
              <w:t xml:space="preserve">: </w:t>
            </w:r>
            <w:r w:rsidRPr="000F3A2F">
              <w:rPr>
                <w:sz w:val="22"/>
                <w:szCs w:val="22"/>
                <w:lang w:val="mk-MK"/>
              </w:rPr>
              <w:t xml:space="preserve">BoR (16) 219 </w:t>
            </w:r>
            <w:r w:rsidRPr="000F3A2F">
              <w:rPr>
                <w:sz w:val="22"/>
                <w:szCs w:val="22"/>
                <w:lang w:val="en-US"/>
              </w:rPr>
              <w:t>“</w:t>
            </w:r>
            <w:r w:rsidRPr="000F3A2F">
              <w:rPr>
                <w:bCs/>
                <w:sz w:val="22"/>
                <w:szCs w:val="22"/>
                <w:lang w:val="mk-MK"/>
              </w:rPr>
              <w:t>Monitoring implementation of the BEREC Common Positions on Wholesale Local Access (WLA), Wholesale Central Access (WCA) and Wholesale High Quality Access at a Fixed Location</w:t>
            </w:r>
            <w:r w:rsidRPr="000F3A2F">
              <w:rPr>
                <w:bCs/>
                <w:sz w:val="22"/>
                <w:szCs w:val="22"/>
                <w:lang w:val="en-US"/>
              </w:rPr>
              <w:t xml:space="preserve"> </w:t>
            </w:r>
            <w:r w:rsidRPr="000F3A2F">
              <w:rPr>
                <w:bCs/>
                <w:sz w:val="22"/>
                <w:szCs w:val="22"/>
                <w:lang w:val="mk-MK"/>
              </w:rPr>
              <w:t>(</w:t>
            </w:r>
            <w:r w:rsidRPr="00581A9C">
              <w:rPr>
                <w:bCs/>
                <w:sz w:val="22"/>
                <w:szCs w:val="22"/>
                <w:lang w:val="mk-MK"/>
              </w:rPr>
              <w:t>WHQAFL)</w:t>
            </w:r>
            <w:r w:rsidRPr="00581A9C">
              <w:rPr>
                <w:bCs/>
                <w:sz w:val="22"/>
                <w:szCs w:val="22"/>
                <w:lang w:val="en-US"/>
              </w:rPr>
              <w:t>-</w:t>
            </w:r>
            <w:r w:rsidRPr="00581A9C">
              <w:rPr>
                <w:bCs/>
                <w:sz w:val="22"/>
                <w:szCs w:val="22"/>
                <w:lang w:val="mk-MK"/>
              </w:rPr>
              <w:t>Phase 3</w:t>
            </w:r>
            <w:r w:rsidRPr="00581A9C">
              <w:rPr>
                <w:bCs/>
                <w:sz w:val="22"/>
                <w:szCs w:val="22"/>
                <w:lang w:val="en-US"/>
              </w:rPr>
              <w:t xml:space="preserve">”, </w:t>
            </w:r>
            <w:r w:rsidRPr="00581A9C">
              <w:rPr>
                <w:bCs/>
                <w:sz w:val="22"/>
                <w:szCs w:val="22"/>
                <w:lang w:val="mk-MK"/>
              </w:rPr>
              <w:t xml:space="preserve">потребното време </w:t>
            </w:r>
            <w:r w:rsidR="00915EE9">
              <w:rPr>
                <w:bCs/>
                <w:sz w:val="22"/>
                <w:szCs w:val="22"/>
                <w:lang w:val="mk-MK"/>
              </w:rPr>
              <w:t>известување на операторите-корисници при</w:t>
            </w:r>
            <w:r w:rsidRPr="00581A9C">
              <w:rPr>
                <w:bCs/>
                <w:sz w:val="22"/>
                <w:szCs w:val="22"/>
                <w:lang w:val="mk-MK"/>
              </w:rPr>
              <w:t xml:space="preserve"> </w:t>
            </w:r>
            <w:r w:rsidRPr="000D20EF">
              <w:rPr>
                <w:b/>
                <w:bCs/>
                <w:sz w:val="22"/>
                <w:szCs w:val="22"/>
                <w:lang w:val="mk-MK"/>
              </w:rPr>
              <w:t>миграција од традиционалните кон новите генерации на мрежи</w:t>
            </w:r>
            <w:r w:rsidRPr="00581A9C">
              <w:rPr>
                <w:bCs/>
                <w:sz w:val="22"/>
                <w:szCs w:val="22"/>
                <w:lang w:val="mk-MK"/>
              </w:rPr>
              <w:t xml:space="preserve"> кое вообичаено е регулирано од страна на Н</w:t>
            </w:r>
            <w:r w:rsidR="00342431" w:rsidRPr="00581A9C">
              <w:rPr>
                <w:bCs/>
                <w:sz w:val="22"/>
                <w:szCs w:val="22"/>
                <w:lang w:val="mk-MK"/>
              </w:rPr>
              <w:t>а</w:t>
            </w:r>
            <w:r w:rsidRPr="00581A9C">
              <w:rPr>
                <w:bCs/>
                <w:sz w:val="22"/>
                <w:szCs w:val="22"/>
                <w:lang w:val="mk-MK"/>
              </w:rPr>
              <w:t xml:space="preserve">ционалниот Регулатор е помеѓу </w:t>
            </w:r>
            <w:r w:rsidRPr="000D20EF">
              <w:rPr>
                <w:b/>
                <w:bCs/>
                <w:sz w:val="22"/>
                <w:szCs w:val="22"/>
                <w:lang w:val="mk-MK"/>
              </w:rPr>
              <w:t>3 и 5 години</w:t>
            </w:r>
            <w:r w:rsidRPr="00581A9C">
              <w:rPr>
                <w:bCs/>
                <w:sz w:val="22"/>
                <w:szCs w:val="22"/>
                <w:lang w:val="mk-MK"/>
              </w:rPr>
              <w:t xml:space="preserve">. </w:t>
            </w:r>
            <w:r w:rsidRPr="00581A9C">
              <w:rPr>
                <w:sz w:val="22"/>
                <w:szCs w:val="22"/>
                <w:lang w:val="en-US"/>
              </w:rPr>
              <w:t xml:space="preserve"> </w:t>
            </w:r>
            <w:r w:rsidR="00581A9C" w:rsidRPr="00581A9C">
              <w:rPr>
                <w:sz w:val="22"/>
                <w:szCs w:val="22"/>
                <w:lang w:val="mk-MK"/>
              </w:rPr>
              <w:t xml:space="preserve">Сметаме дека овој заклучок од </w:t>
            </w:r>
            <w:r w:rsidR="00581A9C" w:rsidRPr="00581A9C">
              <w:rPr>
                <w:sz w:val="22"/>
                <w:szCs w:val="22"/>
                <w:lang w:val="en-US"/>
              </w:rPr>
              <w:t>BEREC</w:t>
            </w:r>
            <w:r w:rsidR="00581A9C">
              <w:rPr>
                <w:sz w:val="22"/>
                <w:szCs w:val="22"/>
                <w:lang w:val="mk-MK"/>
              </w:rPr>
              <w:t xml:space="preserve"> треба да биде земен во предвид </w:t>
            </w:r>
            <w:r w:rsidR="000D20EF">
              <w:rPr>
                <w:sz w:val="22"/>
                <w:szCs w:val="22"/>
                <w:lang w:val="mk-MK"/>
              </w:rPr>
              <w:t>од страна на АЕК и</w:t>
            </w:r>
            <w:r w:rsidR="000D20EF">
              <w:rPr>
                <w:sz w:val="22"/>
                <w:szCs w:val="22"/>
                <w:lang w:val="en-US"/>
              </w:rPr>
              <w:t xml:space="preserve"> </w:t>
            </w:r>
            <w:r w:rsidR="00915EE9">
              <w:rPr>
                <w:sz w:val="22"/>
                <w:szCs w:val="22"/>
                <w:lang w:val="mk-MK"/>
              </w:rPr>
              <w:t xml:space="preserve">рокот од 60 месеци (дефиниран во Правилникот за </w:t>
            </w:r>
            <w:r w:rsidR="00915EE9" w:rsidRPr="005003CE">
              <w:rPr>
                <w:bCs/>
                <w:sz w:val="22"/>
                <w:szCs w:val="22"/>
                <w:lang w:val="mk-MK"/>
              </w:rPr>
              <w:t>нивото на деталност на информациите што ќе</w:t>
            </w:r>
            <w:r w:rsidR="00915EE9">
              <w:rPr>
                <w:bCs/>
                <w:sz w:val="22"/>
                <w:szCs w:val="22"/>
                <w:lang w:val="mk-MK"/>
              </w:rPr>
              <w:t xml:space="preserve"> </w:t>
            </w:r>
            <w:r w:rsidR="00915EE9" w:rsidRPr="005003CE">
              <w:rPr>
                <w:bCs/>
                <w:sz w:val="22"/>
                <w:szCs w:val="22"/>
                <w:lang w:val="mk-MK"/>
              </w:rPr>
              <w:t>бидат објавени во референтната понуда за разврзан пристап на</w:t>
            </w:r>
            <w:r w:rsidR="00915EE9">
              <w:rPr>
                <w:bCs/>
                <w:sz w:val="22"/>
                <w:szCs w:val="22"/>
                <w:lang w:val="mk-MK"/>
              </w:rPr>
              <w:t xml:space="preserve"> </w:t>
            </w:r>
            <w:r w:rsidR="00915EE9" w:rsidRPr="005003CE">
              <w:rPr>
                <w:bCs/>
                <w:sz w:val="22"/>
                <w:szCs w:val="22"/>
                <w:lang w:val="mk-MK"/>
              </w:rPr>
              <w:t>локална јамка и начинот на нивното објавување</w:t>
            </w:r>
            <w:r w:rsidR="00915EE9">
              <w:rPr>
                <w:bCs/>
                <w:sz w:val="22"/>
                <w:szCs w:val="22"/>
                <w:lang w:val="mk-MK"/>
              </w:rPr>
              <w:t>)</w:t>
            </w:r>
            <w:r w:rsidR="00915EE9">
              <w:rPr>
                <w:sz w:val="22"/>
                <w:szCs w:val="22"/>
                <w:lang w:val="mk-MK"/>
              </w:rPr>
              <w:t xml:space="preserve"> потребен </w:t>
            </w:r>
            <w:r w:rsidR="000D20EF">
              <w:rPr>
                <w:sz w:val="22"/>
                <w:szCs w:val="22"/>
                <w:lang w:val="mk-MK"/>
              </w:rPr>
              <w:t xml:space="preserve">за </w:t>
            </w:r>
            <w:r w:rsidR="005003CE">
              <w:rPr>
                <w:sz w:val="22"/>
                <w:szCs w:val="22"/>
                <w:lang w:val="mk-MK"/>
              </w:rPr>
              <w:t xml:space="preserve">известување на </w:t>
            </w:r>
            <w:r w:rsidR="005003CE" w:rsidRPr="005003CE">
              <w:rPr>
                <w:sz w:val="22"/>
                <w:szCs w:val="22"/>
                <w:lang w:val="mk-MK"/>
              </w:rPr>
              <w:t>операторите-корисници</w:t>
            </w:r>
            <w:r w:rsidR="005003CE">
              <w:rPr>
                <w:sz w:val="22"/>
                <w:szCs w:val="22"/>
                <w:lang w:val="mk-MK"/>
              </w:rPr>
              <w:t xml:space="preserve"> </w:t>
            </w:r>
            <w:r w:rsidR="0001541C">
              <w:rPr>
                <w:sz w:val="22"/>
                <w:szCs w:val="22"/>
                <w:lang w:val="mk-MK"/>
              </w:rPr>
              <w:t>д</w:t>
            </w:r>
            <w:r w:rsidR="0001541C" w:rsidRPr="005003CE">
              <w:rPr>
                <w:sz w:val="22"/>
                <w:szCs w:val="22"/>
                <w:lang w:val="mk-MK"/>
              </w:rPr>
              <w:t>околку некој главен разделник се исклучува од употреба</w:t>
            </w:r>
            <w:r w:rsidR="00DE0CF3">
              <w:rPr>
                <w:sz w:val="22"/>
                <w:szCs w:val="22"/>
                <w:lang w:val="mk-MK"/>
              </w:rPr>
              <w:t>,</w:t>
            </w:r>
            <w:r w:rsidR="0001541C">
              <w:rPr>
                <w:bCs/>
                <w:sz w:val="22"/>
                <w:szCs w:val="22"/>
                <w:lang w:val="mk-MK"/>
              </w:rPr>
              <w:t xml:space="preserve"> да биде намален на 12 до 24 месеци. </w:t>
            </w:r>
          </w:p>
          <w:p w:rsidR="00DE0CF3" w:rsidRDefault="00DE0CF3">
            <w:pPr>
              <w:rPr>
                <w:bCs/>
                <w:sz w:val="22"/>
                <w:szCs w:val="22"/>
                <w:lang w:val="mk-MK"/>
              </w:rPr>
            </w:pPr>
          </w:p>
          <w:p w:rsidR="00405F4C" w:rsidRDefault="00EC0FB2">
            <w:pPr>
              <w:rPr>
                <w:bCs/>
                <w:sz w:val="22"/>
                <w:szCs w:val="22"/>
                <w:lang w:val="mk-MK"/>
              </w:rPr>
            </w:pPr>
            <w:r>
              <w:rPr>
                <w:bCs/>
                <w:sz w:val="22"/>
                <w:szCs w:val="22"/>
                <w:lang w:val="mk-MK"/>
              </w:rPr>
              <w:t>Сметаме дека предложениот рок е сосема доволен со оглед на тоа дека алтернативните оператори ќе имаат доволно време да ги адаптираат сопствените бизнис планови и да ги предвидат неопходните измени во големопродажните продукти за одредени</w:t>
            </w:r>
            <w:r w:rsidR="00915EE9">
              <w:rPr>
                <w:bCs/>
                <w:sz w:val="22"/>
                <w:szCs w:val="22"/>
                <w:lang w:val="mk-MK"/>
              </w:rPr>
              <w:t>те</w:t>
            </w:r>
            <w:r w:rsidR="00DE0CF3">
              <w:rPr>
                <w:bCs/>
                <w:sz w:val="22"/>
                <w:szCs w:val="22"/>
                <w:lang w:val="mk-MK"/>
              </w:rPr>
              <w:t xml:space="preserve"> претходно најавени п</w:t>
            </w:r>
            <w:r>
              <w:rPr>
                <w:bCs/>
                <w:sz w:val="22"/>
                <w:szCs w:val="22"/>
                <w:lang w:val="mk-MK"/>
              </w:rPr>
              <w:t xml:space="preserve">одрачја од наша страна. </w:t>
            </w:r>
            <w:r w:rsidR="005C72B6" w:rsidRPr="005C72B6">
              <w:rPr>
                <w:bCs/>
                <w:sz w:val="22"/>
                <w:szCs w:val="22"/>
                <w:lang w:val="mk-MK"/>
              </w:rPr>
              <w:t xml:space="preserve">Со предложената измена </w:t>
            </w:r>
            <w:r w:rsidR="00915EE9">
              <w:rPr>
                <w:bCs/>
                <w:sz w:val="22"/>
                <w:szCs w:val="22"/>
                <w:lang w:val="mk-MK"/>
              </w:rPr>
              <w:t>покрај МКТ</w:t>
            </w:r>
            <w:r w:rsidR="00915EE9" w:rsidRPr="005C72B6">
              <w:rPr>
                <w:bCs/>
                <w:sz w:val="22"/>
                <w:szCs w:val="22"/>
                <w:lang w:val="mk-MK"/>
              </w:rPr>
              <w:t xml:space="preserve"> </w:t>
            </w:r>
            <w:r w:rsidR="005C72B6" w:rsidRPr="005C72B6">
              <w:rPr>
                <w:bCs/>
                <w:sz w:val="22"/>
                <w:szCs w:val="22"/>
                <w:lang w:val="mk-MK"/>
              </w:rPr>
              <w:t>ќе се овозможи</w:t>
            </w:r>
            <w:r w:rsidR="00915EE9">
              <w:rPr>
                <w:bCs/>
                <w:sz w:val="22"/>
                <w:szCs w:val="22"/>
                <w:lang w:val="mk-MK"/>
              </w:rPr>
              <w:t xml:space="preserve"> </w:t>
            </w:r>
            <w:r w:rsidR="005C72B6" w:rsidRPr="005C72B6">
              <w:rPr>
                <w:bCs/>
                <w:sz w:val="22"/>
                <w:szCs w:val="22"/>
                <w:lang w:val="mk-MK"/>
              </w:rPr>
              <w:t>и алтернативните оператори да учествуваат во остварувањето на целите кои ги наметнува АЕК, што подр</w:t>
            </w:r>
            <w:r w:rsidR="005C72B6">
              <w:rPr>
                <w:bCs/>
                <w:sz w:val="22"/>
                <w:szCs w:val="22"/>
                <w:lang w:val="mk-MK"/>
              </w:rPr>
              <w:t>азбира следење на обврската во П</w:t>
            </w:r>
            <w:r w:rsidR="005C72B6" w:rsidRPr="005C72B6">
              <w:rPr>
                <w:bCs/>
                <w:sz w:val="22"/>
                <w:szCs w:val="22"/>
                <w:lang w:val="mk-MK"/>
              </w:rPr>
              <w:t>равилникот за изградба на електронски комуникациски мрежи како и  Европската препорака за остварување на целите на Дигиталната Агенда 2020.</w:t>
            </w:r>
            <w:r w:rsidR="005C72B6">
              <w:rPr>
                <w:bCs/>
                <w:sz w:val="22"/>
                <w:szCs w:val="22"/>
                <w:lang w:val="mk-MK"/>
              </w:rPr>
              <w:t xml:space="preserve"> </w:t>
            </w:r>
            <w:r w:rsidR="00976FF6">
              <w:rPr>
                <w:bCs/>
                <w:sz w:val="22"/>
                <w:szCs w:val="22"/>
                <w:lang w:val="mk-MK"/>
              </w:rPr>
              <w:t xml:space="preserve">Секако со </w:t>
            </w:r>
            <w:r w:rsidR="005C72B6">
              <w:rPr>
                <w:bCs/>
                <w:sz w:val="22"/>
                <w:szCs w:val="22"/>
                <w:lang w:val="mk-MK"/>
              </w:rPr>
              <w:t>измена</w:t>
            </w:r>
            <w:r w:rsidR="00976FF6">
              <w:rPr>
                <w:bCs/>
                <w:sz w:val="22"/>
                <w:szCs w:val="22"/>
                <w:lang w:val="mk-MK"/>
              </w:rPr>
              <w:t>та</w:t>
            </w:r>
            <w:r w:rsidR="005C72B6">
              <w:rPr>
                <w:bCs/>
                <w:sz w:val="22"/>
                <w:szCs w:val="22"/>
                <w:lang w:val="mk-MK"/>
              </w:rPr>
              <w:t xml:space="preserve"> </w:t>
            </w:r>
            <w:r w:rsidR="00494635">
              <w:rPr>
                <w:bCs/>
                <w:sz w:val="22"/>
                <w:szCs w:val="22"/>
                <w:lang w:val="mk-MK"/>
              </w:rPr>
              <w:t>и со развојот на напредни генерации на мрежи,</w:t>
            </w:r>
            <w:r>
              <w:rPr>
                <w:bCs/>
                <w:sz w:val="22"/>
                <w:szCs w:val="22"/>
                <w:lang w:val="mk-MK"/>
              </w:rPr>
              <w:t xml:space="preserve"> сите оператори</w:t>
            </w:r>
            <w:r w:rsidR="00494635">
              <w:rPr>
                <w:bCs/>
                <w:sz w:val="22"/>
                <w:szCs w:val="22"/>
                <w:lang w:val="mk-MK"/>
              </w:rPr>
              <w:t xml:space="preserve"> - корис</w:t>
            </w:r>
            <w:r w:rsidR="00EC7F94">
              <w:rPr>
                <w:bCs/>
                <w:sz w:val="22"/>
                <w:szCs w:val="22"/>
                <w:lang w:val="mk-MK"/>
              </w:rPr>
              <w:t>н</w:t>
            </w:r>
            <w:r w:rsidR="00494635">
              <w:rPr>
                <w:bCs/>
                <w:sz w:val="22"/>
                <w:szCs w:val="22"/>
                <w:lang w:val="mk-MK"/>
              </w:rPr>
              <w:t>ици ќе имаат можност</w:t>
            </w:r>
            <w:r>
              <w:rPr>
                <w:bCs/>
                <w:sz w:val="22"/>
                <w:szCs w:val="22"/>
                <w:lang w:val="mk-MK"/>
              </w:rPr>
              <w:t xml:space="preserve"> да користат </w:t>
            </w:r>
            <w:r w:rsidR="00DE0CF3">
              <w:rPr>
                <w:bCs/>
                <w:sz w:val="22"/>
                <w:szCs w:val="22"/>
                <w:lang w:val="mk-MK"/>
              </w:rPr>
              <w:t xml:space="preserve">подобри </w:t>
            </w:r>
            <w:r>
              <w:rPr>
                <w:bCs/>
                <w:sz w:val="22"/>
                <w:szCs w:val="22"/>
                <w:lang w:val="mk-MK"/>
              </w:rPr>
              <w:t>услуги</w:t>
            </w:r>
            <w:r w:rsidR="005C72B6">
              <w:rPr>
                <w:bCs/>
                <w:sz w:val="22"/>
                <w:szCs w:val="22"/>
                <w:lang w:val="mk-MK"/>
              </w:rPr>
              <w:t xml:space="preserve"> </w:t>
            </w:r>
            <w:r w:rsidR="00DE0CF3">
              <w:rPr>
                <w:bCs/>
                <w:sz w:val="22"/>
                <w:szCs w:val="22"/>
                <w:lang w:val="mk-MK"/>
              </w:rPr>
              <w:t>со користење на нови видови на пристапни технологии</w:t>
            </w:r>
            <w:r w:rsidR="00494635">
              <w:rPr>
                <w:bCs/>
                <w:sz w:val="22"/>
                <w:szCs w:val="22"/>
                <w:lang w:val="mk-MK"/>
              </w:rPr>
              <w:t>.</w:t>
            </w:r>
            <w:r>
              <w:rPr>
                <w:bCs/>
                <w:sz w:val="22"/>
                <w:szCs w:val="22"/>
                <w:lang w:val="mk-MK"/>
              </w:rPr>
              <w:t xml:space="preserve"> </w:t>
            </w:r>
          </w:p>
          <w:p w:rsidR="00405F4C" w:rsidRDefault="00405F4C">
            <w:pPr>
              <w:rPr>
                <w:bCs/>
                <w:sz w:val="22"/>
                <w:szCs w:val="22"/>
                <w:lang w:val="mk-MK"/>
              </w:rPr>
            </w:pPr>
          </w:p>
          <w:p w:rsidR="00405F4C" w:rsidRDefault="00915EE9">
            <w:pPr>
              <w:rPr>
                <w:bCs/>
                <w:sz w:val="22"/>
                <w:szCs w:val="22"/>
                <w:lang w:val="en-US"/>
              </w:rPr>
            </w:pPr>
            <w:r>
              <w:rPr>
                <w:bCs/>
                <w:sz w:val="22"/>
                <w:szCs w:val="22"/>
                <w:lang w:val="mk-MK"/>
              </w:rPr>
              <w:t>Споредбена анализа и сумирани европски пра</w:t>
            </w:r>
            <w:r w:rsidR="00DE0CF3">
              <w:rPr>
                <w:bCs/>
                <w:sz w:val="22"/>
                <w:szCs w:val="22"/>
                <w:lang w:val="mk-MK"/>
              </w:rPr>
              <w:t>к</w:t>
            </w:r>
            <w:r>
              <w:rPr>
                <w:bCs/>
                <w:sz w:val="22"/>
                <w:szCs w:val="22"/>
                <w:lang w:val="mk-MK"/>
              </w:rPr>
              <w:t>тики за рокот на известување</w:t>
            </w:r>
            <w:r w:rsidR="009D07F1">
              <w:rPr>
                <w:bCs/>
                <w:sz w:val="22"/>
                <w:szCs w:val="22"/>
                <w:lang w:val="mk-MK"/>
              </w:rPr>
              <w:t xml:space="preserve"> на операторите-корисници</w:t>
            </w:r>
            <w:r>
              <w:rPr>
                <w:bCs/>
                <w:sz w:val="22"/>
                <w:szCs w:val="22"/>
                <w:lang w:val="mk-MK"/>
              </w:rPr>
              <w:t xml:space="preserve"> при </w:t>
            </w:r>
            <w:r w:rsidR="009D07F1">
              <w:rPr>
                <w:bCs/>
                <w:sz w:val="22"/>
                <w:szCs w:val="22"/>
                <w:lang w:val="mk-MK"/>
              </w:rPr>
              <w:t>миграција од традиционалните кон новите генерации на мрежи се дадени во следната табела</w:t>
            </w:r>
            <w:r w:rsidR="009D07F1">
              <w:rPr>
                <w:bCs/>
                <w:sz w:val="22"/>
                <w:szCs w:val="22"/>
                <w:lang w:val="en-US"/>
              </w:rPr>
              <w:t>:</w:t>
            </w:r>
          </w:p>
          <w:p w:rsidR="00405F4C" w:rsidRPr="00405F4C" w:rsidRDefault="00405F4C">
            <w:pPr>
              <w:rPr>
                <w:bCs/>
                <w:sz w:val="22"/>
                <w:szCs w:val="22"/>
                <w:lang w:val="en-US"/>
              </w:rPr>
            </w:pPr>
          </w:p>
          <w:tbl>
            <w:tblPr>
              <w:tblStyle w:val="TableGrid"/>
              <w:tblW w:w="0" w:type="auto"/>
              <w:tblLayout w:type="fixed"/>
              <w:tblLook w:val="04A0" w:firstRow="1" w:lastRow="0" w:firstColumn="1" w:lastColumn="0" w:noHBand="0" w:noVBand="1"/>
            </w:tblPr>
            <w:tblGrid>
              <w:gridCol w:w="1267"/>
              <w:gridCol w:w="5249"/>
            </w:tblGrid>
            <w:tr w:rsidR="00DE0CF3" w:rsidTr="00DE0CF3">
              <w:trPr>
                <w:trHeight w:val="487"/>
              </w:trPr>
              <w:tc>
                <w:tcPr>
                  <w:tcW w:w="1267" w:type="dxa"/>
                </w:tcPr>
                <w:p w:rsidR="00DE0CF3" w:rsidRPr="00DE0CF3" w:rsidRDefault="00DE0CF3" w:rsidP="00B35A98">
                  <w:pPr>
                    <w:framePr w:hSpace="180" w:wrap="around" w:vAnchor="text" w:hAnchor="text" w:x="-340" w:y="1"/>
                    <w:suppressOverlap/>
                    <w:rPr>
                      <w:b/>
                      <w:bCs/>
                      <w:sz w:val="22"/>
                      <w:szCs w:val="22"/>
                      <w:lang w:val="mk-MK"/>
                    </w:rPr>
                  </w:pPr>
                  <w:r w:rsidRPr="00DE0CF3">
                    <w:rPr>
                      <w:b/>
                      <w:bCs/>
                      <w:sz w:val="22"/>
                      <w:szCs w:val="22"/>
                      <w:lang w:val="mk-MK"/>
                    </w:rPr>
                    <w:t>Држава</w:t>
                  </w:r>
                </w:p>
              </w:tc>
              <w:tc>
                <w:tcPr>
                  <w:tcW w:w="5249" w:type="dxa"/>
                </w:tcPr>
                <w:p w:rsidR="00DE0CF3" w:rsidRPr="00DE0CF3" w:rsidRDefault="00DE0CF3" w:rsidP="00B35A98">
                  <w:pPr>
                    <w:framePr w:hSpace="180" w:wrap="around" w:vAnchor="text" w:hAnchor="text" w:x="-340" w:y="1"/>
                    <w:suppressOverlap/>
                    <w:rPr>
                      <w:b/>
                      <w:bCs/>
                      <w:sz w:val="22"/>
                      <w:szCs w:val="22"/>
                      <w:lang w:val="mk-MK"/>
                    </w:rPr>
                  </w:pPr>
                  <w:r w:rsidRPr="00DE0CF3">
                    <w:rPr>
                      <w:b/>
                      <w:bCs/>
                      <w:sz w:val="22"/>
                      <w:szCs w:val="22"/>
                      <w:lang w:val="mk-MK"/>
                    </w:rPr>
                    <w:t>Регулиран период на миграција од традиционални кон нови генерации на мрежи</w:t>
                  </w:r>
                </w:p>
              </w:tc>
            </w:tr>
            <w:tr w:rsidR="009346A3" w:rsidTr="00DE0CF3">
              <w:trPr>
                <w:trHeight w:val="248"/>
              </w:trPr>
              <w:tc>
                <w:tcPr>
                  <w:tcW w:w="1267" w:type="dxa"/>
                </w:tcPr>
                <w:p w:rsidR="00462AB1" w:rsidRDefault="009346A3" w:rsidP="00B35A98">
                  <w:pPr>
                    <w:framePr w:hSpace="180" w:wrap="around" w:vAnchor="text" w:hAnchor="text" w:x="-340" w:y="1"/>
                    <w:suppressOverlap/>
                    <w:rPr>
                      <w:bCs/>
                      <w:sz w:val="22"/>
                      <w:szCs w:val="22"/>
                      <w:lang w:val="mk-MK"/>
                    </w:rPr>
                  </w:pPr>
                  <w:r>
                    <w:rPr>
                      <w:bCs/>
                      <w:sz w:val="22"/>
                      <w:szCs w:val="22"/>
                      <w:lang w:val="mk-MK"/>
                    </w:rPr>
                    <w:t>Полска</w:t>
                  </w:r>
                </w:p>
              </w:tc>
              <w:tc>
                <w:tcPr>
                  <w:tcW w:w="5249" w:type="dxa"/>
                </w:tcPr>
                <w:p w:rsidR="00462AB1" w:rsidRDefault="009346A3" w:rsidP="00B35A98">
                  <w:pPr>
                    <w:framePr w:hSpace="180" w:wrap="around" w:vAnchor="text" w:hAnchor="text" w:x="-340" w:y="1"/>
                    <w:suppressOverlap/>
                    <w:rPr>
                      <w:bCs/>
                      <w:sz w:val="22"/>
                      <w:szCs w:val="22"/>
                      <w:lang w:val="mk-MK"/>
                    </w:rPr>
                  </w:pPr>
                  <w:r>
                    <w:rPr>
                      <w:bCs/>
                      <w:sz w:val="22"/>
                      <w:szCs w:val="22"/>
                      <w:lang w:val="mk-MK"/>
                    </w:rPr>
                    <w:t>3 месеци</w:t>
                  </w:r>
                </w:p>
              </w:tc>
            </w:tr>
            <w:tr w:rsidR="00201646" w:rsidTr="00DE0CF3">
              <w:trPr>
                <w:trHeight w:val="248"/>
              </w:trPr>
              <w:tc>
                <w:tcPr>
                  <w:tcW w:w="1267" w:type="dxa"/>
                </w:tcPr>
                <w:p w:rsidR="00462AB1" w:rsidRDefault="00201646" w:rsidP="00B35A98">
                  <w:pPr>
                    <w:framePr w:hSpace="180" w:wrap="around" w:vAnchor="text" w:hAnchor="text" w:x="-340" w:y="1"/>
                    <w:suppressOverlap/>
                    <w:rPr>
                      <w:bCs/>
                      <w:sz w:val="22"/>
                      <w:szCs w:val="22"/>
                      <w:lang w:val="mk-MK"/>
                    </w:rPr>
                  </w:pPr>
                  <w:r>
                    <w:rPr>
                      <w:bCs/>
                      <w:sz w:val="22"/>
                      <w:szCs w:val="22"/>
                      <w:lang w:val="mk-MK"/>
                    </w:rPr>
                    <w:t>Шпанија</w:t>
                  </w:r>
                </w:p>
              </w:tc>
              <w:tc>
                <w:tcPr>
                  <w:tcW w:w="5249" w:type="dxa"/>
                </w:tcPr>
                <w:p w:rsidR="00462AB1" w:rsidRDefault="00201646" w:rsidP="00B35A98">
                  <w:pPr>
                    <w:framePr w:hSpace="180" w:wrap="around" w:vAnchor="text" w:hAnchor="text" w:x="-340" w:y="1"/>
                    <w:suppressOverlap/>
                    <w:rPr>
                      <w:bCs/>
                      <w:sz w:val="22"/>
                      <w:szCs w:val="22"/>
                      <w:lang w:val="mk-MK"/>
                    </w:rPr>
                  </w:pPr>
                  <w:r>
                    <w:rPr>
                      <w:bCs/>
                      <w:sz w:val="22"/>
                      <w:szCs w:val="22"/>
                      <w:lang w:val="mk-MK"/>
                    </w:rPr>
                    <w:t>6 месеци</w:t>
                  </w:r>
                </w:p>
              </w:tc>
            </w:tr>
            <w:tr w:rsidR="00201646" w:rsidTr="00DE0CF3">
              <w:trPr>
                <w:trHeight w:val="248"/>
              </w:trPr>
              <w:tc>
                <w:tcPr>
                  <w:tcW w:w="1267" w:type="dxa"/>
                </w:tcPr>
                <w:p w:rsidR="00462AB1" w:rsidRDefault="00201646" w:rsidP="00B35A98">
                  <w:pPr>
                    <w:framePr w:hSpace="180" w:wrap="around" w:vAnchor="text" w:hAnchor="text" w:x="-340" w:y="1"/>
                    <w:suppressOverlap/>
                    <w:rPr>
                      <w:bCs/>
                      <w:sz w:val="22"/>
                      <w:szCs w:val="22"/>
                      <w:lang w:val="mk-MK"/>
                    </w:rPr>
                  </w:pPr>
                  <w:r>
                    <w:rPr>
                      <w:bCs/>
                      <w:sz w:val="22"/>
                      <w:szCs w:val="22"/>
                      <w:lang w:val="mk-MK"/>
                    </w:rPr>
                    <w:t>Чешка</w:t>
                  </w:r>
                </w:p>
              </w:tc>
              <w:tc>
                <w:tcPr>
                  <w:tcW w:w="5249" w:type="dxa"/>
                </w:tcPr>
                <w:p w:rsidR="00462AB1" w:rsidRDefault="00201646" w:rsidP="00B35A98">
                  <w:pPr>
                    <w:framePr w:hSpace="180" w:wrap="around" w:vAnchor="text" w:hAnchor="text" w:x="-340" w:y="1"/>
                    <w:suppressOverlap/>
                    <w:rPr>
                      <w:bCs/>
                      <w:sz w:val="22"/>
                      <w:szCs w:val="22"/>
                      <w:lang w:val="mk-MK"/>
                    </w:rPr>
                  </w:pPr>
                  <w:r>
                    <w:rPr>
                      <w:bCs/>
                      <w:sz w:val="22"/>
                      <w:szCs w:val="22"/>
                      <w:lang w:val="mk-MK"/>
                    </w:rPr>
                    <w:t>12 месеци</w:t>
                  </w:r>
                </w:p>
              </w:tc>
            </w:tr>
            <w:tr w:rsidR="00201646" w:rsidTr="00DE0CF3">
              <w:trPr>
                <w:trHeight w:val="237"/>
              </w:trPr>
              <w:tc>
                <w:tcPr>
                  <w:tcW w:w="1267" w:type="dxa"/>
                </w:tcPr>
                <w:p w:rsidR="00462AB1" w:rsidRDefault="00201646" w:rsidP="00B35A98">
                  <w:pPr>
                    <w:framePr w:hSpace="180" w:wrap="around" w:vAnchor="text" w:hAnchor="text" w:x="-340" w:y="1"/>
                    <w:suppressOverlap/>
                    <w:rPr>
                      <w:bCs/>
                      <w:sz w:val="22"/>
                      <w:szCs w:val="22"/>
                      <w:lang w:val="mk-MK"/>
                    </w:rPr>
                  </w:pPr>
                  <w:r>
                    <w:rPr>
                      <w:bCs/>
                      <w:sz w:val="22"/>
                      <w:szCs w:val="22"/>
                      <w:lang w:val="mk-MK"/>
                    </w:rPr>
                    <w:t>Португалија</w:t>
                  </w:r>
                </w:p>
              </w:tc>
              <w:tc>
                <w:tcPr>
                  <w:tcW w:w="5249" w:type="dxa"/>
                </w:tcPr>
                <w:p w:rsidR="00462AB1" w:rsidRDefault="00201646" w:rsidP="00B35A98">
                  <w:pPr>
                    <w:framePr w:hSpace="180" w:wrap="around" w:vAnchor="text" w:hAnchor="text" w:x="-340" w:y="1"/>
                    <w:suppressOverlap/>
                    <w:rPr>
                      <w:bCs/>
                      <w:sz w:val="22"/>
                      <w:szCs w:val="22"/>
                      <w:lang w:val="mk-MK"/>
                    </w:rPr>
                  </w:pPr>
                  <w:r>
                    <w:rPr>
                      <w:bCs/>
                      <w:sz w:val="22"/>
                      <w:szCs w:val="22"/>
                      <w:lang w:val="mk-MK"/>
                    </w:rPr>
                    <w:t>12 месеци</w:t>
                  </w:r>
                </w:p>
              </w:tc>
            </w:tr>
            <w:tr w:rsidR="00201646" w:rsidTr="00DE0CF3">
              <w:trPr>
                <w:trHeight w:val="248"/>
              </w:trPr>
              <w:tc>
                <w:tcPr>
                  <w:tcW w:w="1267" w:type="dxa"/>
                </w:tcPr>
                <w:p w:rsidR="00462AB1" w:rsidRDefault="00201646" w:rsidP="00B35A98">
                  <w:pPr>
                    <w:framePr w:hSpace="180" w:wrap="around" w:vAnchor="text" w:hAnchor="text" w:x="-340" w:y="1"/>
                    <w:suppressOverlap/>
                    <w:rPr>
                      <w:bCs/>
                      <w:sz w:val="22"/>
                      <w:szCs w:val="22"/>
                      <w:lang w:val="mk-MK"/>
                    </w:rPr>
                  </w:pPr>
                  <w:r>
                    <w:rPr>
                      <w:bCs/>
                      <w:sz w:val="22"/>
                      <w:szCs w:val="22"/>
                      <w:lang w:val="mk-MK"/>
                    </w:rPr>
                    <w:t>Литванија</w:t>
                  </w:r>
                </w:p>
              </w:tc>
              <w:tc>
                <w:tcPr>
                  <w:tcW w:w="5249" w:type="dxa"/>
                </w:tcPr>
                <w:p w:rsidR="00462AB1" w:rsidRDefault="00201646" w:rsidP="00B35A98">
                  <w:pPr>
                    <w:framePr w:hSpace="180" w:wrap="around" w:vAnchor="text" w:hAnchor="text" w:x="-340" w:y="1"/>
                    <w:suppressOverlap/>
                    <w:rPr>
                      <w:bCs/>
                      <w:sz w:val="22"/>
                      <w:szCs w:val="22"/>
                      <w:lang w:val="mk-MK"/>
                    </w:rPr>
                  </w:pPr>
                  <w:r>
                    <w:rPr>
                      <w:bCs/>
                      <w:sz w:val="22"/>
                      <w:szCs w:val="22"/>
                      <w:lang w:val="mk-MK"/>
                    </w:rPr>
                    <w:t>12 месеци</w:t>
                  </w:r>
                </w:p>
              </w:tc>
            </w:tr>
            <w:tr w:rsidR="00201646" w:rsidTr="00DE0CF3">
              <w:trPr>
                <w:trHeight w:val="248"/>
              </w:trPr>
              <w:tc>
                <w:tcPr>
                  <w:tcW w:w="1267" w:type="dxa"/>
                </w:tcPr>
                <w:p w:rsidR="00462AB1" w:rsidRDefault="00201646" w:rsidP="00B35A98">
                  <w:pPr>
                    <w:framePr w:hSpace="180" w:wrap="around" w:vAnchor="text" w:hAnchor="text" w:x="-340" w:y="1"/>
                    <w:suppressOverlap/>
                    <w:rPr>
                      <w:bCs/>
                      <w:sz w:val="22"/>
                      <w:szCs w:val="22"/>
                      <w:lang w:val="mk-MK"/>
                    </w:rPr>
                  </w:pPr>
                  <w:r>
                    <w:rPr>
                      <w:bCs/>
                      <w:sz w:val="22"/>
                      <w:szCs w:val="22"/>
                      <w:lang w:val="mk-MK"/>
                    </w:rPr>
                    <w:t>Данска</w:t>
                  </w:r>
                </w:p>
              </w:tc>
              <w:tc>
                <w:tcPr>
                  <w:tcW w:w="5249" w:type="dxa"/>
                </w:tcPr>
                <w:p w:rsidR="00462AB1" w:rsidRDefault="00201646" w:rsidP="00B35A98">
                  <w:pPr>
                    <w:framePr w:hSpace="180" w:wrap="around" w:vAnchor="text" w:hAnchor="text" w:x="-340" w:y="1"/>
                    <w:suppressOverlap/>
                    <w:rPr>
                      <w:bCs/>
                      <w:sz w:val="22"/>
                      <w:szCs w:val="22"/>
                      <w:lang w:val="en-US"/>
                    </w:rPr>
                  </w:pPr>
                  <w:r>
                    <w:rPr>
                      <w:bCs/>
                      <w:sz w:val="22"/>
                      <w:szCs w:val="22"/>
                      <w:lang w:val="mk-MK"/>
                    </w:rPr>
                    <w:t>18 месеци</w:t>
                  </w:r>
                </w:p>
              </w:tc>
            </w:tr>
            <w:tr w:rsidR="000875C7" w:rsidTr="00DE0CF3">
              <w:trPr>
                <w:trHeight w:val="248"/>
              </w:trPr>
              <w:tc>
                <w:tcPr>
                  <w:tcW w:w="1267" w:type="dxa"/>
                </w:tcPr>
                <w:p w:rsidR="00462AB1" w:rsidRDefault="000875C7" w:rsidP="00B35A98">
                  <w:pPr>
                    <w:framePr w:hSpace="180" w:wrap="around" w:vAnchor="text" w:hAnchor="text" w:x="-340" w:y="1"/>
                    <w:suppressOverlap/>
                    <w:rPr>
                      <w:bCs/>
                      <w:sz w:val="22"/>
                      <w:szCs w:val="22"/>
                      <w:lang w:val="mk-MK"/>
                    </w:rPr>
                  </w:pPr>
                  <w:r>
                    <w:rPr>
                      <w:bCs/>
                      <w:sz w:val="22"/>
                      <w:szCs w:val="22"/>
                      <w:lang w:val="mk-MK"/>
                    </w:rPr>
                    <w:t>Романија</w:t>
                  </w:r>
                </w:p>
              </w:tc>
              <w:tc>
                <w:tcPr>
                  <w:tcW w:w="5249" w:type="dxa"/>
                </w:tcPr>
                <w:p w:rsidR="00462AB1" w:rsidRDefault="000875C7" w:rsidP="00B35A98">
                  <w:pPr>
                    <w:framePr w:hSpace="180" w:wrap="around" w:vAnchor="text" w:hAnchor="text" w:x="-340" w:y="1"/>
                    <w:suppressOverlap/>
                    <w:rPr>
                      <w:bCs/>
                      <w:sz w:val="22"/>
                      <w:szCs w:val="22"/>
                      <w:lang w:val="mk-MK"/>
                    </w:rPr>
                  </w:pPr>
                  <w:r>
                    <w:rPr>
                      <w:bCs/>
                      <w:sz w:val="22"/>
                      <w:szCs w:val="22"/>
                      <w:lang w:val="mk-MK"/>
                    </w:rPr>
                    <w:t>24 месеци</w:t>
                  </w:r>
                </w:p>
              </w:tc>
            </w:tr>
            <w:tr w:rsidR="00201646" w:rsidTr="00DE0CF3">
              <w:trPr>
                <w:trHeight w:val="248"/>
              </w:trPr>
              <w:tc>
                <w:tcPr>
                  <w:tcW w:w="1267" w:type="dxa"/>
                </w:tcPr>
                <w:p w:rsidR="00462AB1" w:rsidRDefault="00201646" w:rsidP="00B35A98">
                  <w:pPr>
                    <w:framePr w:hSpace="180" w:wrap="around" w:vAnchor="text" w:hAnchor="text" w:x="-340" w:y="1"/>
                    <w:suppressOverlap/>
                    <w:rPr>
                      <w:bCs/>
                      <w:sz w:val="22"/>
                      <w:szCs w:val="22"/>
                      <w:lang w:val="mk-MK"/>
                    </w:rPr>
                  </w:pPr>
                  <w:r>
                    <w:rPr>
                      <w:bCs/>
                      <w:sz w:val="22"/>
                      <w:szCs w:val="22"/>
                      <w:lang w:val="mk-MK"/>
                    </w:rPr>
                    <w:t>Италија</w:t>
                  </w:r>
                </w:p>
              </w:tc>
              <w:tc>
                <w:tcPr>
                  <w:tcW w:w="5249" w:type="dxa"/>
                </w:tcPr>
                <w:p w:rsidR="00462AB1" w:rsidRDefault="00201646" w:rsidP="00B35A98">
                  <w:pPr>
                    <w:framePr w:hSpace="180" w:wrap="around" w:vAnchor="text" w:hAnchor="text" w:x="-340" w:y="1"/>
                    <w:suppressOverlap/>
                    <w:rPr>
                      <w:bCs/>
                      <w:sz w:val="22"/>
                      <w:szCs w:val="22"/>
                      <w:lang w:val="mk-MK"/>
                    </w:rPr>
                  </w:pPr>
                  <w:r>
                    <w:rPr>
                      <w:bCs/>
                      <w:sz w:val="22"/>
                      <w:szCs w:val="22"/>
                      <w:lang w:val="mk-MK"/>
                    </w:rPr>
                    <w:t>36 месеци</w:t>
                  </w:r>
                </w:p>
              </w:tc>
            </w:tr>
            <w:tr w:rsidR="000875C7" w:rsidTr="00DE0CF3">
              <w:trPr>
                <w:trHeight w:val="237"/>
              </w:trPr>
              <w:tc>
                <w:tcPr>
                  <w:tcW w:w="1267" w:type="dxa"/>
                </w:tcPr>
                <w:p w:rsidR="00462AB1" w:rsidRDefault="000875C7" w:rsidP="00B35A98">
                  <w:pPr>
                    <w:framePr w:hSpace="180" w:wrap="around" w:vAnchor="text" w:hAnchor="text" w:x="-340" w:y="1"/>
                    <w:suppressOverlap/>
                    <w:rPr>
                      <w:bCs/>
                      <w:sz w:val="22"/>
                      <w:szCs w:val="22"/>
                      <w:lang w:val="mk-MK"/>
                    </w:rPr>
                  </w:pPr>
                  <w:r>
                    <w:rPr>
                      <w:bCs/>
                      <w:sz w:val="22"/>
                      <w:szCs w:val="22"/>
                      <w:lang w:val="mk-MK"/>
                    </w:rPr>
                    <w:t>Норвешка</w:t>
                  </w:r>
                </w:p>
              </w:tc>
              <w:tc>
                <w:tcPr>
                  <w:tcW w:w="5249" w:type="dxa"/>
                </w:tcPr>
                <w:p w:rsidR="00462AB1" w:rsidRDefault="000875C7" w:rsidP="00B35A98">
                  <w:pPr>
                    <w:framePr w:hSpace="180" w:wrap="around" w:vAnchor="text" w:hAnchor="text" w:x="-340" w:y="1"/>
                    <w:suppressOverlap/>
                    <w:rPr>
                      <w:bCs/>
                      <w:sz w:val="22"/>
                      <w:szCs w:val="22"/>
                      <w:lang w:val="mk-MK"/>
                    </w:rPr>
                  </w:pPr>
                  <w:r>
                    <w:rPr>
                      <w:bCs/>
                      <w:sz w:val="22"/>
                      <w:szCs w:val="22"/>
                      <w:lang w:val="mk-MK"/>
                    </w:rPr>
                    <w:t>36 месеци</w:t>
                  </w:r>
                </w:p>
              </w:tc>
            </w:tr>
            <w:tr w:rsidR="00201646" w:rsidTr="00DE0CF3">
              <w:trPr>
                <w:trHeight w:val="260"/>
              </w:trPr>
              <w:tc>
                <w:tcPr>
                  <w:tcW w:w="1267" w:type="dxa"/>
                </w:tcPr>
                <w:p w:rsidR="00462AB1" w:rsidRDefault="00201646" w:rsidP="00B35A98">
                  <w:pPr>
                    <w:framePr w:hSpace="180" w:wrap="around" w:vAnchor="text" w:hAnchor="text" w:x="-340" w:y="1"/>
                    <w:suppressOverlap/>
                    <w:rPr>
                      <w:bCs/>
                      <w:sz w:val="22"/>
                      <w:szCs w:val="22"/>
                      <w:lang w:val="mk-MK"/>
                    </w:rPr>
                  </w:pPr>
                  <w:r>
                    <w:rPr>
                      <w:bCs/>
                      <w:sz w:val="22"/>
                      <w:szCs w:val="22"/>
                      <w:lang w:val="mk-MK"/>
                    </w:rPr>
                    <w:lastRenderedPageBreak/>
                    <w:t>Словенија</w:t>
                  </w:r>
                </w:p>
              </w:tc>
              <w:tc>
                <w:tcPr>
                  <w:tcW w:w="5249" w:type="dxa"/>
                </w:tcPr>
                <w:p w:rsidR="00462AB1" w:rsidRDefault="00201646" w:rsidP="00B35A98">
                  <w:pPr>
                    <w:framePr w:hSpace="180" w:wrap="around" w:vAnchor="text" w:hAnchor="text" w:x="-340" w:y="1"/>
                    <w:suppressOverlap/>
                    <w:rPr>
                      <w:bCs/>
                      <w:sz w:val="22"/>
                      <w:szCs w:val="22"/>
                      <w:lang w:val="mk-MK"/>
                    </w:rPr>
                  </w:pPr>
                  <w:r>
                    <w:rPr>
                      <w:bCs/>
                      <w:sz w:val="22"/>
                      <w:szCs w:val="22"/>
                      <w:lang w:val="mk-MK"/>
                    </w:rPr>
                    <w:t>р</w:t>
                  </w:r>
                  <w:r w:rsidR="007B53B9" w:rsidRPr="007B53B9">
                    <w:rPr>
                      <w:bCs/>
                      <w:sz w:val="22"/>
                      <w:szCs w:val="22"/>
                    </w:rPr>
                    <w:t>азумен рок</w:t>
                  </w:r>
                </w:p>
              </w:tc>
            </w:tr>
          </w:tbl>
          <w:p w:rsidR="00405F4C" w:rsidRDefault="00405F4C">
            <w:pPr>
              <w:rPr>
                <w:bCs/>
                <w:sz w:val="22"/>
                <w:szCs w:val="22"/>
                <w:lang w:val="mk-MK"/>
              </w:rPr>
            </w:pPr>
          </w:p>
          <w:p w:rsidR="00405F4C" w:rsidRDefault="00201646">
            <w:pPr>
              <w:rPr>
                <w:bCs/>
                <w:sz w:val="22"/>
                <w:szCs w:val="22"/>
                <w:lang w:val="mk-MK"/>
              </w:rPr>
            </w:pPr>
            <w:r>
              <w:rPr>
                <w:bCs/>
                <w:sz w:val="22"/>
                <w:szCs w:val="22"/>
                <w:lang w:val="mk-MK"/>
              </w:rPr>
              <w:t xml:space="preserve">Од табелата можеме да заклучиме дека </w:t>
            </w:r>
            <w:r w:rsidR="009D07F1">
              <w:rPr>
                <w:bCs/>
                <w:sz w:val="22"/>
                <w:szCs w:val="22"/>
                <w:lang w:val="mk-MK"/>
              </w:rPr>
              <w:t xml:space="preserve">има примена на </w:t>
            </w:r>
            <w:r w:rsidR="005C72B6">
              <w:rPr>
                <w:bCs/>
                <w:sz w:val="22"/>
                <w:szCs w:val="22"/>
                <w:lang w:val="mk-MK"/>
              </w:rPr>
              <w:t xml:space="preserve">пократки </w:t>
            </w:r>
            <w:r>
              <w:rPr>
                <w:bCs/>
                <w:sz w:val="22"/>
                <w:szCs w:val="22"/>
                <w:lang w:val="mk-MK"/>
              </w:rPr>
              <w:t xml:space="preserve">рокови за известување при миграција на мрежата во европските земји и истите се </w:t>
            </w:r>
            <w:r w:rsidR="00585D01">
              <w:rPr>
                <w:bCs/>
                <w:sz w:val="22"/>
                <w:szCs w:val="22"/>
                <w:lang w:val="mk-MK"/>
              </w:rPr>
              <w:t xml:space="preserve">значително </w:t>
            </w:r>
            <w:r>
              <w:rPr>
                <w:bCs/>
                <w:sz w:val="22"/>
                <w:szCs w:val="22"/>
                <w:lang w:val="mk-MK"/>
              </w:rPr>
              <w:t>покр</w:t>
            </w:r>
            <w:r w:rsidR="00520863">
              <w:rPr>
                <w:bCs/>
                <w:sz w:val="22"/>
                <w:szCs w:val="22"/>
                <w:lang w:val="mk-MK"/>
              </w:rPr>
              <w:t>а</w:t>
            </w:r>
            <w:r>
              <w:rPr>
                <w:bCs/>
                <w:sz w:val="22"/>
                <w:szCs w:val="22"/>
                <w:lang w:val="mk-MK"/>
              </w:rPr>
              <w:t>тки од 60 месеци.</w:t>
            </w:r>
          </w:p>
          <w:p w:rsidR="00405F4C" w:rsidRDefault="00405F4C">
            <w:pPr>
              <w:rPr>
                <w:bCs/>
                <w:sz w:val="22"/>
                <w:szCs w:val="22"/>
                <w:lang w:val="mk-MK"/>
              </w:rPr>
            </w:pPr>
          </w:p>
          <w:p w:rsidR="003848AA" w:rsidRDefault="0036349C" w:rsidP="003848AA">
            <w:pPr>
              <w:rPr>
                <w:bCs/>
                <w:sz w:val="22"/>
                <w:szCs w:val="22"/>
                <w:lang w:val="mk-MK"/>
              </w:rPr>
            </w:pPr>
            <w:r>
              <w:rPr>
                <w:rFonts w:cs="Arial"/>
                <w:sz w:val="22"/>
                <w:szCs w:val="22"/>
                <w:lang w:val="mk-MK"/>
              </w:rPr>
              <w:t>Нашиот предлог е</w:t>
            </w:r>
            <w:r w:rsidR="00CB0DCB">
              <w:rPr>
                <w:rFonts w:cs="Arial"/>
                <w:sz w:val="22"/>
                <w:szCs w:val="22"/>
                <w:lang w:val="mk-MK"/>
              </w:rPr>
              <w:t xml:space="preserve"> со цел овозможување на развој на напредни генерации на мрежи и услуги и утврдување на процесот  на миграција заради исполнување на целите на </w:t>
            </w:r>
            <w:r w:rsidR="0001541C">
              <w:rPr>
                <w:bCs/>
                <w:sz w:val="22"/>
                <w:szCs w:val="22"/>
                <w:lang w:val="mk-MK"/>
              </w:rPr>
              <w:t>Дигиталната Агенда 2020, бидејќи за нејзино целосно исполнување остануваат само помалку од 4 години, а овој рок за известување е  подолг од овој период од 4 години</w:t>
            </w:r>
            <w:r w:rsidR="00DE0CF3">
              <w:rPr>
                <w:bCs/>
                <w:sz w:val="22"/>
                <w:szCs w:val="22"/>
                <w:lang w:val="mk-MK"/>
              </w:rPr>
              <w:t>,</w:t>
            </w:r>
            <w:r w:rsidR="0001541C">
              <w:rPr>
                <w:bCs/>
                <w:sz w:val="22"/>
                <w:szCs w:val="22"/>
                <w:lang w:val="mk-MK"/>
              </w:rPr>
              <w:t xml:space="preserve"> </w:t>
            </w:r>
            <w:r w:rsidR="00991CF3">
              <w:rPr>
                <w:bCs/>
                <w:sz w:val="22"/>
                <w:szCs w:val="22"/>
                <w:lang w:val="mk-MK"/>
              </w:rPr>
              <w:t xml:space="preserve">поради што </w:t>
            </w:r>
            <w:r w:rsidR="0001541C">
              <w:rPr>
                <w:bCs/>
                <w:sz w:val="22"/>
                <w:szCs w:val="22"/>
                <w:lang w:val="mk-MK"/>
              </w:rPr>
              <w:t>двата рока се во колизија</w:t>
            </w:r>
            <w:r w:rsidR="00991CF3">
              <w:rPr>
                <w:bCs/>
                <w:sz w:val="22"/>
                <w:szCs w:val="22"/>
                <w:lang w:val="mk-MK"/>
              </w:rPr>
              <w:t xml:space="preserve"> и истото ќе предизвика операторите да се најдат во незавидна позиција заради запазување на едниот рок да бидат приморани да го прекршат другиот рок.</w:t>
            </w:r>
          </w:p>
          <w:p w:rsidR="00CE5BFE" w:rsidRDefault="00CE5BFE" w:rsidP="003848AA">
            <w:pPr>
              <w:rPr>
                <w:bCs/>
                <w:sz w:val="22"/>
                <w:szCs w:val="22"/>
                <w:lang w:val="mk-MK"/>
              </w:rPr>
            </w:pPr>
          </w:p>
          <w:p w:rsidR="00CE5BFE" w:rsidRPr="00B35A98" w:rsidRDefault="00CE5BFE" w:rsidP="00FE5D45">
            <w:pPr>
              <w:jc w:val="both"/>
              <w:rPr>
                <w:bCs/>
                <w:i/>
                <w:color w:val="FF0000"/>
                <w:sz w:val="22"/>
                <w:szCs w:val="22"/>
                <w:lang w:val="mk-MK"/>
              </w:rPr>
            </w:pPr>
            <w:r>
              <w:rPr>
                <w:bCs/>
                <w:i/>
                <w:color w:val="FF0000"/>
                <w:sz w:val="22"/>
                <w:szCs w:val="22"/>
                <w:lang w:val="mk-MK"/>
              </w:rPr>
              <w:t>Одговор 8:</w:t>
            </w:r>
            <w:r w:rsidR="00B35A98">
              <w:rPr>
                <w:bCs/>
                <w:i/>
                <w:color w:val="FF0000"/>
                <w:sz w:val="22"/>
                <w:szCs w:val="22"/>
                <w:lang w:val="mk-MK"/>
              </w:rPr>
              <w:t xml:space="preserve"> </w:t>
            </w:r>
            <w:r w:rsidR="00B35A98" w:rsidRPr="00FE5D45">
              <w:rPr>
                <w:bCs/>
                <w:i/>
                <w:color w:val="FF0000"/>
                <w:sz w:val="22"/>
                <w:szCs w:val="22"/>
                <w:lang w:val="mk-MK"/>
              </w:rPr>
              <w:t xml:space="preserve"> </w:t>
            </w:r>
            <w:r w:rsidR="00A40C5B" w:rsidRPr="00FE5D45">
              <w:rPr>
                <w:bCs/>
                <w:i/>
                <w:color w:val="FF0000"/>
                <w:sz w:val="22"/>
                <w:szCs w:val="22"/>
                <w:lang w:val="mk-MK"/>
              </w:rPr>
              <w:t xml:space="preserve">Во </w:t>
            </w:r>
            <w:r w:rsidR="00FE5D45">
              <w:rPr>
                <w:bCs/>
                <w:i/>
                <w:color w:val="FF0000"/>
                <w:sz w:val="22"/>
                <w:szCs w:val="22"/>
                <w:lang w:val="mk-MK"/>
              </w:rPr>
              <w:t>П</w:t>
            </w:r>
            <w:r w:rsidR="00B35A98" w:rsidRPr="00B35A98">
              <w:rPr>
                <w:bCs/>
                <w:i/>
                <w:color w:val="FF0000"/>
                <w:sz w:val="22"/>
                <w:szCs w:val="22"/>
                <w:lang w:val="mk-MK"/>
              </w:rPr>
              <w:t>равилник</w:t>
            </w:r>
            <w:r w:rsidR="00FE5D45">
              <w:rPr>
                <w:bCs/>
                <w:i/>
                <w:color w:val="FF0000"/>
                <w:sz w:val="22"/>
                <w:szCs w:val="22"/>
                <w:lang w:val="mk-MK"/>
              </w:rPr>
              <w:t>от</w:t>
            </w:r>
            <w:r w:rsidR="00B35A98" w:rsidRPr="00B35A98">
              <w:rPr>
                <w:bCs/>
                <w:i/>
                <w:color w:val="FF0000"/>
                <w:sz w:val="22"/>
                <w:szCs w:val="22"/>
                <w:lang w:val="mk-MK"/>
              </w:rPr>
              <w:t xml:space="preserve"> за нивото на деталност на информациите што ќе</w:t>
            </w:r>
            <w:r w:rsidR="00B35A98">
              <w:rPr>
                <w:bCs/>
                <w:i/>
                <w:color w:val="FF0000"/>
                <w:sz w:val="22"/>
                <w:szCs w:val="22"/>
                <w:lang w:val="mk-MK"/>
              </w:rPr>
              <w:t xml:space="preserve"> </w:t>
            </w:r>
            <w:r w:rsidR="00B35A98" w:rsidRPr="00B35A98">
              <w:rPr>
                <w:bCs/>
                <w:i/>
                <w:color w:val="FF0000"/>
                <w:sz w:val="22"/>
                <w:szCs w:val="22"/>
                <w:lang w:val="mk-MK"/>
              </w:rPr>
              <w:t>бидат објавени во референтната понуда за разврзан пристап на</w:t>
            </w:r>
            <w:r w:rsidR="00B35A98">
              <w:rPr>
                <w:bCs/>
                <w:i/>
                <w:color w:val="FF0000"/>
                <w:sz w:val="22"/>
                <w:szCs w:val="22"/>
                <w:lang w:val="mk-MK"/>
              </w:rPr>
              <w:t xml:space="preserve"> </w:t>
            </w:r>
            <w:r w:rsidR="00B35A98" w:rsidRPr="00B35A98">
              <w:rPr>
                <w:bCs/>
                <w:i/>
                <w:color w:val="FF0000"/>
                <w:sz w:val="22"/>
                <w:szCs w:val="22"/>
                <w:lang w:val="mk-MK"/>
              </w:rPr>
              <w:t>локална јамка и начинот на нивното објавување</w:t>
            </w:r>
            <w:r w:rsidR="00A40C5B">
              <w:rPr>
                <w:bCs/>
                <w:i/>
                <w:color w:val="FF0000"/>
                <w:sz w:val="22"/>
                <w:szCs w:val="22"/>
                <w:lang w:val="mk-MK"/>
              </w:rPr>
              <w:t xml:space="preserve">, во член 8 став 4 е наведено </w:t>
            </w:r>
            <w:r w:rsidR="00A40C5B" w:rsidRPr="00FE5D45">
              <w:rPr>
                <w:bCs/>
                <w:i/>
                <w:color w:val="FF0000"/>
                <w:sz w:val="22"/>
                <w:szCs w:val="22"/>
                <w:lang w:val="mk-MK"/>
              </w:rPr>
              <w:t xml:space="preserve"> дека </w:t>
            </w:r>
            <w:r w:rsidR="00A40C5B" w:rsidRPr="00A40C5B">
              <w:rPr>
                <w:bCs/>
                <w:i/>
                <w:color w:val="FF0000"/>
                <w:sz w:val="22"/>
                <w:szCs w:val="22"/>
                <w:lang w:val="mk-MK"/>
              </w:rPr>
              <w:t>Операторот може да исклучи од употреба некој главен разделник и без да ги</w:t>
            </w:r>
            <w:r w:rsidR="00A40C5B">
              <w:rPr>
                <w:bCs/>
                <w:i/>
                <w:color w:val="FF0000"/>
                <w:sz w:val="22"/>
                <w:szCs w:val="22"/>
                <w:lang w:val="mk-MK"/>
              </w:rPr>
              <w:t xml:space="preserve"> </w:t>
            </w:r>
            <w:r w:rsidR="00A40C5B" w:rsidRPr="00A40C5B">
              <w:rPr>
                <w:bCs/>
                <w:i/>
                <w:color w:val="FF0000"/>
                <w:sz w:val="22"/>
                <w:szCs w:val="22"/>
                <w:lang w:val="mk-MK"/>
              </w:rPr>
              <w:t xml:space="preserve">почитува условите </w:t>
            </w:r>
            <w:r w:rsidR="00A40C5B">
              <w:rPr>
                <w:bCs/>
                <w:i/>
                <w:color w:val="FF0000"/>
                <w:sz w:val="22"/>
                <w:szCs w:val="22"/>
                <w:lang w:val="mk-MK"/>
              </w:rPr>
              <w:t>и роковите за 60 месеци од</w:t>
            </w:r>
            <w:r w:rsidR="00FE5D45">
              <w:rPr>
                <w:bCs/>
                <w:i/>
                <w:color w:val="FF0000"/>
                <w:sz w:val="22"/>
                <w:szCs w:val="22"/>
                <w:lang w:val="mk-MK"/>
              </w:rPr>
              <w:t xml:space="preserve"> </w:t>
            </w:r>
            <w:r w:rsidR="00A40C5B">
              <w:rPr>
                <w:bCs/>
                <w:i/>
                <w:color w:val="FF0000"/>
                <w:sz w:val="22"/>
                <w:szCs w:val="22"/>
                <w:lang w:val="mk-MK"/>
              </w:rPr>
              <w:t xml:space="preserve">известувањето </w:t>
            </w:r>
            <w:r w:rsidR="00A40C5B" w:rsidRPr="00A40C5B">
              <w:rPr>
                <w:bCs/>
                <w:i/>
                <w:color w:val="FF0000"/>
                <w:sz w:val="22"/>
                <w:szCs w:val="22"/>
                <w:lang w:val="mk-MK"/>
              </w:rPr>
              <w:t>, при што треба да обезбеди</w:t>
            </w:r>
            <w:r w:rsidR="00A40C5B">
              <w:rPr>
                <w:bCs/>
                <w:i/>
                <w:color w:val="FF0000"/>
                <w:sz w:val="22"/>
                <w:szCs w:val="22"/>
                <w:lang w:val="mk-MK"/>
              </w:rPr>
              <w:t xml:space="preserve"> </w:t>
            </w:r>
            <w:r w:rsidR="00A40C5B" w:rsidRPr="00A40C5B">
              <w:rPr>
                <w:bCs/>
                <w:i/>
                <w:color w:val="FF0000"/>
                <w:sz w:val="22"/>
                <w:szCs w:val="22"/>
                <w:lang w:val="mk-MK"/>
              </w:rPr>
              <w:t>алтернативен големопродажен продукт во соработка со операторот-корисник, кој</w:t>
            </w:r>
            <w:r w:rsidR="00FE5D45">
              <w:rPr>
                <w:bCs/>
                <w:i/>
                <w:color w:val="FF0000"/>
                <w:sz w:val="22"/>
                <w:szCs w:val="22"/>
                <w:lang w:val="mk-MK"/>
              </w:rPr>
              <w:t xml:space="preserve"> </w:t>
            </w:r>
            <w:r w:rsidR="00A40C5B" w:rsidRPr="00A40C5B">
              <w:rPr>
                <w:bCs/>
                <w:i/>
                <w:color w:val="FF0000"/>
                <w:sz w:val="22"/>
                <w:szCs w:val="22"/>
                <w:lang w:val="mk-MK"/>
              </w:rPr>
              <w:t>операторот-корисник ќе го корист</w:t>
            </w:r>
            <w:r w:rsidR="00FE5D45">
              <w:rPr>
                <w:bCs/>
                <w:i/>
                <w:color w:val="FF0000"/>
                <w:sz w:val="22"/>
                <w:szCs w:val="22"/>
                <w:lang w:val="mk-MK"/>
              </w:rPr>
              <w:t>и до истекот на рокот</w:t>
            </w:r>
            <w:r w:rsidR="00A40C5B" w:rsidRPr="00A40C5B">
              <w:rPr>
                <w:bCs/>
                <w:i/>
                <w:color w:val="FF0000"/>
                <w:sz w:val="22"/>
                <w:szCs w:val="22"/>
                <w:lang w:val="mk-MK"/>
              </w:rPr>
              <w:t>.</w:t>
            </w:r>
            <w:r w:rsidR="00FE5D45">
              <w:rPr>
                <w:bCs/>
                <w:i/>
                <w:color w:val="FF0000"/>
                <w:sz w:val="22"/>
                <w:szCs w:val="22"/>
                <w:lang w:val="mk-MK"/>
              </w:rPr>
              <w:t xml:space="preserve"> Доколку операторот не успее да постигне согласност со операторот-корисник за алтернативниот големопродажен продукт, Агенцијата ќе ја продолжи дискусијата со двете страни и заклучоците ќе ги имплементира како измени на горенаведениот правилник.</w:t>
            </w:r>
            <w:bookmarkStart w:id="3" w:name="_GoBack"/>
            <w:bookmarkEnd w:id="3"/>
          </w:p>
          <w:p w:rsidR="003848AA" w:rsidRPr="003848AA" w:rsidRDefault="003848AA" w:rsidP="003848AA">
            <w:pPr>
              <w:ind w:left="720"/>
              <w:rPr>
                <w:b/>
                <w:sz w:val="22"/>
                <w:szCs w:val="22"/>
                <w:u w:val="single"/>
                <w:lang w:val="mk-MK"/>
              </w:rPr>
            </w:pPr>
          </w:p>
          <w:p w:rsidR="00405F4C" w:rsidRDefault="001C6625" w:rsidP="000F299C">
            <w:pPr>
              <w:numPr>
                <w:ilvl w:val="0"/>
                <w:numId w:val="11"/>
              </w:numPr>
              <w:rPr>
                <w:b/>
                <w:sz w:val="22"/>
                <w:szCs w:val="22"/>
                <w:u w:val="single"/>
                <w:lang w:val="mk-MK"/>
              </w:rPr>
            </w:pPr>
            <w:r w:rsidRPr="001C6625">
              <w:rPr>
                <w:b/>
                <w:sz w:val="22"/>
                <w:szCs w:val="22"/>
                <w:u w:val="single"/>
                <w:lang w:val="mk-MK"/>
              </w:rPr>
              <w:t>Заклучок</w:t>
            </w:r>
          </w:p>
          <w:p w:rsidR="00405F4C" w:rsidRDefault="00405F4C">
            <w:pPr>
              <w:ind w:left="720"/>
              <w:rPr>
                <w:b/>
                <w:sz w:val="22"/>
                <w:szCs w:val="22"/>
                <w:lang w:val="mk-MK"/>
              </w:rPr>
            </w:pPr>
          </w:p>
          <w:p w:rsidR="00405F4C" w:rsidRDefault="001C6625">
            <w:pPr>
              <w:autoSpaceDE w:val="0"/>
              <w:autoSpaceDN w:val="0"/>
              <w:adjustRightInd w:val="0"/>
              <w:rPr>
                <w:sz w:val="22"/>
                <w:szCs w:val="22"/>
                <w:lang w:val="mk-MK"/>
              </w:rPr>
            </w:pPr>
            <w:r w:rsidRPr="001C6625">
              <w:rPr>
                <w:sz w:val="22"/>
                <w:szCs w:val="22"/>
                <w:lang w:val="mk-MK"/>
              </w:rPr>
              <w:t xml:space="preserve">Очекуваме дека АЕК ќе ги земе предвид предложените насоки на </w:t>
            </w:r>
            <w:r w:rsidR="00E86B9E">
              <w:rPr>
                <w:sz w:val="22"/>
                <w:szCs w:val="22"/>
                <w:lang w:val="mk-MK"/>
              </w:rPr>
              <w:t>МКТ</w:t>
            </w:r>
            <w:r w:rsidRPr="001C6625">
              <w:rPr>
                <w:sz w:val="22"/>
                <w:szCs w:val="22"/>
                <w:lang w:val="mk-MK"/>
              </w:rPr>
              <w:t xml:space="preserve"> и инвестициите во напредни генерации на мрежи од страна на сите оператори ќе ги постави како главен регулативен приоритет. Имајќи  ги  предвид  регулаторните начела согласно член 7 од Законот за електронските комуникации, очекуваме АЕК со оваа анализа да обезбеди регулаторна предвидливост и доследен регулаторен пристап согласно состојбата и развојот на конкуренцијата на пазарот </w:t>
            </w:r>
            <w:r w:rsidR="00212178" w:rsidRPr="00212178">
              <w:rPr>
                <w:sz w:val="22"/>
                <w:szCs w:val="22"/>
                <w:lang w:val="mk-MK"/>
              </w:rPr>
              <w:t>за големопродажен локален пристап обезбеден на фиксна локација</w:t>
            </w:r>
            <w:r w:rsidR="00212178">
              <w:rPr>
                <w:sz w:val="22"/>
                <w:szCs w:val="22"/>
                <w:lang w:val="mk-MK"/>
              </w:rPr>
              <w:t xml:space="preserve"> и </w:t>
            </w:r>
            <w:r w:rsidR="00212178" w:rsidRPr="00212178">
              <w:rPr>
                <w:sz w:val="22"/>
                <w:szCs w:val="22"/>
                <w:lang w:val="mk-MK"/>
              </w:rPr>
              <w:t>пазар</w:t>
            </w:r>
            <w:r w:rsidR="00212178">
              <w:rPr>
                <w:sz w:val="22"/>
                <w:szCs w:val="22"/>
                <w:lang w:val="mk-MK"/>
              </w:rPr>
              <w:t>от</w:t>
            </w:r>
            <w:r w:rsidR="00212178" w:rsidRPr="00212178">
              <w:rPr>
                <w:sz w:val="22"/>
                <w:szCs w:val="22"/>
                <w:lang w:val="mk-MK"/>
              </w:rPr>
              <w:t xml:space="preserve"> за големопродажен централен пристап обезбеден на фиксна локација за производи за широка потрошувачка</w:t>
            </w:r>
            <w:r w:rsidR="00212178">
              <w:rPr>
                <w:sz w:val="22"/>
                <w:szCs w:val="22"/>
                <w:lang w:val="mk-MK"/>
              </w:rPr>
              <w:t>,</w:t>
            </w:r>
            <w:r w:rsidR="00212178" w:rsidRPr="001C6625">
              <w:rPr>
                <w:sz w:val="22"/>
                <w:szCs w:val="22"/>
                <w:lang w:val="mk-MK"/>
              </w:rPr>
              <w:t xml:space="preserve"> </w:t>
            </w:r>
            <w:r w:rsidRPr="001C6625">
              <w:rPr>
                <w:sz w:val="22"/>
                <w:szCs w:val="22"/>
                <w:lang w:val="mk-MK"/>
              </w:rPr>
              <w:t>без дискриминација во третманот на операторите и со главна цел за промовирање на конкуренција заснована на инфраструктура.</w:t>
            </w:r>
          </w:p>
          <w:p w:rsidR="00405F4C" w:rsidRDefault="00405F4C">
            <w:pPr>
              <w:autoSpaceDE w:val="0"/>
              <w:autoSpaceDN w:val="0"/>
              <w:adjustRightInd w:val="0"/>
              <w:rPr>
                <w:sz w:val="22"/>
                <w:szCs w:val="22"/>
                <w:lang w:val="mk-MK"/>
              </w:rPr>
            </w:pPr>
          </w:p>
          <w:p w:rsidR="00405F4C" w:rsidRPr="00DE0CF3" w:rsidRDefault="00212178" w:rsidP="00DE0CF3">
            <w:pPr>
              <w:autoSpaceDE w:val="0"/>
              <w:autoSpaceDN w:val="0"/>
              <w:adjustRightInd w:val="0"/>
              <w:rPr>
                <w:b/>
                <w:sz w:val="22"/>
                <w:szCs w:val="22"/>
                <w:lang w:val="mk-MK"/>
              </w:rPr>
            </w:pPr>
            <w:r>
              <w:rPr>
                <w:sz w:val="22"/>
                <w:szCs w:val="22"/>
                <w:lang w:val="mk-MK"/>
              </w:rPr>
              <w:t xml:space="preserve">За да се обезбеди ист третман на сите оператори со значителна пазарна моќ на гореспоменатите два пазари, се надеваме дека АЕК ќе ја </w:t>
            </w:r>
            <w:r w:rsidR="000C18AA">
              <w:rPr>
                <w:sz w:val="22"/>
                <w:szCs w:val="22"/>
                <w:lang w:val="mk-MK"/>
              </w:rPr>
              <w:t>промени и допрецизира</w:t>
            </w:r>
            <w:r>
              <w:rPr>
                <w:sz w:val="22"/>
                <w:szCs w:val="22"/>
                <w:lang w:val="mk-MK"/>
              </w:rPr>
              <w:t xml:space="preserve"> Одлуката за </w:t>
            </w:r>
            <w:r w:rsidR="000C18AA">
              <w:rPr>
                <w:sz w:val="22"/>
                <w:szCs w:val="22"/>
                <w:lang w:val="mk-MK"/>
              </w:rPr>
              <w:t>определување на оператор</w:t>
            </w:r>
            <w:r>
              <w:rPr>
                <w:sz w:val="22"/>
                <w:szCs w:val="22"/>
                <w:lang w:val="mk-MK"/>
              </w:rPr>
              <w:t xml:space="preserve"> со значителна пазарна моќ ОНЕ.ВИП на </w:t>
            </w:r>
            <w:r w:rsidR="000C18AA">
              <w:rPr>
                <w:sz w:val="22"/>
                <w:szCs w:val="22"/>
                <w:lang w:val="mk-MK"/>
              </w:rPr>
              <w:t xml:space="preserve">релевантиот </w:t>
            </w:r>
            <w:r>
              <w:rPr>
                <w:sz w:val="22"/>
                <w:szCs w:val="22"/>
                <w:lang w:val="mk-MK"/>
              </w:rPr>
              <w:t xml:space="preserve">пазар </w:t>
            </w:r>
            <w:r w:rsidRPr="00212178">
              <w:rPr>
                <w:sz w:val="22"/>
                <w:szCs w:val="22"/>
                <w:lang w:val="mk-MK"/>
              </w:rPr>
              <w:t>за големопродажен централен пристап обезбеден на фиксна локација за производи за широка потрошувачка</w:t>
            </w:r>
            <w:r w:rsidR="000C18AA">
              <w:rPr>
                <w:sz w:val="22"/>
                <w:szCs w:val="22"/>
                <w:lang w:val="mk-MK"/>
              </w:rPr>
              <w:t xml:space="preserve"> во насока Одлуката да се однесува на сите видови на технологии кои ги користи во моментот ОНЕ.ВИП, односно за </w:t>
            </w:r>
            <w:r w:rsidR="000C18AA">
              <w:rPr>
                <w:sz w:val="22"/>
                <w:szCs w:val="22"/>
                <w:lang w:val="en-US"/>
              </w:rPr>
              <w:t xml:space="preserve">HFC DOCSIS </w:t>
            </w:r>
            <w:r w:rsidR="000C18AA">
              <w:rPr>
                <w:sz w:val="22"/>
                <w:szCs w:val="22"/>
                <w:lang w:val="mk-MK"/>
              </w:rPr>
              <w:t>1.</w:t>
            </w:r>
            <w:r w:rsidR="000C18AA">
              <w:rPr>
                <w:sz w:val="22"/>
                <w:szCs w:val="22"/>
                <w:lang w:val="en-US"/>
              </w:rPr>
              <w:t>x, 2</w:t>
            </w:r>
            <w:r w:rsidR="000C18AA">
              <w:rPr>
                <w:sz w:val="22"/>
                <w:szCs w:val="22"/>
                <w:lang w:val="mk-MK"/>
              </w:rPr>
              <w:t xml:space="preserve">.0, </w:t>
            </w:r>
            <w:r w:rsidR="000C18AA">
              <w:rPr>
                <w:sz w:val="22"/>
                <w:szCs w:val="22"/>
                <w:lang w:val="en-US"/>
              </w:rPr>
              <w:t>HFC DOCSIS 3.0</w:t>
            </w:r>
            <w:r w:rsidR="000C18AA">
              <w:rPr>
                <w:sz w:val="22"/>
                <w:szCs w:val="22"/>
                <w:lang w:val="mk-MK"/>
              </w:rPr>
              <w:t xml:space="preserve"> како и за </w:t>
            </w:r>
            <w:r w:rsidR="000C18AA">
              <w:rPr>
                <w:sz w:val="22"/>
                <w:szCs w:val="22"/>
                <w:lang w:val="en-US"/>
              </w:rPr>
              <w:t xml:space="preserve">LAN </w:t>
            </w:r>
            <w:r w:rsidR="000C18AA">
              <w:rPr>
                <w:sz w:val="22"/>
                <w:szCs w:val="22"/>
                <w:lang w:val="mk-MK"/>
              </w:rPr>
              <w:t>мрежа.</w:t>
            </w:r>
          </w:p>
        </w:tc>
      </w:tr>
      <w:tr w:rsidR="004C7BE8" w:rsidRPr="00691157" w:rsidTr="00AB45B0">
        <w:trPr>
          <w:gridAfter w:val="1"/>
          <w:wAfter w:w="153" w:type="dxa"/>
        </w:trPr>
        <w:tc>
          <w:tcPr>
            <w:tcW w:w="481" w:type="dxa"/>
            <w:vAlign w:val="bottom"/>
          </w:tcPr>
          <w:p w:rsidR="00405F4C" w:rsidRDefault="00405F4C">
            <w:pPr>
              <w:rPr>
                <w:szCs w:val="20"/>
                <w:lang w:val="mk-MK"/>
              </w:rPr>
            </w:pPr>
          </w:p>
        </w:tc>
        <w:tc>
          <w:tcPr>
            <w:tcW w:w="710" w:type="dxa"/>
          </w:tcPr>
          <w:p w:rsidR="00405F4C" w:rsidRDefault="00405F4C"/>
        </w:tc>
        <w:tc>
          <w:tcPr>
            <w:tcW w:w="3461" w:type="dxa"/>
            <w:gridSpan w:val="4"/>
          </w:tcPr>
          <w:p w:rsidR="00405F4C" w:rsidRDefault="00405F4C">
            <w:pPr>
              <w:rPr>
                <w:color w:val="5A5A5A"/>
                <w:sz w:val="24"/>
                <w:lang w:val="mk-MK"/>
              </w:rPr>
            </w:pPr>
          </w:p>
        </w:tc>
        <w:tc>
          <w:tcPr>
            <w:tcW w:w="1987" w:type="dxa"/>
            <w:gridSpan w:val="3"/>
          </w:tcPr>
          <w:p w:rsidR="00405F4C" w:rsidRDefault="00405F4C">
            <w:pPr>
              <w:rPr>
                <w:sz w:val="24"/>
              </w:rPr>
            </w:pPr>
          </w:p>
        </w:tc>
        <w:tc>
          <w:tcPr>
            <w:tcW w:w="1723" w:type="dxa"/>
            <w:gridSpan w:val="3"/>
          </w:tcPr>
          <w:p w:rsidR="00405F4C" w:rsidRDefault="00405F4C">
            <w:pPr>
              <w:rPr>
                <w:sz w:val="24"/>
              </w:rPr>
            </w:pPr>
          </w:p>
        </w:tc>
        <w:tc>
          <w:tcPr>
            <w:tcW w:w="1854" w:type="dxa"/>
          </w:tcPr>
          <w:p w:rsidR="00405F4C" w:rsidRDefault="00405F4C">
            <w:pPr>
              <w:rPr>
                <w:sz w:val="24"/>
              </w:rPr>
            </w:pPr>
          </w:p>
        </w:tc>
        <w:tc>
          <w:tcPr>
            <w:tcW w:w="534" w:type="dxa"/>
          </w:tcPr>
          <w:p w:rsidR="00405F4C" w:rsidRDefault="00405F4C">
            <w:pPr>
              <w:rPr>
                <w:sz w:val="24"/>
              </w:rPr>
            </w:pPr>
          </w:p>
        </w:tc>
      </w:tr>
    </w:tbl>
    <w:p w:rsidR="004C7BE8" w:rsidRPr="00CB5123" w:rsidRDefault="004C7BE8" w:rsidP="00DB1020">
      <w:pPr>
        <w:tabs>
          <w:tab w:val="left" w:pos="1620"/>
        </w:tabs>
        <w:spacing w:line="178" w:lineRule="exact"/>
        <w:jc w:val="both"/>
        <w:rPr>
          <w:lang w:val="mk-MK"/>
        </w:rPr>
      </w:pPr>
    </w:p>
    <w:sectPr w:rsidR="004C7BE8" w:rsidRPr="00CB5123" w:rsidSect="00762088">
      <w:headerReference w:type="default" r:id="rId19"/>
      <w:footerReference w:type="even" r:id="rId20"/>
      <w:footerReference w:type="default" r:id="rId21"/>
      <w:footerReference w:type="first" r:id="rId22"/>
      <w:pgSz w:w="11906" w:h="16838" w:code="9"/>
      <w:pgMar w:top="567" w:right="567" w:bottom="397" w:left="567"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66" w:rsidRDefault="000E6766">
      <w:r>
        <w:separator/>
      </w:r>
    </w:p>
  </w:endnote>
  <w:endnote w:type="continuationSeparator" w:id="0">
    <w:p w:rsidR="000E6766" w:rsidRDefault="000E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ele-GroteskNor">
    <w:altName w:val="Times New Roman"/>
    <w:charset w:val="CC"/>
    <w:family w:val="auto"/>
    <w:pitch w:val="variable"/>
    <w:sig w:usb0="00000001" w:usb1="1000204B" w:usb2="00000000" w:usb3="00000000" w:csb0="00000097"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ele-GroteskHal">
    <w:altName w:val="Times New Roman"/>
    <w:charset w:val="CC"/>
    <w:family w:val="auto"/>
    <w:pitch w:val="variable"/>
    <w:sig w:usb0="00000001" w:usb1="1000204B" w:usb2="00000000" w:usb3="00000000" w:csb0="00000097" w:csb1="00000000"/>
  </w:font>
  <w:font w:name="Tele-GroteskUlt">
    <w:altName w:val="Times New Roman"/>
    <w:charset w:val="CC"/>
    <w:family w:val="auto"/>
    <w:pitch w:val="variable"/>
    <w:sig w:usb0="00000001" w:usb1="1000204B" w:usb2="00000000" w:usb3="00000000" w:csb0="00000097"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B1" w:rsidRDefault="00B94AD2" w:rsidP="00D06356">
    <w:pPr>
      <w:pStyle w:val="Footer"/>
      <w:framePr w:wrap="around" w:vAnchor="text" w:hAnchor="margin" w:xAlign="right" w:y="1"/>
      <w:rPr>
        <w:rStyle w:val="PageNumber"/>
      </w:rPr>
    </w:pPr>
    <w:r>
      <w:rPr>
        <w:rStyle w:val="PageNumber"/>
      </w:rPr>
      <w:fldChar w:fldCharType="begin"/>
    </w:r>
    <w:r w:rsidR="00462AB1">
      <w:rPr>
        <w:rStyle w:val="PageNumber"/>
      </w:rPr>
      <w:instrText xml:space="preserve">PAGE  </w:instrText>
    </w:r>
    <w:r>
      <w:rPr>
        <w:rStyle w:val="PageNumber"/>
      </w:rPr>
      <w:fldChar w:fldCharType="end"/>
    </w:r>
  </w:p>
  <w:p w:rsidR="00462AB1" w:rsidRDefault="00462AB1" w:rsidP="004873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689016"/>
      <w:docPartObj>
        <w:docPartGallery w:val="Page Numbers (Bottom of Page)"/>
        <w:docPartUnique/>
      </w:docPartObj>
    </w:sdtPr>
    <w:sdtEndPr/>
    <w:sdtContent>
      <w:p w:rsidR="00462AB1" w:rsidRDefault="00A83DF0">
        <w:pPr>
          <w:pStyle w:val="Footer"/>
          <w:jc w:val="right"/>
        </w:pPr>
        <w:r>
          <w:fldChar w:fldCharType="begin"/>
        </w:r>
        <w:r>
          <w:instrText xml:space="preserve"> PAGE   \* MERGEFORMAT </w:instrText>
        </w:r>
        <w:r>
          <w:fldChar w:fldCharType="separate"/>
        </w:r>
        <w:r w:rsidR="00FE5D45">
          <w:rPr>
            <w:noProof/>
          </w:rPr>
          <w:t>8</w:t>
        </w:r>
        <w:r>
          <w:rPr>
            <w:noProof/>
          </w:rPr>
          <w:fldChar w:fldCharType="end"/>
        </w:r>
      </w:p>
    </w:sdtContent>
  </w:sdt>
  <w:p w:rsidR="00462AB1" w:rsidRDefault="00462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B1" w:rsidRPr="00487344" w:rsidRDefault="00462AB1" w:rsidP="00691157">
    <w:pPr>
      <w:pStyle w:val="Footer"/>
      <w:framePr w:wrap="around" w:vAnchor="text" w:hAnchor="page" w:x="11188" w:y="83"/>
      <w:rPr>
        <w:rStyle w:val="PageNumber"/>
        <w:rFonts w:ascii="Arial" w:hAnsi="Arial" w:cs="Arial"/>
        <w:sz w:val="14"/>
        <w:szCs w:val="14"/>
      </w:rPr>
    </w:pPr>
    <w:r>
      <w:rPr>
        <w:rFonts w:cs="Arial"/>
        <w:sz w:val="14"/>
        <w:szCs w:val="14"/>
        <w:lang w:val="en-US"/>
      </w:rPr>
      <w:tab/>
    </w:r>
  </w:p>
  <w:p w:rsidR="00462AB1" w:rsidRPr="00EC2E1E" w:rsidRDefault="00462AB1" w:rsidP="00060832">
    <w:pPr>
      <w:pStyle w:val="Footer"/>
      <w:tabs>
        <w:tab w:val="center" w:pos="1260"/>
      </w:tabs>
      <w:spacing w:line="180" w:lineRule="exact"/>
      <w:ind w:left="-539" w:right="357"/>
      <w:rPr>
        <w:rFonts w:ascii="Tele-GroteskHal" w:hAnsi="Tele-GroteskHal"/>
        <w:sz w:val="17"/>
        <w:szCs w:val="17"/>
        <w:lang w:val="mk-MK"/>
      </w:rPr>
    </w:pPr>
    <w:r>
      <w:rPr>
        <w:lang w:val="mk-MK"/>
      </w:rPr>
      <w:tab/>
    </w:r>
  </w:p>
  <w:p w:rsidR="00462AB1" w:rsidRPr="00EC2E1E" w:rsidRDefault="00462AB1" w:rsidP="001C5B90">
    <w:pPr>
      <w:pStyle w:val="Footer"/>
      <w:tabs>
        <w:tab w:val="center" w:pos="1260"/>
      </w:tabs>
      <w:spacing w:line="180" w:lineRule="exact"/>
      <w:ind w:left="-539" w:right="357"/>
      <w:rPr>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66" w:rsidRDefault="000E6766">
      <w:r>
        <w:separator/>
      </w:r>
    </w:p>
  </w:footnote>
  <w:footnote w:type="continuationSeparator" w:id="0">
    <w:p w:rsidR="000E6766" w:rsidRDefault="000E6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B1" w:rsidRPr="000A2851" w:rsidRDefault="00462AB1">
    <w:pPr>
      <w:pStyle w:val="Header"/>
      <w:rPr>
        <w:sz w:val="14"/>
        <w:szCs w:val="14"/>
        <w:lang w:val="mk-MK"/>
      </w:rPr>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045"/>
    <w:multiLevelType w:val="multilevel"/>
    <w:tmpl w:val="AF304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7C61C2"/>
    <w:multiLevelType w:val="hybridMultilevel"/>
    <w:tmpl w:val="507E80E4"/>
    <w:lvl w:ilvl="0" w:tplc="042F0001">
      <w:start w:val="1"/>
      <w:numFmt w:val="bullet"/>
      <w:lvlText w:val=""/>
      <w:lvlJc w:val="left"/>
      <w:pPr>
        <w:ind w:left="758" w:hanging="360"/>
      </w:pPr>
      <w:rPr>
        <w:rFonts w:ascii="Symbol" w:hAnsi="Symbol" w:hint="default"/>
      </w:rPr>
    </w:lvl>
    <w:lvl w:ilvl="1" w:tplc="042F0003" w:tentative="1">
      <w:start w:val="1"/>
      <w:numFmt w:val="bullet"/>
      <w:lvlText w:val="o"/>
      <w:lvlJc w:val="left"/>
      <w:pPr>
        <w:ind w:left="1478" w:hanging="360"/>
      </w:pPr>
      <w:rPr>
        <w:rFonts w:ascii="Courier New" w:hAnsi="Courier New" w:cs="Courier New" w:hint="default"/>
      </w:rPr>
    </w:lvl>
    <w:lvl w:ilvl="2" w:tplc="042F0005" w:tentative="1">
      <w:start w:val="1"/>
      <w:numFmt w:val="bullet"/>
      <w:lvlText w:val=""/>
      <w:lvlJc w:val="left"/>
      <w:pPr>
        <w:ind w:left="2198" w:hanging="360"/>
      </w:pPr>
      <w:rPr>
        <w:rFonts w:ascii="Wingdings" w:hAnsi="Wingdings" w:hint="default"/>
      </w:rPr>
    </w:lvl>
    <w:lvl w:ilvl="3" w:tplc="042F0001" w:tentative="1">
      <w:start w:val="1"/>
      <w:numFmt w:val="bullet"/>
      <w:lvlText w:val=""/>
      <w:lvlJc w:val="left"/>
      <w:pPr>
        <w:ind w:left="2918" w:hanging="360"/>
      </w:pPr>
      <w:rPr>
        <w:rFonts w:ascii="Symbol" w:hAnsi="Symbol" w:hint="default"/>
      </w:rPr>
    </w:lvl>
    <w:lvl w:ilvl="4" w:tplc="042F0003" w:tentative="1">
      <w:start w:val="1"/>
      <w:numFmt w:val="bullet"/>
      <w:lvlText w:val="o"/>
      <w:lvlJc w:val="left"/>
      <w:pPr>
        <w:ind w:left="3638" w:hanging="360"/>
      </w:pPr>
      <w:rPr>
        <w:rFonts w:ascii="Courier New" w:hAnsi="Courier New" w:cs="Courier New" w:hint="default"/>
      </w:rPr>
    </w:lvl>
    <w:lvl w:ilvl="5" w:tplc="042F0005" w:tentative="1">
      <w:start w:val="1"/>
      <w:numFmt w:val="bullet"/>
      <w:lvlText w:val=""/>
      <w:lvlJc w:val="left"/>
      <w:pPr>
        <w:ind w:left="4358" w:hanging="360"/>
      </w:pPr>
      <w:rPr>
        <w:rFonts w:ascii="Wingdings" w:hAnsi="Wingdings" w:hint="default"/>
      </w:rPr>
    </w:lvl>
    <w:lvl w:ilvl="6" w:tplc="042F0001" w:tentative="1">
      <w:start w:val="1"/>
      <w:numFmt w:val="bullet"/>
      <w:lvlText w:val=""/>
      <w:lvlJc w:val="left"/>
      <w:pPr>
        <w:ind w:left="5078" w:hanging="360"/>
      </w:pPr>
      <w:rPr>
        <w:rFonts w:ascii="Symbol" w:hAnsi="Symbol" w:hint="default"/>
      </w:rPr>
    </w:lvl>
    <w:lvl w:ilvl="7" w:tplc="042F0003" w:tentative="1">
      <w:start w:val="1"/>
      <w:numFmt w:val="bullet"/>
      <w:lvlText w:val="o"/>
      <w:lvlJc w:val="left"/>
      <w:pPr>
        <w:ind w:left="5798" w:hanging="360"/>
      </w:pPr>
      <w:rPr>
        <w:rFonts w:ascii="Courier New" w:hAnsi="Courier New" w:cs="Courier New" w:hint="default"/>
      </w:rPr>
    </w:lvl>
    <w:lvl w:ilvl="8" w:tplc="042F0005" w:tentative="1">
      <w:start w:val="1"/>
      <w:numFmt w:val="bullet"/>
      <w:lvlText w:val=""/>
      <w:lvlJc w:val="left"/>
      <w:pPr>
        <w:ind w:left="6518" w:hanging="360"/>
      </w:pPr>
      <w:rPr>
        <w:rFonts w:ascii="Wingdings" w:hAnsi="Wingdings" w:hint="default"/>
      </w:rPr>
    </w:lvl>
  </w:abstractNum>
  <w:abstractNum w:abstractNumId="2">
    <w:nsid w:val="0D371B8B"/>
    <w:multiLevelType w:val="multilevel"/>
    <w:tmpl w:val="C58C2FFE"/>
    <w:lvl w:ilvl="0">
      <w:start w:val="82"/>
      <w:numFmt w:val="decimal"/>
      <w:lvlText w:val="%1"/>
      <w:lvlJc w:val="left"/>
      <w:pPr>
        <w:ind w:left="645" w:hanging="645"/>
      </w:pPr>
      <w:rPr>
        <w:rFonts w:hint="default"/>
      </w:rPr>
    </w:lvl>
    <w:lvl w:ilvl="1">
      <w:start w:val="985"/>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23D317B"/>
    <w:multiLevelType w:val="hybridMultilevel"/>
    <w:tmpl w:val="94088EA8"/>
    <w:lvl w:ilvl="0" w:tplc="F9860D10">
      <w:numFmt w:val="bullet"/>
      <w:lvlText w:val="-"/>
      <w:lvlJc w:val="left"/>
      <w:pPr>
        <w:ind w:left="720" w:hanging="360"/>
      </w:pPr>
      <w:rPr>
        <w:rFonts w:ascii="Calibri" w:eastAsia="Calibri" w:hAnsi="Calibri"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4">
    <w:nsid w:val="28FC0C2C"/>
    <w:multiLevelType w:val="multilevel"/>
    <w:tmpl w:val="B2E224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3910D6E"/>
    <w:multiLevelType w:val="hybridMultilevel"/>
    <w:tmpl w:val="238AD166"/>
    <w:lvl w:ilvl="0" w:tplc="042F0001">
      <w:start w:val="1"/>
      <w:numFmt w:val="bullet"/>
      <w:lvlText w:val=""/>
      <w:lvlJc w:val="left"/>
      <w:pPr>
        <w:ind w:left="781" w:hanging="360"/>
      </w:pPr>
      <w:rPr>
        <w:rFonts w:ascii="Symbol" w:hAnsi="Symbol" w:hint="default"/>
      </w:rPr>
    </w:lvl>
    <w:lvl w:ilvl="1" w:tplc="042F0003" w:tentative="1">
      <w:start w:val="1"/>
      <w:numFmt w:val="bullet"/>
      <w:lvlText w:val="o"/>
      <w:lvlJc w:val="left"/>
      <w:pPr>
        <w:ind w:left="1501" w:hanging="360"/>
      </w:pPr>
      <w:rPr>
        <w:rFonts w:ascii="Courier New" w:hAnsi="Courier New" w:cs="Courier New" w:hint="default"/>
      </w:rPr>
    </w:lvl>
    <w:lvl w:ilvl="2" w:tplc="042F0005" w:tentative="1">
      <w:start w:val="1"/>
      <w:numFmt w:val="bullet"/>
      <w:lvlText w:val=""/>
      <w:lvlJc w:val="left"/>
      <w:pPr>
        <w:ind w:left="2221" w:hanging="360"/>
      </w:pPr>
      <w:rPr>
        <w:rFonts w:ascii="Wingdings" w:hAnsi="Wingdings" w:hint="default"/>
      </w:rPr>
    </w:lvl>
    <w:lvl w:ilvl="3" w:tplc="042F0001" w:tentative="1">
      <w:start w:val="1"/>
      <w:numFmt w:val="bullet"/>
      <w:lvlText w:val=""/>
      <w:lvlJc w:val="left"/>
      <w:pPr>
        <w:ind w:left="2941" w:hanging="360"/>
      </w:pPr>
      <w:rPr>
        <w:rFonts w:ascii="Symbol" w:hAnsi="Symbol" w:hint="default"/>
      </w:rPr>
    </w:lvl>
    <w:lvl w:ilvl="4" w:tplc="042F0003" w:tentative="1">
      <w:start w:val="1"/>
      <w:numFmt w:val="bullet"/>
      <w:lvlText w:val="o"/>
      <w:lvlJc w:val="left"/>
      <w:pPr>
        <w:ind w:left="3661" w:hanging="360"/>
      </w:pPr>
      <w:rPr>
        <w:rFonts w:ascii="Courier New" w:hAnsi="Courier New" w:cs="Courier New" w:hint="default"/>
      </w:rPr>
    </w:lvl>
    <w:lvl w:ilvl="5" w:tplc="042F0005" w:tentative="1">
      <w:start w:val="1"/>
      <w:numFmt w:val="bullet"/>
      <w:lvlText w:val=""/>
      <w:lvlJc w:val="left"/>
      <w:pPr>
        <w:ind w:left="4381" w:hanging="360"/>
      </w:pPr>
      <w:rPr>
        <w:rFonts w:ascii="Wingdings" w:hAnsi="Wingdings" w:hint="default"/>
      </w:rPr>
    </w:lvl>
    <w:lvl w:ilvl="6" w:tplc="042F0001" w:tentative="1">
      <w:start w:val="1"/>
      <w:numFmt w:val="bullet"/>
      <w:lvlText w:val=""/>
      <w:lvlJc w:val="left"/>
      <w:pPr>
        <w:ind w:left="5101" w:hanging="360"/>
      </w:pPr>
      <w:rPr>
        <w:rFonts w:ascii="Symbol" w:hAnsi="Symbol" w:hint="default"/>
      </w:rPr>
    </w:lvl>
    <w:lvl w:ilvl="7" w:tplc="042F0003" w:tentative="1">
      <w:start w:val="1"/>
      <w:numFmt w:val="bullet"/>
      <w:lvlText w:val="o"/>
      <w:lvlJc w:val="left"/>
      <w:pPr>
        <w:ind w:left="5821" w:hanging="360"/>
      </w:pPr>
      <w:rPr>
        <w:rFonts w:ascii="Courier New" w:hAnsi="Courier New" w:cs="Courier New" w:hint="default"/>
      </w:rPr>
    </w:lvl>
    <w:lvl w:ilvl="8" w:tplc="042F0005" w:tentative="1">
      <w:start w:val="1"/>
      <w:numFmt w:val="bullet"/>
      <w:lvlText w:val=""/>
      <w:lvlJc w:val="left"/>
      <w:pPr>
        <w:ind w:left="6541" w:hanging="360"/>
      </w:pPr>
      <w:rPr>
        <w:rFonts w:ascii="Wingdings" w:hAnsi="Wingdings" w:hint="default"/>
      </w:rPr>
    </w:lvl>
  </w:abstractNum>
  <w:abstractNum w:abstractNumId="6">
    <w:nsid w:val="34A25D32"/>
    <w:multiLevelType w:val="hybridMultilevel"/>
    <w:tmpl w:val="EA901444"/>
    <w:lvl w:ilvl="0" w:tplc="CD468BB4">
      <w:start w:val="9"/>
      <w:numFmt w:val="bullet"/>
      <w:lvlText w:val="-"/>
      <w:lvlJc w:val="left"/>
      <w:pPr>
        <w:ind w:left="720" w:hanging="360"/>
      </w:pPr>
      <w:rPr>
        <w:rFonts w:ascii="Tele-GroteskNor" w:eastAsia="Times New Roman" w:hAnsi="Tele-GroteskNor" w:cs="Tele-GroteskNo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36A21AAC"/>
    <w:multiLevelType w:val="hybridMultilevel"/>
    <w:tmpl w:val="E3B419C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36F63BB8"/>
    <w:multiLevelType w:val="hybridMultilevel"/>
    <w:tmpl w:val="1944BDF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416A47E5"/>
    <w:multiLevelType w:val="multilevel"/>
    <w:tmpl w:val="53822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0C0F84"/>
    <w:multiLevelType w:val="hybridMultilevel"/>
    <w:tmpl w:val="1944BDF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5BEA76C9"/>
    <w:multiLevelType w:val="hybridMultilevel"/>
    <w:tmpl w:val="6824A99A"/>
    <w:lvl w:ilvl="0" w:tplc="0409000F">
      <w:start w:val="1"/>
      <w:numFmt w:val="decimal"/>
      <w:lvlText w:val="%1."/>
      <w:lvlJc w:val="left"/>
      <w:pPr>
        <w:tabs>
          <w:tab w:val="num" w:pos="720"/>
        </w:tabs>
        <w:ind w:left="720" w:hanging="360"/>
      </w:pPr>
    </w:lvl>
    <w:lvl w:ilvl="1" w:tplc="E3C0DF3E">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940719"/>
    <w:multiLevelType w:val="hybridMultilevel"/>
    <w:tmpl w:val="FFE4544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732B1807"/>
    <w:multiLevelType w:val="hybridMultilevel"/>
    <w:tmpl w:val="FFE4544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0"/>
  </w:num>
  <w:num w:numId="5">
    <w:abstractNumId w:val="10"/>
  </w:num>
  <w:num w:numId="6">
    <w:abstractNumId w:val="8"/>
  </w:num>
  <w:num w:numId="7">
    <w:abstractNumId w:val="6"/>
  </w:num>
  <w:num w:numId="8">
    <w:abstractNumId w:val="2"/>
  </w:num>
  <w:num w:numId="9">
    <w:abstractNumId w:val="5"/>
  </w:num>
  <w:num w:numId="10">
    <w:abstractNumId w:val="7"/>
  </w:num>
  <w:num w:numId="11">
    <w:abstractNumId w:val="12"/>
  </w:num>
  <w:num w:numId="12">
    <w:abstractNumId w:val="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EC"/>
    <w:rsid w:val="000019D1"/>
    <w:rsid w:val="000034E5"/>
    <w:rsid w:val="00004595"/>
    <w:rsid w:val="0001541C"/>
    <w:rsid w:val="000157A4"/>
    <w:rsid w:val="00016B8B"/>
    <w:rsid w:val="0001771A"/>
    <w:rsid w:val="000225DA"/>
    <w:rsid w:val="000243F7"/>
    <w:rsid w:val="00035AC1"/>
    <w:rsid w:val="000402E6"/>
    <w:rsid w:val="00040B5C"/>
    <w:rsid w:val="00041D36"/>
    <w:rsid w:val="000448EB"/>
    <w:rsid w:val="00050A83"/>
    <w:rsid w:val="000514C6"/>
    <w:rsid w:val="00053CD0"/>
    <w:rsid w:val="00053CDA"/>
    <w:rsid w:val="00060832"/>
    <w:rsid w:val="00065F29"/>
    <w:rsid w:val="00067BED"/>
    <w:rsid w:val="000708BB"/>
    <w:rsid w:val="00075440"/>
    <w:rsid w:val="00080628"/>
    <w:rsid w:val="000807BE"/>
    <w:rsid w:val="00086B1E"/>
    <w:rsid w:val="000875C7"/>
    <w:rsid w:val="0009692E"/>
    <w:rsid w:val="000A2851"/>
    <w:rsid w:val="000B0A77"/>
    <w:rsid w:val="000B4325"/>
    <w:rsid w:val="000B444A"/>
    <w:rsid w:val="000B4EA9"/>
    <w:rsid w:val="000C18AA"/>
    <w:rsid w:val="000C2AC3"/>
    <w:rsid w:val="000C60DD"/>
    <w:rsid w:val="000C64F5"/>
    <w:rsid w:val="000C6A01"/>
    <w:rsid w:val="000D0120"/>
    <w:rsid w:val="000D20EF"/>
    <w:rsid w:val="000D2FF8"/>
    <w:rsid w:val="000D5B1A"/>
    <w:rsid w:val="000E5C72"/>
    <w:rsid w:val="000E6766"/>
    <w:rsid w:val="000F299C"/>
    <w:rsid w:val="000F2DD9"/>
    <w:rsid w:val="000F3A2F"/>
    <w:rsid w:val="000F64AE"/>
    <w:rsid w:val="000F6864"/>
    <w:rsid w:val="000F79E4"/>
    <w:rsid w:val="0010207D"/>
    <w:rsid w:val="00105C77"/>
    <w:rsid w:val="00110EAE"/>
    <w:rsid w:val="001132E4"/>
    <w:rsid w:val="00113C65"/>
    <w:rsid w:val="00116446"/>
    <w:rsid w:val="001164A1"/>
    <w:rsid w:val="001215FB"/>
    <w:rsid w:val="00122EFD"/>
    <w:rsid w:val="00123B11"/>
    <w:rsid w:val="001241D4"/>
    <w:rsid w:val="001257E7"/>
    <w:rsid w:val="00130456"/>
    <w:rsid w:val="001353BD"/>
    <w:rsid w:val="00136515"/>
    <w:rsid w:val="00140B35"/>
    <w:rsid w:val="00141723"/>
    <w:rsid w:val="0014635C"/>
    <w:rsid w:val="001623C7"/>
    <w:rsid w:val="00172327"/>
    <w:rsid w:val="00177831"/>
    <w:rsid w:val="00180FF3"/>
    <w:rsid w:val="00190BC6"/>
    <w:rsid w:val="00191AFD"/>
    <w:rsid w:val="001947FF"/>
    <w:rsid w:val="001965BA"/>
    <w:rsid w:val="001A234C"/>
    <w:rsid w:val="001A4515"/>
    <w:rsid w:val="001A79CC"/>
    <w:rsid w:val="001B0210"/>
    <w:rsid w:val="001B2E1C"/>
    <w:rsid w:val="001B473C"/>
    <w:rsid w:val="001B62BA"/>
    <w:rsid w:val="001C3675"/>
    <w:rsid w:val="001C4830"/>
    <w:rsid w:val="001C5B90"/>
    <w:rsid w:val="001C6625"/>
    <w:rsid w:val="001E26E1"/>
    <w:rsid w:val="001E6D1F"/>
    <w:rsid w:val="002011F4"/>
    <w:rsid w:val="00201646"/>
    <w:rsid w:val="002112FC"/>
    <w:rsid w:val="00211556"/>
    <w:rsid w:val="00212178"/>
    <w:rsid w:val="002203B2"/>
    <w:rsid w:val="002223FB"/>
    <w:rsid w:val="00231234"/>
    <w:rsid w:val="00232C66"/>
    <w:rsid w:val="0024106F"/>
    <w:rsid w:val="00241A02"/>
    <w:rsid w:val="00242578"/>
    <w:rsid w:val="00242A56"/>
    <w:rsid w:val="00243427"/>
    <w:rsid w:val="00245A06"/>
    <w:rsid w:val="00261925"/>
    <w:rsid w:val="002630A4"/>
    <w:rsid w:val="00270244"/>
    <w:rsid w:val="002704D5"/>
    <w:rsid w:val="00270F9E"/>
    <w:rsid w:val="0027228F"/>
    <w:rsid w:val="002743BB"/>
    <w:rsid w:val="0027536B"/>
    <w:rsid w:val="00280376"/>
    <w:rsid w:val="0028414E"/>
    <w:rsid w:val="002871F3"/>
    <w:rsid w:val="00295CC2"/>
    <w:rsid w:val="002A2BFC"/>
    <w:rsid w:val="002A7DDA"/>
    <w:rsid w:val="002B2FCC"/>
    <w:rsid w:val="002B6BCF"/>
    <w:rsid w:val="002C1FEF"/>
    <w:rsid w:val="002D0329"/>
    <w:rsid w:val="002D54A2"/>
    <w:rsid w:val="002E4CB0"/>
    <w:rsid w:val="002E4DAB"/>
    <w:rsid w:val="002E5839"/>
    <w:rsid w:val="002F2CB6"/>
    <w:rsid w:val="002F36E2"/>
    <w:rsid w:val="002F380B"/>
    <w:rsid w:val="002F4636"/>
    <w:rsid w:val="002F7160"/>
    <w:rsid w:val="00300CE1"/>
    <w:rsid w:val="0030691C"/>
    <w:rsid w:val="00306B13"/>
    <w:rsid w:val="003076D6"/>
    <w:rsid w:val="00312F83"/>
    <w:rsid w:val="0031394C"/>
    <w:rsid w:val="00316402"/>
    <w:rsid w:val="0031737D"/>
    <w:rsid w:val="003174F5"/>
    <w:rsid w:val="00321C85"/>
    <w:rsid w:val="00330F32"/>
    <w:rsid w:val="00331F6D"/>
    <w:rsid w:val="00336D04"/>
    <w:rsid w:val="00340DCD"/>
    <w:rsid w:val="00342431"/>
    <w:rsid w:val="00346792"/>
    <w:rsid w:val="00352091"/>
    <w:rsid w:val="0035281B"/>
    <w:rsid w:val="00353B58"/>
    <w:rsid w:val="00355810"/>
    <w:rsid w:val="00356587"/>
    <w:rsid w:val="003571EC"/>
    <w:rsid w:val="0036153F"/>
    <w:rsid w:val="0036349C"/>
    <w:rsid w:val="0036445E"/>
    <w:rsid w:val="00373C42"/>
    <w:rsid w:val="003810C0"/>
    <w:rsid w:val="00381266"/>
    <w:rsid w:val="003820EC"/>
    <w:rsid w:val="003848AA"/>
    <w:rsid w:val="00384B3A"/>
    <w:rsid w:val="00390D7B"/>
    <w:rsid w:val="00394DD0"/>
    <w:rsid w:val="003A1252"/>
    <w:rsid w:val="003A466A"/>
    <w:rsid w:val="003A5D2F"/>
    <w:rsid w:val="003B1969"/>
    <w:rsid w:val="003C2455"/>
    <w:rsid w:val="003C3D5E"/>
    <w:rsid w:val="003C3E85"/>
    <w:rsid w:val="003C6F71"/>
    <w:rsid w:val="003D0B13"/>
    <w:rsid w:val="003D24B8"/>
    <w:rsid w:val="003E27D5"/>
    <w:rsid w:val="003E569F"/>
    <w:rsid w:val="003F1B81"/>
    <w:rsid w:val="003F30C3"/>
    <w:rsid w:val="003F4B39"/>
    <w:rsid w:val="00404C95"/>
    <w:rsid w:val="00405F4C"/>
    <w:rsid w:val="00425B53"/>
    <w:rsid w:val="004263D7"/>
    <w:rsid w:val="00427BF1"/>
    <w:rsid w:val="00430AC0"/>
    <w:rsid w:val="00434AE3"/>
    <w:rsid w:val="00437F48"/>
    <w:rsid w:val="0044501D"/>
    <w:rsid w:val="0045337D"/>
    <w:rsid w:val="00454F06"/>
    <w:rsid w:val="004558CC"/>
    <w:rsid w:val="00462AB1"/>
    <w:rsid w:val="00467E55"/>
    <w:rsid w:val="00470130"/>
    <w:rsid w:val="00473020"/>
    <w:rsid w:val="00476CD3"/>
    <w:rsid w:val="0048031B"/>
    <w:rsid w:val="00485224"/>
    <w:rsid w:val="00486CD9"/>
    <w:rsid w:val="00487065"/>
    <w:rsid w:val="00487344"/>
    <w:rsid w:val="00490205"/>
    <w:rsid w:val="00491EB3"/>
    <w:rsid w:val="00494635"/>
    <w:rsid w:val="004972AC"/>
    <w:rsid w:val="004A128A"/>
    <w:rsid w:val="004A757E"/>
    <w:rsid w:val="004B3253"/>
    <w:rsid w:val="004B3F7C"/>
    <w:rsid w:val="004B6308"/>
    <w:rsid w:val="004C1FC4"/>
    <w:rsid w:val="004C4048"/>
    <w:rsid w:val="004C5DDD"/>
    <w:rsid w:val="004C6CC3"/>
    <w:rsid w:val="004C6E6E"/>
    <w:rsid w:val="004C7BE8"/>
    <w:rsid w:val="004D02B9"/>
    <w:rsid w:val="004D13A8"/>
    <w:rsid w:val="004D50DC"/>
    <w:rsid w:val="004E05E6"/>
    <w:rsid w:val="004E34AF"/>
    <w:rsid w:val="004F3CA2"/>
    <w:rsid w:val="004F61AC"/>
    <w:rsid w:val="005003CE"/>
    <w:rsid w:val="00501E1A"/>
    <w:rsid w:val="005027BB"/>
    <w:rsid w:val="0050300E"/>
    <w:rsid w:val="00505FC0"/>
    <w:rsid w:val="005067D3"/>
    <w:rsid w:val="005139A0"/>
    <w:rsid w:val="00520863"/>
    <w:rsid w:val="00520A5E"/>
    <w:rsid w:val="005217F7"/>
    <w:rsid w:val="0052201E"/>
    <w:rsid w:val="005227E0"/>
    <w:rsid w:val="00523C8A"/>
    <w:rsid w:val="0052474B"/>
    <w:rsid w:val="005255D8"/>
    <w:rsid w:val="00527DC1"/>
    <w:rsid w:val="00533D3F"/>
    <w:rsid w:val="00540BF1"/>
    <w:rsid w:val="00547FFB"/>
    <w:rsid w:val="00550225"/>
    <w:rsid w:val="00551071"/>
    <w:rsid w:val="00553345"/>
    <w:rsid w:val="00554067"/>
    <w:rsid w:val="00556353"/>
    <w:rsid w:val="00573AB5"/>
    <w:rsid w:val="0057467E"/>
    <w:rsid w:val="00574C06"/>
    <w:rsid w:val="00581952"/>
    <w:rsid w:val="00581A9C"/>
    <w:rsid w:val="00585D01"/>
    <w:rsid w:val="005878FD"/>
    <w:rsid w:val="0059157C"/>
    <w:rsid w:val="005A09E6"/>
    <w:rsid w:val="005A18BB"/>
    <w:rsid w:val="005A212E"/>
    <w:rsid w:val="005A517C"/>
    <w:rsid w:val="005A5532"/>
    <w:rsid w:val="005B19E0"/>
    <w:rsid w:val="005B62DA"/>
    <w:rsid w:val="005C0048"/>
    <w:rsid w:val="005C72B6"/>
    <w:rsid w:val="005C763F"/>
    <w:rsid w:val="005D1B2B"/>
    <w:rsid w:val="005D6674"/>
    <w:rsid w:val="005E2D47"/>
    <w:rsid w:val="005E70B2"/>
    <w:rsid w:val="005E793F"/>
    <w:rsid w:val="005F49A5"/>
    <w:rsid w:val="00601098"/>
    <w:rsid w:val="0060164A"/>
    <w:rsid w:val="00602E2D"/>
    <w:rsid w:val="00607887"/>
    <w:rsid w:val="006133DD"/>
    <w:rsid w:val="00620448"/>
    <w:rsid w:val="00635087"/>
    <w:rsid w:val="00636C37"/>
    <w:rsid w:val="0064259F"/>
    <w:rsid w:val="00642CA6"/>
    <w:rsid w:val="0064419E"/>
    <w:rsid w:val="00660F7A"/>
    <w:rsid w:val="00661929"/>
    <w:rsid w:val="00663714"/>
    <w:rsid w:val="00664088"/>
    <w:rsid w:val="006676FE"/>
    <w:rsid w:val="0067161E"/>
    <w:rsid w:val="00682728"/>
    <w:rsid w:val="00683083"/>
    <w:rsid w:val="00683DB6"/>
    <w:rsid w:val="00691157"/>
    <w:rsid w:val="00691AF7"/>
    <w:rsid w:val="0069331A"/>
    <w:rsid w:val="00694FBC"/>
    <w:rsid w:val="006964DA"/>
    <w:rsid w:val="006B0DB1"/>
    <w:rsid w:val="006B5996"/>
    <w:rsid w:val="006C0A6E"/>
    <w:rsid w:val="006C2104"/>
    <w:rsid w:val="006C2B12"/>
    <w:rsid w:val="006C4A8A"/>
    <w:rsid w:val="006C639A"/>
    <w:rsid w:val="006D6F65"/>
    <w:rsid w:val="006E09B1"/>
    <w:rsid w:val="006E31A1"/>
    <w:rsid w:val="006E3D19"/>
    <w:rsid w:val="006E4C0F"/>
    <w:rsid w:val="006E57E0"/>
    <w:rsid w:val="006E5CF4"/>
    <w:rsid w:val="00700B4C"/>
    <w:rsid w:val="00704061"/>
    <w:rsid w:val="00707B06"/>
    <w:rsid w:val="00711671"/>
    <w:rsid w:val="0071275D"/>
    <w:rsid w:val="00712FE9"/>
    <w:rsid w:val="0071540F"/>
    <w:rsid w:val="007201FA"/>
    <w:rsid w:val="0072557F"/>
    <w:rsid w:val="00726AAB"/>
    <w:rsid w:val="00727924"/>
    <w:rsid w:val="00731276"/>
    <w:rsid w:val="00734B82"/>
    <w:rsid w:val="00734E1D"/>
    <w:rsid w:val="007367B7"/>
    <w:rsid w:val="00736EAF"/>
    <w:rsid w:val="00737A58"/>
    <w:rsid w:val="00741730"/>
    <w:rsid w:val="00746AAA"/>
    <w:rsid w:val="00747DBA"/>
    <w:rsid w:val="00754CF3"/>
    <w:rsid w:val="00755EFB"/>
    <w:rsid w:val="007569A2"/>
    <w:rsid w:val="00756A40"/>
    <w:rsid w:val="00762088"/>
    <w:rsid w:val="00762CD2"/>
    <w:rsid w:val="0076427B"/>
    <w:rsid w:val="00767A7C"/>
    <w:rsid w:val="0077068E"/>
    <w:rsid w:val="007709FF"/>
    <w:rsid w:val="00777C58"/>
    <w:rsid w:val="00777CC7"/>
    <w:rsid w:val="00781078"/>
    <w:rsid w:val="00786057"/>
    <w:rsid w:val="00786BCD"/>
    <w:rsid w:val="00790923"/>
    <w:rsid w:val="00792BC8"/>
    <w:rsid w:val="007945C8"/>
    <w:rsid w:val="007A23E0"/>
    <w:rsid w:val="007A4056"/>
    <w:rsid w:val="007A52F1"/>
    <w:rsid w:val="007A531E"/>
    <w:rsid w:val="007A6D4A"/>
    <w:rsid w:val="007A7201"/>
    <w:rsid w:val="007A754B"/>
    <w:rsid w:val="007A7758"/>
    <w:rsid w:val="007A7AF8"/>
    <w:rsid w:val="007B10C0"/>
    <w:rsid w:val="007B53B9"/>
    <w:rsid w:val="007B5BC9"/>
    <w:rsid w:val="007C49AA"/>
    <w:rsid w:val="007C600B"/>
    <w:rsid w:val="007E0B6C"/>
    <w:rsid w:val="007F1E60"/>
    <w:rsid w:val="008003E3"/>
    <w:rsid w:val="00806C1A"/>
    <w:rsid w:val="0081401A"/>
    <w:rsid w:val="00815D8B"/>
    <w:rsid w:val="00822C52"/>
    <w:rsid w:val="0082390C"/>
    <w:rsid w:val="00824171"/>
    <w:rsid w:val="00835219"/>
    <w:rsid w:val="00846387"/>
    <w:rsid w:val="00855138"/>
    <w:rsid w:val="008700CA"/>
    <w:rsid w:val="00870A44"/>
    <w:rsid w:val="0087268D"/>
    <w:rsid w:val="00873301"/>
    <w:rsid w:val="00873E5D"/>
    <w:rsid w:val="008774FE"/>
    <w:rsid w:val="008814DE"/>
    <w:rsid w:val="0088244A"/>
    <w:rsid w:val="00893271"/>
    <w:rsid w:val="008958D5"/>
    <w:rsid w:val="008960BF"/>
    <w:rsid w:val="00896B5E"/>
    <w:rsid w:val="008A2465"/>
    <w:rsid w:val="008B49D6"/>
    <w:rsid w:val="008B5175"/>
    <w:rsid w:val="008B65C2"/>
    <w:rsid w:val="008C088C"/>
    <w:rsid w:val="008C3149"/>
    <w:rsid w:val="008C3EDD"/>
    <w:rsid w:val="008C4657"/>
    <w:rsid w:val="008C6394"/>
    <w:rsid w:val="008D0F04"/>
    <w:rsid w:val="008D1DA9"/>
    <w:rsid w:val="008D23FC"/>
    <w:rsid w:val="008D7B67"/>
    <w:rsid w:val="008F086A"/>
    <w:rsid w:val="008F27B0"/>
    <w:rsid w:val="008F6BC8"/>
    <w:rsid w:val="008F7033"/>
    <w:rsid w:val="008F7CB8"/>
    <w:rsid w:val="00900EB7"/>
    <w:rsid w:val="009013CB"/>
    <w:rsid w:val="00904850"/>
    <w:rsid w:val="00905C01"/>
    <w:rsid w:val="00906FC8"/>
    <w:rsid w:val="00911F1B"/>
    <w:rsid w:val="0091336F"/>
    <w:rsid w:val="00913D94"/>
    <w:rsid w:val="0091409A"/>
    <w:rsid w:val="009149AF"/>
    <w:rsid w:val="00915EE9"/>
    <w:rsid w:val="00916BE2"/>
    <w:rsid w:val="00921EAC"/>
    <w:rsid w:val="009249EB"/>
    <w:rsid w:val="00925AC9"/>
    <w:rsid w:val="00927166"/>
    <w:rsid w:val="00931AB3"/>
    <w:rsid w:val="009346A3"/>
    <w:rsid w:val="009371F3"/>
    <w:rsid w:val="00950A6E"/>
    <w:rsid w:val="00955922"/>
    <w:rsid w:val="00960B58"/>
    <w:rsid w:val="009618F2"/>
    <w:rsid w:val="00971E10"/>
    <w:rsid w:val="00976FF6"/>
    <w:rsid w:val="00980AC6"/>
    <w:rsid w:val="009825A3"/>
    <w:rsid w:val="00982CC6"/>
    <w:rsid w:val="009831B6"/>
    <w:rsid w:val="00987363"/>
    <w:rsid w:val="00987842"/>
    <w:rsid w:val="00987F55"/>
    <w:rsid w:val="00991CF3"/>
    <w:rsid w:val="0099212E"/>
    <w:rsid w:val="009A0410"/>
    <w:rsid w:val="009A5E19"/>
    <w:rsid w:val="009C2192"/>
    <w:rsid w:val="009C4084"/>
    <w:rsid w:val="009C74CE"/>
    <w:rsid w:val="009D07F1"/>
    <w:rsid w:val="009E0660"/>
    <w:rsid w:val="009E27B1"/>
    <w:rsid w:val="009E4B0A"/>
    <w:rsid w:val="009F0794"/>
    <w:rsid w:val="009F0D26"/>
    <w:rsid w:val="009F11F7"/>
    <w:rsid w:val="009F14F3"/>
    <w:rsid w:val="009F3DD3"/>
    <w:rsid w:val="009F6983"/>
    <w:rsid w:val="009F755E"/>
    <w:rsid w:val="00A01846"/>
    <w:rsid w:val="00A06917"/>
    <w:rsid w:val="00A07F1E"/>
    <w:rsid w:val="00A10E38"/>
    <w:rsid w:val="00A266A0"/>
    <w:rsid w:val="00A331D9"/>
    <w:rsid w:val="00A34423"/>
    <w:rsid w:val="00A374EA"/>
    <w:rsid w:val="00A407D2"/>
    <w:rsid w:val="00A40B59"/>
    <w:rsid w:val="00A40C5B"/>
    <w:rsid w:val="00A4250D"/>
    <w:rsid w:val="00A450FE"/>
    <w:rsid w:val="00A52807"/>
    <w:rsid w:val="00A6269E"/>
    <w:rsid w:val="00A62E7F"/>
    <w:rsid w:val="00A719F0"/>
    <w:rsid w:val="00A739DB"/>
    <w:rsid w:val="00A73D4A"/>
    <w:rsid w:val="00A7789E"/>
    <w:rsid w:val="00A77B2A"/>
    <w:rsid w:val="00A83302"/>
    <w:rsid w:val="00A83DF0"/>
    <w:rsid w:val="00A86CBA"/>
    <w:rsid w:val="00A905D9"/>
    <w:rsid w:val="00A91815"/>
    <w:rsid w:val="00AB0D56"/>
    <w:rsid w:val="00AB293A"/>
    <w:rsid w:val="00AB2D3F"/>
    <w:rsid w:val="00AB45B0"/>
    <w:rsid w:val="00AC0F3C"/>
    <w:rsid w:val="00AC28D6"/>
    <w:rsid w:val="00AC4519"/>
    <w:rsid w:val="00AD0A87"/>
    <w:rsid w:val="00AD2BAB"/>
    <w:rsid w:val="00AD4B5D"/>
    <w:rsid w:val="00AD75D0"/>
    <w:rsid w:val="00AD7EB8"/>
    <w:rsid w:val="00AE6A28"/>
    <w:rsid w:val="00AE779C"/>
    <w:rsid w:val="00B00988"/>
    <w:rsid w:val="00B02385"/>
    <w:rsid w:val="00B0256D"/>
    <w:rsid w:val="00B0433A"/>
    <w:rsid w:val="00B04F0B"/>
    <w:rsid w:val="00B1141A"/>
    <w:rsid w:val="00B11BAF"/>
    <w:rsid w:val="00B26634"/>
    <w:rsid w:val="00B3019D"/>
    <w:rsid w:val="00B30E59"/>
    <w:rsid w:val="00B342AC"/>
    <w:rsid w:val="00B35A98"/>
    <w:rsid w:val="00B3615A"/>
    <w:rsid w:val="00B43F3C"/>
    <w:rsid w:val="00B45BA8"/>
    <w:rsid w:val="00B53850"/>
    <w:rsid w:val="00B60479"/>
    <w:rsid w:val="00B661D1"/>
    <w:rsid w:val="00B66B91"/>
    <w:rsid w:val="00B71938"/>
    <w:rsid w:val="00B74A90"/>
    <w:rsid w:val="00B8004B"/>
    <w:rsid w:val="00B82D59"/>
    <w:rsid w:val="00B82FF2"/>
    <w:rsid w:val="00B833AF"/>
    <w:rsid w:val="00B8683A"/>
    <w:rsid w:val="00B94AD2"/>
    <w:rsid w:val="00B95F3E"/>
    <w:rsid w:val="00BA06E3"/>
    <w:rsid w:val="00BA352A"/>
    <w:rsid w:val="00BA3CFB"/>
    <w:rsid w:val="00BB2E0B"/>
    <w:rsid w:val="00BB79F8"/>
    <w:rsid w:val="00BC13CB"/>
    <w:rsid w:val="00BC2859"/>
    <w:rsid w:val="00BD3992"/>
    <w:rsid w:val="00BD4154"/>
    <w:rsid w:val="00BD5AE4"/>
    <w:rsid w:val="00BE33EA"/>
    <w:rsid w:val="00BE3E33"/>
    <w:rsid w:val="00BE3EA3"/>
    <w:rsid w:val="00BE4111"/>
    <w:rsid w:val="00BE706A"/>
    <w:rsid w:val="00BE7DBE"/>
    <w:rsid w:val="00BF1755"/>
    <w:rsid w:val="00BF22F7"/>
    <w:rsid w:val="00BF2BE3"/>
    <w:rsid w:val="00BF3DA2"/>
    <w:rsid w:val="00BF43A9"/>
    <w:rsid w:val="00C00040"/>
    <w:rsid w:val="00C025F2"/>
    <w:rsid w:val="00C202F3"/>
    <w:rsid w:val="00C342D8"/>
    <w:rsid w:val="00C46C63"/>
    <w:rsid w:val="00C479ED"/>
    <w:rsid w:val="00C509D2"/>
    <w:rsid w:val="00C50D58"/>
    <w:rsid w:val="00C51963"/>
    <w:rsid w:val="00C624F1"/>
    <w:rsid w:val="00C62832"/>
    <w:rsid w:val="00C66F4F"/>
    <w:rsid w:val="00C7463E"/>
    <w:rsid w:val="00C766E3"/>
    <w:rsid w:val="00C87392"/>
    <w:rsid w:val="00C9210E"/>
    <w:rsid w:val="00C94F65"/>
    <w:rsid w:val="00C96E05"/>
    <w:rsid w:val="00CA6C27"/>
    <w:rsid w:val="00CB0DCB"/>
    <w:rsid w:val="00CB14ED"/>
    <w:rsid w:val="00CB17FB"/>
    <w:rsid w:val="00CB5123"/>
    <w:rsid w:val="00CB6B6A"/>
    <w:rsid w:val="00CC0D6B"/>
    <w:rsid w:val="00CC2901"/>
    <w:rsid w:val="00CC3588"/>
    <w:rsid w:val="00CD2F45"/>
    <w:rsid w:val="00CE0D31"/>
    <w:rsid w:val="00CE5801"/>
    <w:rsid w:val="00CE5BFE"/>
    <w:rsid w:val="00CE623D"/>
    <w:rsid w:val="00CF2287"/>
    <w:rsid w:val="00CF3050"/>
    <w:rsid w:val="00CF3BCF"/>
    <w:rsid w:val="00D03399"/>
    <w:rsid w:val="00D06356"/>
    <w:rsid w:val="00D120D3"/>
    <w:rsid w:val="00D22F7D"/>
    <w:rsid w:val="00D247F9"/>
    <w:rsid w:val="00D320B2"/>
    <w:rsid w:val="00D32C77"/>
    <w:rsid w:val="00D32E4C"/>
    <w:rsid w:val="00D32F20"/>
    <w:rsid w:val="00D41A68"/>
    <w:rsid w:val="00D4272A"/>
    <w:rsid w:val="00D4423E"/>
    <w:rsid w:val="00D4503D"/>
    <w:rsid w:val="00D45BB7"/>
    <w:rsid w:val="00D5320F"/>
    <w:rsid w:val="00D53C4B"/>
    <w:rsid w:val="00D60A6D"/>
    <w:rsid w:val="00D64940"/>
    <w:rsid w:val="00D74816"/>
    <w:rsid w:val="00D74BCF"/>
    <w:rsid w:val="00D7536A"/>
    <w:rsid w:val="00D7579A"/>
    <w:rsid w:val="00D771AE"/>
    <w:rsid w:val="00D81062"/>
    <w:rsid w:val="00D823B9"/>
    <w:rsid w:val="00D93FBF"/>
    <w:rsid w:val="00D95737"/>
    <w:rsid w:val="00DA538A"/>
    <w:rsid w:val="00DB1020"/>
    <w:rsid w:val="00DC49A7"/>
    <w:rsid w:val="00DC4C31"/>
    <w:rsid w:val="00DC5170"/>
    <w:rsid w:val="00DC564D"/>
    <w:rsid w:val="00DC64CB"/>
    <w:rsid w:val="00DC6635"/>
    <w:rsid w:val="00DC7A19"/>
    <w:rsid w:val="00DD3168"/>
    <w:rsid w:val="00DD43E0"/>
    <w:rsid w:val="00DD5BBD"/>
    <w:rsid w:val="00DE0CF3"/>
    <w:rsid w:val="00DE1457"/>
    <w:rsid w:val="00E007B7"/>
    <w:rsid w:val="00E07892"/>
    <w:rsid w:val="00E124C3"/>
    <w:rsid w:val="00E14A00"/>
    <w:rsid w:val="00E213BF"/>
    <w:rsid w:val="00E24BF1"/>
    <w:rsid w:val="00E24CF8"/>
    <w:rsid w:val="00E2554B"/>
    <w:rsid w:val="00E27887"/>
    <w:rsid w:val="00E3285D"/>
    <w:rsid w:val="00E32BC2"/>
    <w:rsid w:val="00E332E8"/>
    <w:rsid w:val="00E35BEE"/>
    <w:rsid w:val="00E40A91"/>
    <w:rsid w:val="00E42BE8"/>
    <w:rsid w:val="00E46185"/>
    <w:rsid w:val="00E47E22"/>
    <w:rsid w:val="00E50409"/>
    <w:rsid w:val="00E51B5E"/>
    <w:rsid w:val="00E52396"/>
    <w:rsid w:val="00E55C5B"/>
    <w:rsid w:val="00E62099"/>
    <w:rsid w:val="00E62245"/>
    <w:rsid w:val="00E675CD"/>
    <w:rsid w:val="00E708D0"/>
    <w:rsid w:val="00E71BF8"/>
    <w:rsid w:val="00E7237A"/>
    <w:rsid w:val="00E7240F"/>
    <w:rsid w:val="00E768A7"/>
    <w:rsid w:val="00E77C80"/>
    <w:rsid w:val="00E86B9E"/>
    <w:rsid w:val="00E90D4D"/>
    <w:rsid w:val="00E92F6B"/>
    <w:rsid w:val="00E95557"/>
    <w:rsid w:val="00E968C8"/>
    <w:rsid w:val="00E97D10"/>
    <w:rsid w:val="00EA5A5C"/>
    <w:rsid w:val="00EA70CC"/>
    <w:rsid w:val="00EB515A"/>
    <w:rsid w:val="00EB5349"/>
    <w:rsid w:val="00EB56DC"/>
    <w:rsid w:val="00EC0FB2"/>
    <w:rsid w:val="00EC2537"/>
    <w:rsid w:val="00EC25AE"/>
    <w:rsid w:val="00EC2E1E"/>
    <w:rsid w:val="00EC6500"/>
    <w:rsid w:val="00EC7F94"/>
    <w:rsid w:val="00ED02A7"/>
    <w:rsid w:val="00ED434B"/>
    <w:rsid w:val="00ED7498"/>
    <w:rsid w:val="00EE52F7"/>
    <w:rsid w:val="00EE6E39"/>
    <w:rsid w:val="00EE7D16"/>
    <w:rsid w:val="00EF0205"/>
    <w:rsid w:val="00EF5D81"/>
    <w:rsid w:val="00F07207"/>
    <w:rsid w:val="00F10945"/>
    <w:rsid w:val="00F15576"/>
    <w:rsid w:val="00F17403"/>
    <w:rsid w:val="00F20FC0"/>
    <w:rsid w:val="00F21299"/>
    <w:rsid w:val="00F25BBA"/>
    <w:rsid w:val="00F26E2F"/>
    <w:rsid w:val="00F2746C"/>
    <w:rsid w:val="00F3245E"/>
    <w:rsid w:val="00F329EB"/>
    <w:rsid w:val="00F40DEC"/>
    <w:rsid w:val="00F45BF5"/>
    <w:rsid w:val="00F51D02"/>
    <w:rsid w:val="00F7193F"/>
    <w:rsid w:val="00F801B1"/>
    <w:rsid w:val="00F816EC"/>
    <w:rsid w:val="00F868F2"/>
    <w:rsid w:val="00F872D2"/>
    <w:rsid w:val="00F9593F"/>
    <w:rsid w:val="00F96CC9"/>
    <w:rsid w:val="00F97AB3"/>
    <w:rsid w:val="00F97BD0"/>
    <w:rsid w:val="00FA155A"/>
    <w:rsid w:val="00FA1C7A"/>
    <w:rsid w:val="00FA3E74"/>
    <w:rsid w:val="00FA5D11"/>
    <w:rsid w:val="00FB17D6"/>
    <w:rsid w:val="00FB79C0"/>
    <w:rsid w:val="00FC1D9B"/>
    <w:rsid w:val="00FC3160"/>
    <w:rsid w:val="00FC53EE"/>
    <w:rsid w:val="00FC58E2"/>
    <w:rsid w:val="00FD0F44"/>
    <w:rsid w:val="00FE0612"/>
    <w:rsid w:val="00FE5D45"/>
    <w:rsid w:val="00FF08FE"/>
    <w:rsid w:val="00FF60FE"/>
    <w:rsid w:val="00FF702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BCF"/>
    <w:rPr>
      <w:rFonts w:ascii="Tele-GroteskNor" w:hAnsi="Tele-GroteskNor"/>
      <w:szCs w:val="24"/>
      <w:lang w:val="en-GB" w:eastAsia="en-GB"/>
    </w:rPr>
  </w:style>
  <w:style w:type="paragraph" w:styleId="Heading2">
    <w:name w:val="heading 2"/>
    <w:basedOn w:val="Normal"/>
    <w:next w:val="Normal"/>
    <w:link w:val="Heading2Char"/>
    <w:semiHidden/>
    <w:unhideWhenUsed/>
    <w:qFormat/>
    <w:rsid w:val="002A7D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71EC"/>
    <w:pPr>
      <w:tabs>
        <w:tab w:val="center" w:pos="4320"/>
        <w:tab w:val="right" w:pos="8640"/>
      </w:tabs>
    </w:pPr>
  </w:style>
  <w:style w:type="paragraph" w:styleId="Footer">
    <w:name w:val="footer"/>
    <w:basedOn w:val="Normal"/>
    <w:link w:val="FooterChar"/>
    <w:uiPriority w:val="99"/>
    <w:rsid w:val="003571EC"/>
    <w:pPr>
      <w:tabs>
        <w:tab w:val="center" w:pos="4320"/>
        <w:tab w:val="right" w:pos="8640"/>
      </w:tabs>
    </w:pPr>
  </w:style>
  <w:style w:type="character" w:styleId="PageNumber">
    <w:name w:val="page number"/>
    <w:basedOn w:val="DefaultParagraphFont"/>
    <w:rsid w:val="00487344"/>
  </w:style>
  <w:style w:type="character" w:styleId="Hyperlink">
    <w:name w:val="Hyperlink"/>
    <w:basedOn w:val="DefaultParagraphFont"/>
    <w:uiPriority w:val="99"/>
    <w:rsid w:val="00E51B5E"/>
    <w:rPr>
      <w:color w:val="0000FF"/>
      <w:u w:val="single"/>
    </w:rPr>
  </w:style>
  <w:style w:type="character" w:styleId="Strong">
    <w:name w:val="Strong"/>
    <w:basedOn w:val="DefaultParagraphFont"/>
    <w:qFormat/>
    <w:rsid w:val="00D22F7D"/>
    <w:rPr>
      <w:b/>
      <w:bCs/>
    </w:rPr>
  </w:style>
  <w:style w:type="paragraph" w:customStyle="1" w:styleId="Default">
    <w:name w:val="Default"/>
    <w:rsid w:val="00550225"/>
    <w:pPr>
      <w:widowControl w:val="0"/>
      <w:autoSpaceDE w:val="0"/>
      <w:autoSpaceDN w:val="0"/>
      <w:adjustRightInd w:val="0"/>
    </w:pPr>
    <w:rPr>
      <w:color w:val="000000"/>
      <w:sz w:val="24"/>
      <w:szCs w:val="24"/>
      <w:lang w:val="en-GB" w:eastAsia="en-GB"/>
    </w:rPr>
  </w:style>
  <w:style w:type="paragraph" w:styleId="Caption">
    <w:name w:val="caption"/>
    <w:basedOn w:val="Normal"/>
    <w:next w:val="Normal"/>
    <w:uiPriority w:val="35"/>
    <w:qFormat/>
    <w:rsid w:val="00DD3168"/>
    <w:rPr>
      <w:b/>
      <w:bCs/>
      <w:szCs w:val="20"/>
    </w:rPr>
  </w:style>
  <w:style w:type="character" w:customStyle="1" w:styleId="FooterChar">
    <w:name w:val="Footer Char"/>
    <w:basedOn w:val="DefaultParagraphFont"/>
    <w:link w:val="Footer"/>
    <w:uiPriority w:val="99"/>
    <w:rsid w:val="00F2746C"/>
    <w:rPr>
      <w:rFonts w:ascii="Tele-GroteskNor" w:hAnsi="Tele-GroteskNor"/>
      <w:szCs w:val="24"/>
      <w:lang w:val="en-GB" w:eastAsia="en-GB"/>
    </w:rPr>
  </w:style>
  <w:style w:type="paragraph" w:styleId="BalloonText">
    <w:name w:val="Balloon Text"/>
    <w:basedOn w:val="Normal"/>
    <w:link w:val="BalloonTextChar"/>
    <w:rsid w:val="00BB79F8"/>
    <w:rPr>
      <w:rFonts w:ascii="Tahoma" w:hAnsi="Tahoma" w:cs="Tahoma"/>
      <w:sz w:val="16"/>
      <w:szCs w:val="16"/>
    </w:rPr>
  </w:style>
  <w:style w:type="character" w:customStyle="1" w:styleId="BalloonTextChar">
    <w:name w:val="Balloon Text Char"/>
    <w:basedOn w:val="DefaultParagraphFont"/>
    <w:link w:val="BalloonText"/>
    <w:rsid w:val="00BB79F8"/>
    <w:rPr>
      <w:rFonts w:ascii="Tahoma" w:hAnsi="Tahoma" w:cs="Tahoma"/>
      <w:sz w:val="16"/>
      <w:szCs w:val="16"/>
      <w:lang w:val="en-GB" w:eastAsia="en-GB"/>
    </w:rPr>
  </w:style>
  <w:style w:type="paragraph" w:customStyle="1" w:styleId="NormalParagraphStyle">
    <w:name w:val="NormalParagraphStyle"/>
    <w:basedOn w:val="Normal"/>
    <w:rsid w:val="00211556"/>
    <w:pPr>
      <w:autoSpaceDE w:val="0"/>
      <w:autoSpaceDN w:val="0"/>
      <w:adjustRightInd w:val="0"/>
      <w:spacing w:line="288" w:lineRule="auto"/>
      <w:textAlignment w:val="center"/>
    </w:pPr>
    <w:rPr>
      <w:rFonts w:ascii="Times New Roman" w:hAnsi="Times New Roman"/>
      <w:color w:val="000000"/>
      <w:sz w:val="24"/>
      <w:lang w:val="en-US" w:eastAsia="en-US"/>
    </w:rPr>
  </w:style>
  <w:style w:type="paragraph" w:styleId="NormalWeb">
    <w:name w:val="Normal (Web)"/>
    <w:basedOn w:val="Normal"/>
    <w:uiPriority w:val="99"/>
    <w:unhideWhenUsed/>
    <w:rsid w:val="00B1141A"/>
    <w:pPr>
      <w:spacing w:before="100" w:beforeAutospacing="1" w:after="100" w:afterAutospacing="1"/>
    </w:pPr>
    <w:rPr>
      <w:rFonts w:ascii="Times New Roman" w:eastAsia="Calibri" w:hAnsi="Times New Roman"/>
      <w:sz w:val="24"/>
      <w:lang w:val="mk-MK" w:eastAsia="mk-MK"/>
    </w:rPr>
  </w:style>
  <w:style w:type="paragraph" w:styleId="ListParagraph">
    <w:name w:val="List Paragraph"/>
    <w:basedOn w:val="Normal"/>
    <w:uiPriority w:val="99"/>
    <w:qFormat/>
    <w:rsid w:val="001E26E1"/>
    <w:pPr>
      <w:ind w:left="720"/>
      <w:contextualSpacing/>
    </w:pPr>
  </w:style>
  <w:style w:type="character" w:styleId="CommentReference">
    <w:name w:val="annotation reference"/>
    <w:basedOn w:val="DefaultParagraphFont"/>
    <w:rsid w:val="00A91815"/>
    <w:rPr>
      <w:sz w:val="16"/>
      <w:szCs w:val="16"/>
    </w:rPr>
  </w:style>
  <w:style w:type="paragraph" w:styleId="CommentText">
    <w:name w:val="annotation text"/>
    <w:basedOn w:val="Normal"/>
    <w:link w:val="CommentTextChar"/>
    <w:rsid w:val="00A91815"/>
    <w:rPr>
      <w:szCs w:val="20"/>
    </w:rPr>
  </w:style>
  <w:style w:type="character" w:customStyle="1" w:styleId="CommentTextChar">
    <w:name w:val="Comment Text Char"/>
    <w:basedOn w:val="DefaultParagraphFont"/>
    <w:link w:val="CommentText"/>
    <w:rsid w:val="00A91815"/>
    <w:rPr>
      <w:rFonts w:ascii="Tele-GroteskNor" w:hAnsi="Tele-GroteskNor"/>
      <w:lang w:val="en-GB" w:eastAsia="en-GB"/>
    </w:rPr>
  </w:style>
  <w:style w:type="paragraph" w:styleId="CommentSubject">
    <w:name w:val="annotation subject"/>
    <w:basedOn w:val="CommentText"/>
    <w:next w:val="CommentText"/>
    <w:link w:val="CommentSubjectChar"/>
    <w:rsid w:val="00A91815"/>
    <w:rPr>
      <w:b/>
      <w:bCs/>
    </w:rPr>
  </w:style>
  <w:style w:type="character" w:customStyle="1" w:styleId="CommentSubjectChar">
    <w:name w:val="Comment Subject Char"/>
    <w:basedOn w:val="CommentTextChar"/>
    <w:link w:val="CommentSubject"/>
    <w:rsid w:val="00A91815"/>
    <w:rPr>
      <w:rFonts w:ascii="Tele-GroteskNor" w:hAnsi="Tele-GroteskNor"/>
      <w:b/>
      <w:bCs/>
      <w:lang w:val="en-GB" w:eastAsia="en-GB"/>
    </w:rPr>
  </w:style>
  <w:style w:type="paragraph" w:styleId="Revision">
    <w:name w:val="Revision"/>
    <w:hidden/>
    <w:uiPriority w:val="99"/>
    <w:semiHidden/>
    <w:rsid w:val="0077068E"/>
    <w:rPr>
      <w:rFonts w:ascii="Tele-GroteskNor" w:hAnsi="Tele-GroteskNor"/>
      <w:szCs w:val="24"/>
      <w:lang w:val="en-GB" w:eastAsia="en-GB"/>
    </w:rPr>
  </w:style>
  <w:style w:type="table" w:styleId="LightShading-Accent4">
    <w:name w:val="Light Shading Accent 4"/>
    <w:basedOn w:val="TableNormal"/>
    <w:uiPriority w:val="60"/>
    <w:rsid w:val="00BE4111"/>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horttext">
    <w:name w:val="short_text"/>
    <w:basedOn w:val="DefaultParagraphFont"/>
    <w:rsid w:val="00201646"/>
  </w:style>
  <w:style w:type="character" w:customStyle="1" w:styleId="Heading2Char">
    <w:name w:val="Heading 2 Char"/>
    <w:basedOn w:val="DefaultParagraphFont"/>
    <w:link w:val="Heading2"/>
    <w:semiHidden/>
    <w:rsid w:val="002A7DDA"/>
    <w:rPr>
      <w:rFonts w:asciiTheme="majorHAnsi" w:eastAsiaTheme="majorEastAsia" w:hAnsiTheme="majorHAnsi" w:cstheme="majorBidi"/>
      <w:b/>
      <w:bCs/>
      <w:color w:val="4F81BD" w:themeColor="accent1"/>
      <w:sz w:val="26"/>
      <w:szCs w:val="2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BCF"/>
    <w:rPr>
      <w:rFonts w:ascii="Tele-GroteskNor" w:hAnsi="Tele-GroteskNor"/>
      <w:szCs w:val="24"/>
      <w:lang w:val="en-GB" w:eastAsia="en-GB"/>
    </w:rPr>
  </w:style>
  <w:style w:type="paragraph" w:styleId="Heading2">
    <w:name w:val="heading 2"/>
    <w:basedOn w:val="Normal"/>
    <w:next w:val="Normal"/>
    <w:link w:val="Heading2Char"/>
    <w:semiHidden/>
    <w:unhideWhenUsed/>
    <w:qFormat/>
    <w:rsid w:val="002A7D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71EC"/>
    <w:pPr>
      <w:tabs>
        <w:tab w:val="center" w:pos="4320"/>
        <w:tab w:val="right" w:pos="8640"/>
      </w:tabs>
    </w:pPr>
  </w:style>
  <w:style w:type="paragraph" w:styleId="Footer">
    <w:name w:val="footer"/>
    <w:basedOn w:val="Normal"/>
    <w:link w:val="FooterChar"/>
    <w:uiPriority w:val="99"/>
    <w:rsid w:val="003571EC"/>
    <w:pPr>
      <w:tabs>
        <w:tab w:val="center" w:pos="4320"/>
        <w:tab w:val="right" w:pos="8640"/>
      </w:tabs>
    </w:pPr>
  </w:style>
  <w:style w:type="character" w:styleId="PageNumber">
    <w:name w:val="page number"/>
    <w:basedOn w:val="DefaultParagraphFont"/>
    <w:rsid w:val="00487344"/>
  </w:style>
  <w:style w:type="character" w:styleId="Hyperlink">
    <w:name w:val="Hyperlink"/>
    <w:basedOn w:val="DefaultParagraphFont"/>
    <w:uiPriority w:val="99"/>
    <w:rsid w:val="00E51B5E"/>
    <w:rPr>
      <w:color w:val="0000FF"/>
      <w:u w:val="single"/>
    </w:rPr>
  </w:style>
  <w:style w:type="character" w:styleId="Strong">
    <w:name w:val="Strong"/>
    <w:basedOn w:val="DefaultParagraphFont"/>
    <w:qFormat/>
    <w:rsid w:val="00D22F7D"/>
    <w:rPr>
      <w:b/>
      <w:bCs/>
    </w:rPr>
  </w:style>
  <w:style w:type="paragraph" w:customStyle="1" w:styleId="Default">
    <w:name w:val="Default"/>
    <w:rsid w:val="00550225"/>
    <w:pPr>
      <w:widowControl w:val="0"/>
      <w:autoSpaceDE w:val="0"/>
      <w:autoSpaceDN w:val="0"/>
      <w:adjustRightInd w:val="0"/>
    </w:pPr>
    <w:rPr>
      <w:color w:val="000000"/>
      <w:sz w:val="24"/>
      <w:szCs w:val="24"/>
      <w:lang w:val="en-GB" w:eastAsia="en-GB"/>
    </w:rPr>
  </w:style>
  <w:style w:type="paragraph" w:styleId="Caption">
    <w:name w:val="caption"/>
    <w:basedOn w:val="Normal"/>
    <w:next w:val="Normal"/>
    <w:uiPriority w:val="35"/>
    <w:qFormat/>
    <w:rsid w:val="00DD3168"/>
    <w:rPr>
      <w:b/>
      <w:bCs/>
      <w:szCs w:val="20"/>
    </w:rPr>
  </w:style>
  <w:style w:type="character" w:customStyle="1" w:styleId="FooterChar">
    <w:name w:val="Footer Char"/>
    <w:basedOn w:val="DefaultParagraphFont"/>
    <w:link w:val="Footer"/>
    <w:uiPriority w:val="99"/>
    <w:rsid w:val="00F2746C"/>
    <w:rPr>
      <w:rFonts w:ascii="Tele-GroteskNor" w:hAnsi="Tele-GroteskNor"/>
      <w:szCs w:val="24"/>
      <w:lang w:val="en-GB" w:eastAsia="en-GB"/>
    </w:rPr>
  </w:style>
  <w:style w:type="paragraph" w:styleId="BalloonText">
    <w:name w:val="Balloon Text"/>
    <w:basedOn w:val="Normal"/>
    <w:link w:val="BalloonTextChar"/>
    <w:rsid w:val="00BB79F8"/>
    <w:rPr>
      <w:rFonts w:ascii="Tahoma" w:hAnsi="Tahoma" w:cs="Tahoma"/>
      <w:sz w:val="16"/>
      <w:szCs w:val="16"/>
    </w:rPr>
  </w:style>
  <w:style w:type="character" w:customStyle="1" w:styleId="BalloonTextChar">
    <w:name w:val="Balloon Text Char"/>
    <w:basedOn w:val="DefaultParagraphFont"/>
    <w:link w:val="BalloonText"/>
    <w:rsid w:val="00BB79F8"/>
    <w:rPr>
      <w:rFonts w:ascii="Tahoma" w:hAnsi="Tahoma" w:cs="Tahoma"/>
      <w:sz w:val="16"/>
      <w:szCs w:val="16"/>
      <w:lang w:val="en-GB" w:eastAsia="en-GB"/>
    </w:rPr>
  </w:style>
  <w:style w:type="paragraph" w:customStyle="1" w:styleId="NormalParagraphStyle">
    <w:name w:val="NormalParagraphStyle"/>
    <w:basedOn w:val="Normal"/>
    <w:rsid w:val="00211556"/>
    <w:pPr>
      <w:autoSpaceDE w:val="0"/>
      <w:autoSpaceDN w:val="0"/>
      <w:adjustRightInd w:val="0"/>
      <w:spacing w:line="288" w:lineRule="auto"/>
      <w:textAlignment w:val="center"/>
    </w:pPr>
    <w:rPr>
      <w:rFonts w:ascii="Times New Roman" w:hAnsi="Times New Roman"/>
      <w:color w:val="000000"/>
      <w:sz w:val="24"/>
      <w:lang w:val="en-US" w:eastAsia="en-US"/>
    </w:rPr>
  </w:style>
  <w:style w:type="paragraph" w:styleId="NormalWeb">
    <w:name w:val="Normal (Web)"/>
    <w:basedOn w:val="Normal"/>
    <w:uiPriority w:val="99"/>
    <w:unhideWhenUsed/>
    <w:rsid w:val="00B1141A"/>
    <w:pPr>
      <w:spacing w:before="100" w:beforeAutospacing="1" w:after="100" w:afterAutospacing="1"/>
    </w:pPr>
    <w:rPr>
      <w:rFonts w:ascii="Times New Roman" w:eastAsia="Calibri" w:hAnsi="Times New Roman"/>
      <w:sz w:val="24"/>
      <w:lang w:val="mk-MK" w:eastAsia="mk-MK"/>
    </w:rPr>
  </w:style>
  <w:style w:type="paragraph" w:styleId="ListParagraph">
    <w:name w:val="List Paragraph"/>
    <w:basedOn w:val="Normal"/>
    <w:uiPriority w:val="99"/>
    <w:qFormat/>
    <w:rsid w:val="001E26E1"/>
    <w:pPr>
      <w:ind w:left="720"/>
      <w:contextualSpacing/>
    </w:pPr>
  </w:style>
  <w:style w:type="character" w:styleId="CommentReference">
    <w:name w:val="annotation reference"/>
    <w:basedOn w:val="DefaultParagraphFont"/>
    <w:rsid w:val="00A91815"/>
    <w:rPr>
      <w:sz w:val="16"/>
      <w:szCs w:val="16"/>
    </w:rPr>
  </w:style>
  <w:style w:type="paragraph" w:styleId="CommentText">
    <w:name w:val="annotation text"/>
    <w:basedOn w:val="Normal"/>
    <w:link w:val="CommentTextChar"/>
    <w:rsid w:val="00A91815"/>
    <w:rPr>
      <w:szCs w:val="20"/>
    </w:rPr>
  </w:style>
  <w:style w:type="character" w:customStyle="1" w:styleId="CommentTextChar">
    <w:name w:val="Comment Text Char"/>
    <w:basedOn w:val="DefaultParagraphFont"/>
    <w:link w:val="CommentText"/>
    <w:rsid w:val="00A91815"/>
    <w:rPr>
      <w:rFonts w:ascii="Tele-GroteskNor" w:hAnsi="Tele-GroteskNor"/>
      <w:lang w:val="en-GB" w:eastAsia="en-GB"/>
    </w:rPr>
  </w:style>
  <w:style w:type="paragraph" w:styleId="CommentSubject">
    <w:name w:val="annotation subject"/>
    <w:basedOn w:val="CommentText"/>
    <w:next w:val="CommentText"/>
    <w:link w:val="CommentSubjectChar"/>
    <w:rsid w:val="00A91815"/>
    <w:rPr>
      <w:b/>
      <w:bCs/>
    </w:rPr>
  </w:style>
  <w:style w:type="character" w:customStyle="1" w:styleId="CommentSubjectChar">
    <w:name w:val="Comment Subject Char"/>
    <w:basedOn w:val="CommentTextChar"/>
    <w:link w:val="CommentSubject"/>
    <w:rsid w:val="00A91815"/>
    <w:rPr>
      <w:rFonts w:ascii="Tele-GroteskNor" w:hAnsi="Tele-GroteskNor"/>
      <w:b/>
      <w:bCs/>
      <w:lang w:val="en-GB" w:eastAsia="en-GB"/>
    </w:rPr>
  </w:style>
  <w:style w:type="paragraph" w:styleId="Revision">
    <w:name w:val="Revision"/>
    <w:hidden/>
    <w:uiPriority w:val="99"/>
    <w:semiHidden/>
    <w:rsid w:val="0077068E"/>
    <w:rPr>
      <w:rFonts w:ascii="Tele-GroteskNor" w:hAnsi="Tele-GroteskNor"/>
      <w:szCs w:val="24"/>
      <w:lang w:val="en-GB" w:eastAsia="en-GB"/>
    </w:rPr>
  </w:style>
  <w:style w:type="table" w:styleId="LightShading-Accent4">
    <w:name w:val="Light Shading Accent 4"/>
    <w:basedOn w:val="TableNormal"/>
    <w:uiPriority w:val="60"/>
    <w:rsid w:val="00BE4111"/>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horttext">
    <w:name w:val="short_text"/>
    <w:basedOn w:val="DefaultParagraphFont"/>
    <w:rsid w:val="00201646"/>
  </w:style>
  <w:style w:type="character" w:customStyle="1" w:styleId="Heading2Char">
    <w:name w:val="Heading 2 Char"/>
    <w:basedOn w:val="DefaultParagraphFont"/>
    <w:link w:val="Heading2"/>
    <w:semiHidden/>
    <w:rsid w:val="002A7DDA"/>
    <w:rPr>
      <w:rFonts w:asciiTheme="majorHAnsi" w:eastAsiaTheme="majorEastAsia" w:hAnsiTheme="majorHAnsi" w:cstheme="majorBidi"/>
      <w:b/>
      <w:bCs/>
      <w:color w:val="4F81BD" w:themeColor="accent1"/>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2085">
      <w:bodyDiv w:val="1"/>
      <w:marLeft w:val="0"/>
      <w:marRight w:val="0"/>
      <w:marTop w:val="0"/>
      <w:marBottom w:val="0"/>
      <w:divBdr>
        <w:top w:val="none" w:sz="0" w:space="0" w:color="auto"/>
        <w:left w:val="none" w:sz="0" w:space="0" w:color="auto"/>
        <w:bottom w:val="none" w:sz="0" w:space="0" w:color="auto"/>
        <w:right w:val="none" w:sz="0" w:space="0" w:color="auto"/>
      </w:divBdr>
    </w:div>
    <w:div w:id="71122233">
      <w:bodyDiv w:val="1"/>
      <w:marLeft w:val="0"/>
      <w:marRight w:val="0"/>
      <w:marTop w:val="0"/>
      <w:marBottom w:val="0"/>
      <w:divBdr>
        <w:top w:val="none" w:sz="0" w:space="0" w:color="auto"/>
        <w:left w:val="none" w:sz="0" w:space="0" w:color="auto"/>
        <w:bottom w:val="none" w:sz="0" w:space="0" w:color="auto"/>
        <w:right w:val="none" w:sz="0" w:space="0" w:color="auto"/>
      </w:divBdr>
    </w:div>
    <w:div w:id="194929741">
      <w:bodyDiv w:val="1"/>
      <w:marLeft w:val="0"/>
      <w:marRight w:val="0"/>
      <w:marTop w:val="0"/>
      <w:marBottom w:val="0"/>
      <w:divBdr>
        <w:top w:val="none" w:sz="0" w:space="0" w:color="auto"/>
        <w:left w:val="none" w:sz="0" w:space="0" w:color="auto"/>
        <w:bottom w:val="none" w:sz="0" w:space="0" w:color="auto"/>
        <w:right w:val="none" w:sz="0" w:space="0" w:color="auto"/>
      </w:divBdr>
    </w:div>
    <w:div w:id="276568128">
      <w:bodyDiv w:val="1"/>
      <w:marLeft w:val="0"/>
      <w:marRight w:val="0"/>
      <w:marTop w:val="0"/>
      <w:marBottom w:val="0"/>
      <w:divBdr>
        <w:top w:val="none" w:sz="0" w:space="0" w:color="auto"/>
        <w:left w:val="none" w:sz="0" w:space="0" w:color="auto"/>
        <w:bottom w:val="none" w:sz="0" w:space="0" w:color="auto"/>
        <w:right w:val="none" w:sz="0" w:space="0" w:color="auto"/>
      </w:divBdr>
    </w:div>
    <w:div w:id="601376060">
      <w:bodyDiv w:val="1"/>
      <w:marLeft w:val="0"/>
      <w:marRight w:val="0"/>
      <w:marTop w:val="0"/>
      <w:marBottom w:val="0"/>
      <w:divBdr>
        <w:top w:val="none" w:sz="0" w:space="0" w:color="auto"/>
        <w:left w:val="none" w:sz="0" w:space="0" w:color="auto"/>
        <w:bottom w:val="none" w:sz="0" w:space="0" w:color="auto"/>
        <w:right w:val="none" w:sz="0" w:space="0" w:color="auto"/>
      </w:divBdr>
    </w:div>
    <w:div w:id="608782802">
      <w:bodyDiv w:val="1"/>
      <w:marLeft w:val="0"/>
      <w:marRight w:val="0"/>
      <w:marTop w:val="0"/>
      <w:marBottom w:val="0"/>
      <w:divBdr>
        <w:top w:val="none" w:sz="0" w:space="0" w:color="auto"/>
        <w:left w:val="none" w:sz="0" w:space="0" w:color="auto"/>
        <w:bottom w:val="none" w:sz="0" w:space="0" w:color="auto"/>
        <w:right w:val="none" w:sz="0" w:space="0" w:color="auto"/>
      </w:divBdr>
    </w:div>
    <w:div w:id="816797358">
      <w:bodyDiv w:val="1"/>
      <w:marLeft w:val="0"/>
      <w:marRight w:val="0"/>
      <w:marTop w:val="0"/>
      <w:marBottom w:val="0"/>
      <w:divBdr>
        <w:top w:val="none" w:sz="0" w:space="0" w:color="auto"/>
        <w:left w:val="none" w:sz="0" w:space="0" w:color="auto"/>
        <w:bottom w:val="none" w:sz="0" w:space="0" w:color="auto"/>
        <w:right w:val="none" w:sz="0" w:space="0" w:color="auto"/>
      </w:divBdr>
    </w:div>
    <w:div w:id="1071853626">
      <w:bodyDiv w:val="1"/>
      <w:marLeft w:val="0"/>
      <w:marRight w:val="0"/>
      <w:marTop w:val="0"/>
      <w:marBottom w:val="0"/>
      <w:divBdr>
        <w:top w:val="none" w:sz="0" w:space="0" w:color="auto"/>
        <w:left w:val="none" w:sz="0" w:space="0" w:color="auto"/>
        <w:bottom w:val="none" w:sz="0" w:space="0" w:color="auto"/>
        <w:right w:val="none" w:sz="0" w:space="0" w:color="auto"/>
      </w:divBdr>
    </w:div>
    <w:div w:id="1212382734">
      <w:bodyDiv w:val="1"/>
      <w:marLeft w:val="0"/>
      <w:marRight w:val="0"/>
      <w:marTop w:val="0"/>
      <w:marBottom w:val="0"/>
      <w:divBdr>
        <w:top w:val="none" w:sz="0" w:space="0" w:color="auto"/>
        <w:left w:val="none" w:sz="0" w:space="0" w:color="auto"/>
        <w:bottom w:val="none" w:sz="0" w:space="0" w:color="auto"/>
        <w:right w:val="none" w:sz="0" w:space="0" w:color="auto"/>
      </w:divBdr>
    </w:div>
    <w:div w:id="1279221065">
      <w:bodyDiv w:val="1"/>
      <w:marLeft w:val="0"/>
      <w:marRight w:val="0"/>
      <w:marTop w:val="0"/>
      <w:marBottom w:val="0"/>
      <w:divBdr>
        <w:top w:val="none" w:sz="0" w:space="0" w:color="auto"/>
        <w:left w:val="none" w:sz="0" w:space="0" w:color="auto"/>
        <w:bottom w:val="none" w:sz="0" w:space="0" w:color="auto"/>
        <w:right w:val="none" w:sz="0" w:space="0" w:color="auto"/>
      </w:divBdr>
    </w:div>
    <w:div w:id="1822308838">
      <w:bodyDiv w:val="1"/>
      <w:marLeft w:val="0"/>
      <w:marRight w:val="0"/>
      <w:marTop w:val="0"/>
      <w:marBottom w:val="0"/>
      <w:divBdr>
        <w:top w:val="none" w:sz="0" w:space="0" w:color="auto"/>
        <w:left w:val="none" w:sz="0" w:space="0" w:color="auto"/>
        <w:bottom w:val="none" w:sz="0" w:space="0" w:color="auto"/>
        <w:right w:val="none" w:sz="0" w:space="0" w:color="auto"/>
      </w:divBdr>
    </w:div>
    <w:div w:id="18950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46E1AF3421341972FB4485EAE151A" ma:contentTypeVersion="0" ma:contentTypeDescription="Create a new document." ma:contentTypeScope="" ma:versionID="8d5e356dbed2d778f6e418b2c2e755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B1CCD-8769-460A-82E4-E63BE5412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F41CDE-989E-4114-A919-C3BFA8D99BEB}">
  <ds:schemaRefs>
    <ds:schemaRef ds:uri="http://schemas.microsoft.com/sharepoint/v3/contenttype/forms"/>
  </ds:schemaRefs>
</ds:datastoreItem>
</file>

<file path=customXml/itemProps3.xml><?xml version="1.0" encoding="utf-8"?>
<ds:datastoreItem xmlns:ds="http://schemas.openxmlformats.org/officeDocument/2006/customXml" ds:itemID="{C37EE97B-6C42-4FED-8327-EC4A7F8B9CE8}">
  <ds:schemaRefs>
    <ds:schemaRef ds:uri="http://schemas.microsoft.com/office/2006/metadata/properties"/>
  </ds:schemaRefs>
</ds:datastoreItem>
</file>

<file path=customXml/itemProps4.xml><?xml version="1.0" encoding="utf-8"?>
<ds:datastoreItem xmlns:ds="http://schemas.openxmlformats.org/officeDocument/2006/customXml" ds:itemID="{3B4FEC91-121E-49C7-8CDE-6D0B0A43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3829</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MT</Company>
  <LinksUpToDate>false</LinksUpToDate>
  <CharactersWithSpaces>25609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marijak</dc:creator>
  <cp:lastModifiedBy>Sinisa Apostoloski</cp:lastModifiedBy>
  <cp:revision>3</cp:revision>
  <cp:lastPrinted>2013-10-14T07:35:00Z</cp:lastPrinted>
  <dcterms:created xsi:type="dcterms:W3CDTF">2017-03-30T09:09:00Z</dcterms:created>
  <dcterms:modified xsi:type="dcterms:W3CDTF">2017-03-30T09:19:00Z</dcterms:modified>
</cp:coreProperties>
</file>