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C94" w:rsidRDefault="005865C2">
      <w:pPr>
        <w:pStyle w:val="TableofFigures"/>
        <w:tabs>
          <w:tab w:val="right" w:leader="dot" w:pos="10340"/>
        </w:tabs>
        <w:rPr>
          <w:lang w:val="mk-MK"/>
        </w:rPr>
      </w:pPr>
      <w:bookmarkStart w:id="0" w:name="_GoBack"/>
      <w:bookmarkEnd w:id="0"/>
      <w:permStart w:id="1289162467" w:edGrp="everyone"/>
      <w:r w:rsidRPr="005865C2">
        <w:rPr>
          <w:noProof/>
          <w:lang w:val="mk-MK" w:eastAsia="mk-MK" w:bidi="ar-SA"/>
        </w:rPr>
        <w:drawing>
          <wp:anchor distT="0" distB="0" distL="114300" distR="114300" simplePos="0" relativeHeight="251677696" behindDoc="1" locked="0" layoutInCell="1" allowOverlap="1" wp14:anchorId="5032C7DB" wp14:editId="472A0C34">
            <wp:simplePos x="0" y="0"/>
            <wp:positionH relativeFrom="column">
              <wp:posOffset>-696743</wp:posOffset>
            </wp:positionH>
            <wp:positionV relativeFrom="paragraph">
              <wp:posOffset>-441045</wp:posOffset>
            </wp:positionV>
            <wp:extent cx="7891574" cy="10717618"/>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891574" cy="10717618"/>
                    </a:xfrm>
                    <a:prstGeom prst="rect">
                      <a:avLst/>
                    </a:prstGeom>
                    <a:noFill/>
                    <a:ln w="9525">
                      <a:noFill/>
                      <a:miter lim="800000"/>
                      <a:headEnd/>
                      <a:tailEnd/>
                    </a:ln>
                  </pic:spPr>
                </pic:pic>
              </a:graphicData>
            </a:graphic>
          </wp:anchor>
        </w:drawing>
      </w:r>
      <w:permEnd w:id="1289162467"/>
    </w:p>
    <w:p w:rsidR="00A45C94" w:rsidRDefault="00D3204F" w:rsidP="00A45C94">
      <w:pPr>
        <w:rPr>
          <w:lang w:val="mk-MK"/>
        </w:rPr>
      </w:pPr>
      <w:r>
        <w:rPr>
          <w:noProof/>
          <w:lang w:bidi="ar-SA"/>
        </w:rPr>
        <w:pict>
          <v:shapetype id="_x0000_t202" coordsize="21600,21600" o:spt="202" path="m,l,21600r21600,l21600,xe">
            <v:stroke joinstyle="miter"/>
            <v:path gradientshapeok="t" o:connecttype="rect"/>
          </v:shapetype>
          <v:shape id="_x0000_s1092" type="#_x0000_t202" style="position:absolute;left:0;text-align:left;margin-left:-1.1pt;margin-top:96.55pt;width:479.7pt;height:116.35pt;z-index:251678720" filled="f" stroked="f">
            <v:textbox>
              <w:txbxContent>
                <w:p w:rsidR="00AD3593" w:rsidRPr="00F6130F" w:rsidRDefault="00AD3593" w:rsidP="00F6130F">
                  <w:pPr>
                    <w:jc w:val="center"/>
                  </w:pPr>
                  <w:r>
                    <w:rPr>
                      <w:rFonts w:ascii="Cambria" w:hAnsi="Cambria"/>
                      <w:color w:val="FFFFFF"/>
                      <w:sz w:val="56"/>
                      <w:szCs w:val="56"/>
                      <w:lang w:val="mk-MK"/>
                    </w:rPr>
                    <w:t>Годишен и</w:t>
                  </w:r>
                  <w:r w:rsidRPr="000001C7">
                    <w:rPr>
                      <w:rFonts w:ascii="Cambria" w:hAnsi="Cambria"/>
                      <w:color w:val="FFFFFF"/>
                      <w:sz w:val="56"/>
                      <w:szCs w:val="56"/>
                      <w:lang w:val="mk-MK"/>
                    </w:rPr>
                    <w:t>звештај за развојот на пазарот на ел</w:t>
                  </w:r>
                  <w:r>
                    <w:rPr>
                      <w:rFonts w:ascii="Cambria" w:hAnsi="Cambria"/>
                      <w:color w:val="FFFFFF"/>
                      <w:sz w:val="56"/>
                      <w:szCs w:val="56"/>
                      <w:lang w:val="mk-MK"/>
                    </w:rPr>
                    <w:t xml:space="preserve">ектронски комуникации за </w:t>
                  </w:r>
                  <w:r w:rsidRPr="000001C7">
                    <w:rPr>
                      <w:rFonts w:ascii="Cambria" w:hAnsi="Cambria"/>
                      <w:color w:val="FFFFFF"/>
                      <w:sz w:val="56"/>
                      <w:szCs w:val="56"/>
                      <w:lang w:val="mk-MK"/>
                    </w:rPr>
                    <w:t>2011 година</w:t>
                  </w:r>
                </w:p>
              </w:txbxContent>
            </v:textbox>
          </v:shape>
        </w:pict>
      </w:r>
      <w:r w:rsidR="00787B56" w:rsidRPr="00787B56">
        <w:rPr>
          <w:noProof/>
        </w:rPr>
        <w:t xml:space="preserve"> </w:t>
      </w:r>
      <w:r w:rsidR="00647C55" w:rsidRPr="00647C55">
        <w:rPr>
          <w:noProof/>
        </w:rPr>
        <w:t xml:space="preserve"> </w:t>
      </w:r>
      <w:r w:rsidR="00A45C94">
        <w:rPr>
          <w:lang w:val="mk-MK"/>
        </w:rPr>
        <w:br w:type="page"/>
      </w:r>
    </w:p>
    <w:p w:rsidR="0025721B" w:rsidRPr="00447254" w:rsidRDefault="0025721B">
      <w:pPr>
        <w:pStyle w:val="TableofFigures"/>
        <w:tabs>
          <w:tab w:val="right" w:leader="dot" w:pos="10340"/>
        </w:tabs>
        <w:rPr>
          <w:b/>
          <w:lang w:val="mk-MK"/>
        </w:rPr>
      </w:pPr>
      <w:r w:rsidRPr="00447254">
        <w:rPr>
          <w:b/>
          <w:lang w:val="mk-MK"/>
        </w:rPr>
        <w:lastRenderedPageBreak/>
        <w:t>Содржина:</w:t>
      </w:r>
    </w:p>
    <w:p w:rsidR="00AD3593" w:rsidRDefault="001E0707">
      <w:pPr>
        <w:pStyle w:val="TOC1"/>
        <w:tabs>
          <w:tab w:val="right" w:leader="dot" w:pos="10342"/>
        </w:tabs>
        <w:rPr>
          <w:noProof/>
          <w:lang w:bidi="ar-SA"/>
        </w:rPr>
      </w:pPr>
      <w:r>
        <w:rPr>
          <w:lang w:val="mk-MK"/>
        </w:rPr>
        <w:fldChar w:fldCharType="begin"/>
      </w:r>
      <w:r w:rsidR="0025721B">
        <w:rPr>
          <w:lang w:val="mk-MK"/>
        </w:rPr>
        <w:instrText xml:space="preserve"> TOC \o "1-3" \h \z \u </w:instrText>
      </w:r>
      <w:r>
        <w:rPr>
          <w:lang w:val="mk-MK"/>
        </w:rPr>
        <w:fldChar w:fldCharType="separate"/>
      </w:r>
      <w:hyperlink w:anchor="_Toc327269921" w:history="1">
        <w:r w:rsidR="00AD3593" w:rsidRPr="00613BF1">
          <w:rPr>
            <w:rStyle w:val="Hyperlink"/>
            <w:noProof/>
            <w:lang w:val="mk-MK"/>
          </w:rPr>
          <w:t>1.Вовед</w:t>
        </w:r>
        <w:r w:rsidR="00AD3593">
          <w:rPr>
            <w:noProof/>
            <w:webHidden/>
          </w:rPr>
          <w:tab/>
        </w:r>
        <w:r w:rsidR="00AD3593">
          <w:rPr>
            <w:noProof/>
            <w:webHidden/>
          </w:rPr>
          <w:fldChar w:fldCharType="begin"/>
        </w:r>
        <w:r w:rsidR="00AD3593">
          <w:rPr>
            <w:noProof/>
            <w:webHidden/>
          </w:rPr>
          <w:instrText xml:space="preserve"> PAGEREF _Toc327269921 \h </w:instrText>
        </w:r>
        <w:r w:rsidR="00AD3593">
          <w:rPr>
            <w:noProof/>
            <w:webHidden/>
          </w:rPr>
        </w:r>
        <w:r w:rsidR="00AD3593">
          <w:rPr>
            <w:noProof/>
            <w:webHidden/>
          </w:rPr>
          <w:fldChar w:fldCharType="separate"/>
        </w:r>
        <w:r w:rsidR="00AD3593">
          <w:rPr>
            <w:noProof/>
            <w:webHidden/>
          </w:rPr>
          <w:t>5</w:t>
        </w:r>
        <w:r w:rsidR="00AD3593">
          <w:rPr>
            <w:noProof/>
            <w:webHidden/>
          </w:rPr>
          <w:fldChar w:fldCharType="end"/>
        </w:r>
      </w:hyperlink>
    </w:p>
    <w:p w:rsidR="00AD3593" w:rsidRDefault="00D3204F">
      <w:pPr>
        <w:pStyle w:val="TOC1"/>
        <w:tabs>
          <w:tab w:val="right" w:leader="dot" w:pos="10342"/>
        </w:tabs>
        <w:rPr>
          <w:noProof/>
          <w:lang w:bidi="ar-SA"/>
        </w:rPr>
      </w:pPr>
      <w:hyperlink w:anchor="_Toc327269922" w:history="1">
        <w:r w:rsidR="00AD3593" w:rsidRPr="00613BF1">
          <w:rPr>
            <w:rStyle w:val="Hyperlink"/>
            <w:noProof/>
            <w:lang w:val="mk-MK"/>
          </w:rPr>
          <w:t>2.Фиксна телефонија</w:t>
        </w:r>
        <w:r w:rsidR="00AD3593">
          <w:rPr>
            <w:noProof/>
            <w:webHidden/>
          </w:rPr>
          <w:tab/>
        </w:r>
        <w:r w:rsidR="00AD3593">
          <w:rPr>
            <w:noProof/>
            <w:webHidden/>
          </w:rPr>
          <w:fldChar w:fldCharType="begin"/>
        </w:r>
        <w:r w:rsidR="00AD3593">
          <w:rPr>
            <w:noProof/>
            <w:webHidden/>
          </w:rPr>
          <w:instrText xml:space="preserve"> PAGEREF _Toc327269922 \h </w:instrText>
        </w:r>
        <w:r w:rsidR="00AD3593">
          <w:rPr>
            <w:noProof/>
            <w:webHidden/>
          </w:rPr>
        </w:r>
        <w:r w:rsidR="00AD3593">
          <w:rPr>
            <w:noProof/>
            <w:webHidden/>
          </w:rPr>
          <w:fldChar w:fldCharType="separate"/>
        </w:r>
        <w:r w:rsidR="00AD3593">
          <w:rPr>
            <w:noProof/>
            <w:webHidden/>
          </w:rPr>
          <w:t>11</w:t>
        </w:r>
        <w:r w:rsidR="00AD3593">
          <w:rPr>
            <w:noProof/>
            <w:webHidden/>
          </w:rPr>
          <w:fldChar w:fldCharType="end"/>
        </w:r>
      </w:hyperlink>
    </w:p>
    <w:p w:rsidR="00AD3593" w:rsidRDefault="00D3204F">
      <w:pPr>
        <w:pStyle w:val="TOC1"/>
        <w:tabs>
          <w:tab w:val="right" w:leader="dot" w:pos="10342"/>
        </w:tabs>
        <w:rPr>
          <w:noProof/>
          <w:lang w:bidi="ar-SA"/>
        </w:rPr>
      </w:pPr>
      <w:hyperlink w:anchor="_Toc327269923" w:history="1">
        <w:r w:rsidR="00AD3593" w:rsidRPr="00613BF1">
          <w:rPr>
            <w:rStyle w:val="Hyperlink"/>
            <w:noProof/>
            <w:lang w:val="mk-MK"/>
          </w:rPr>
          <w:t xml:space="preserve">2.1 </w:t>
        </w:r>
        <w:r w:rsidR="00AD3593" w:rsidRPr="00613BF1">
          <w:rPr>
            <w:rStyle w:val="Hyperlink"/>
            <w:noProof/>
          </w:rPr>
          <w:t>Вкупен број на фиксни линии</w:t>
        </w:r>
        <w:r w:rsidR="00AD3593">
          <w:rPr>
            <w:noProof/>
            <w:webHidden/>
          </w:rPr>
          <w:tab/>
        </w:r>
        <w:r w:rsidR="00AD3593">
          <w:rPr>
            <w:noProof/>
            <w:webHidden/>
          </w:rPr>
          <w:fldChar w:fldCharType="begin"/>
        </w:r>
        <w:r w:rsidR="00AD3593">
          <w:rPr>
            <w:noProof/>
            <w:webHidden/>
          </w:rPr>
          <w:instrText xml:space="preserve"> PAGEREF _Toc327269923 \h </w:instrText>
        </w:r>
        <w:r w:rsidR="00AD3593">
          <w:rPr>
            <w:noProof/>
            <w:webHidden/>
          </w:rPr>
        </w:r>
        <w:r w:rsidR="00AD3593">
          <w:rPr>
            <w:noProof/>
            <w:webHidden/>
          </w:rPr>
          <w:fldChar w:fldCharType="separate"/>
        </w:r>
        <w:r w:rsidR="00AD3593">
          <w:rPr>
            <w:noProof/>
            <w:webHidden/>
          </w:rPr>
          <w:t>13</w:t>
        </w:r>
        <w:r w:rsidR="00AD3593">
          <w:rPr>
            <w:noProof/>
            <w:webHidden/>
          </w:rPr>
          <w:fldChar w:fldCharType="end"/>
        </w:r>
      </w:hyperlink>
    </w:p>
    <w:p w:rsidR="00AD3593" w:rsidRDefault="00D3204F">
      <w:pPr>
        <w:pStyle w:val="TOC1"/>
        <w:tabs>
          <w:tab w:val="right" w:leader="dot" w:pos="10342"/>
        </w:tabs>
        <w:rPr>
          <w:noProof/>
          <w:lang w:bidi="ar-SA"/>
        </w:rPr>
      </w:pPr>
      <w:hyperlink w:anchor="_Toc327269924" w:history="1">
        <w:r w:rsidR="00AD3593" w:rsidRPr="00613BF1">
          <w:rPr>
            <w:rStyle w:val="Hyperlink"/>
            <w:noProof/>
            <w:lang w:val="mk-MK"/>
          </w:rPr>
          <w:t>2</w:t>
        </w:r>
        <w:r w:rsidR="00AD3593" w:rsidRPr="00613BF1">
          <w:rPr>
            <w:rStyle w:val="Hyperlink"/>
            <w:noProof/>
          </w:rPr>
          <w:t>.2 Вкупен појдовен телефонски сообраќај (минути)</w:t>
        </w:r>
        <w:r w:rsidR="00AD3593">
          <w:rPr>
            <w:noProof/>
            <w:webHidden/>
          </w:rPr>
          <w:tab/>
        </w:r>
        <w:r w:rsidR="00AD3593">
          <w:rPr>
            <w:noProof/>
            <w:webHidden/>
          </w:rPr>
          <w:fldChar w:fldCharType="begin"/>
        </w:r>
        <w:r w:rsidR="00AD3593">
          <w:rPr>
            <w:noProof/>
            <w:webHidden/>
          </w:rPr>
          <w:instrText xml:space="preserve"> PAGEREF _Toc327269924 \h </w:instrText>
        </w:r>
        <w:r w:rsidR="00AD3593">
          <w:rPr>
            <w:noProof/>
            <w:webHidden/>
          </w:rPr>
        </w:r>
        <w:r w:rsidR="00AD3593">
          <w:rPr>
            <w:noProof/>
            <w:webHidden/>
          </w:rPr>
          <w:fldChar w:fldCharType="separate"/>
        </w:r>
        <w:r w:rsidR="00AD3593">
          <w:rPr>
            <w:noProof/>
            <w:webHidden/>
          </w:rPr>
          <w:t>14</w:t>
        </w:r>
        <w:r w:rsidR="00AD3593">
          <w:rPr>
            <w:noProof/>
            <w:webHidden/>
          </w:rPr>
          <w:fldChar w:fldCharType="end"/>
        </w:r>
      </w:hyperlink>
    </w:p>
    <w:p w:rsidR="00AD3593" w:rsidRDefault="00D3204F">
      <w:pPr>
        <w:pStyle w:val="TOC1"/>
        <w:tabs>
          <w:tab w:val="right" w:leader="dot" w:pos="10342"/>
        </w:tabs>
        <w:rPr>
          <w:noProof/>
          <w:lang w:bidi="ar-SA"/>
        </w:rPr>
      </w:pPr>
      <w:hyperlink w:anchor="_Toc327269925" w:history="1">
        <w:r w:rsidR="00AD3593" w:rsidRPr="00613BF1">
          <w:rPr>
            <w:rStyle w:val="Hyperlink"/>
            <w:noProof/>
            <w:lang w:val="mk-MK"/>
          </w:rPr>
          <w:t>2</w:t>
        </w:r>
        <w:r w:rsidR="00AD3593" w:rsidRPr="00613BF1">
          <w:rPr>
            <w:rStyle w:val="Hyperlink"/>
            <w:noProof/>
          </w:rPr>
          <w:t xml:space="preserve">.3 Приходи од </w:t>
        </w:r>
        <w:r w:rsidR="00AD3593" w:rsidRPr="00613BF1">
          <w:rPr>
            <w:rStyle w:val="Hyperlink"/>
            <w:noProof/>
            <w:lang w:val="mk-MK"/>
          </w:rPr>
          <w:t>реализиран телефонски сообраќај</w:t>
        </w:r>
        <w:r w:rsidR="00AD3593" w:rsidRPr="00613BF1">
          <w:rPr>
            <w:rStyle w:val="Hyperlink"/>
            <w:noProof/>
          </w:rPr>
          <w:t xml:space="preserve"> на пазарот за фиксна телефонија</w:t>
        </w:r>
        <w:r w:rsidR="00AD3593">
          <w:rPr>
            <w:noProof/>
            <w:webHidden/>
          </w:rPr>
          <w:tab/>
        </w:r>
        <w:r w:rsidR="00AD3593">
          <w:rPr>
            <w:noProof/>
            <w:webHidden/>
          </w:rPr>
          <w:fldChar w:fldCharType="begin"/>
        </w:r>
        <w:r w:rsidR="00AD3593">
          <w:rPr>
            <w:noProof/>
            <w:webHidden/>
          </w:rPr>
          <w:instrText xml:space="preserve"> PAGEREF _Toc327269925 \h </w:instrText>
        </w:r>
        <w:r w:rsidR="00AD3593">
          <w:rPr>
            <w:noProof/>
            <w:webHidden/>
          </w:rPr>
        </w:r>
        <w:r w:rsidR="00AD3593">
          <w:rPr>
            <w:noProof/>
            <w:webHidden/>
          </w:rPr>
          <w:fldChar w:fldCharType="separate"/>
        </w:r>
        <w:r w:rsidR="00AD3593">
          <w:rPr>
            <w:noProof/>
            <w:webHidden/>
          </w:rPr>
          <w:t>15</w:t>
        </w:r>
        <w:r w:rsidR="00AD3593">
          <w:rPr>
            <w:noProof/>
            <w:webHidden/>
          </w:rPr>
          <w:fldChar w:fldCharType="end"/>
        </w:r>
      </w:hyperlink>
    </w:p>
    <w:p w:rsidR="00AD3593" w:rsidRDefault="00D3204F">
      <w:pPr>
        <w:pStyle w:val="TOC1"/>
        <w:tabs>
          <w:tab w:val="right" w:leader="dot" w:pos="10342"/>
        </w:tabs>
        <w:rPr>
          <w:noProof/>
          <w:lang w:bidi="ar-SA"/>
        </w:rPr>
      </w:pPr>
      <w:hyperlink w:anchor="_Toc327269926" w:history="1">
        <w:r w:rsidR="00AD3593" w:rsidRPr="00613BF1">
          <w:rPr>
            <w:rStyle w:val="Hyperlink"/>
            <w:noProof/>
            <w:lang w:val="mk-MK"/>
          </w:rPr>
          <w:t>3. Мобилна телефонија</w:t>
        </w:r>
        <w:r w:rsidR="00AD3593">
          <w:rPr>
            <w:noProof/>
            <w:webHidden/>
          </w:rPr>
          <w:tab/>
        </w:r>
        <w:r w:rsidR="00AD3593">
          <w:rPr>
            <w:noProof/>
            <w:webHidden/>
          </w:rPr>
          <w:fldChar w:fldCharType="begin"/>
        </w:r>
        <w:r w:rsidR="00AD3593">
          <w:rPr>
            <w:noProof/>
            <w:webHidden/>
          </w:rPr>
          <w:instrText xml:space="preserve"> PAGEREF _Toc327269926 \h </w:instrText>
        </w:r>
        <w:r w:rsidR="00AD3593">
          <w:rPr>
            <w:noProof/>
            <w:webHidden/>
          </w:rPr>
        </w:r>
        <w:r w:rsidR="00AD3593">
          <w:rPr>
            <w:noProof/>
            <w:webHidden/>
          </w:rPr>
          <w:fldChar w:fldCharType="separate"/>
        </w:r>
        <w:r w:rsidR="00AD3593">
          <w:rPr>
            <w:noProof/>
            <w:webHidden/>
          </w:rPr>
          <w:t>23</w:t>
        </w:r>
        <w:r w:rsidR="00AD3593">
          <w:rPr>
            <w:noProof/>
            <w:webHidden/>
          </w:rPr>
          <w:fldChar w:fldCharType="end"/>
        </w:r>
      </w:hyperlink>
    </w:p>
    <w:p w:rsidR="00AD3593" w:rsidRDefault="00D3204F">
      <w:pPr>
        <w:pStyle w:val="TOC1"/>
        <w:tabs>
          <w:tab w:val="right" w:leader="dot" w:pos="10342"/>
        </w:tabs>
        <w:rPr>
          <w:noProof/>
          <w:lang w:bidi="ar-SA"/>
        </w:rPr>
      </w:pPr>
      <w:hyperlink w:anchor="_Toc327269927" w:history="1">
        <w:r w:rsidR="00AD3593" w:rsidRPr="00613BF1">
          <w:rPr>
            <w:rStyle w:val="Hyperlink"/>
            <w:noProof/>
            <w:lang w:val="mk-MK"/>
          </w:rPr>
          <w:t>3.1 Број на активни претплатници</w:t>
        </w:r>
        <w:r w:rsidR="00AD3593">
          <w:rPr>
            <w:noProof/>
            <w:webHidden/>
          </w:rPr>
          <w:tab/>
        </w:r>
        <w:r w:rsidR="00AD3593">
          <w:rPr>
            <w:noProof/>
            <w:webHidden/>
          </w:rPr>
          <w:fldChar w:fldCharType="begin"/>
        </w:r>
        <w:r w:rsidR="00AD3593">
          <w:rPr>
            <w:noProof/>
            <w:webHidden/>
          </w:rPr>
          <w:instrText xml:space="preserve"> PAGEREF _Toc327269927 \h </w:instrText>
        </w:r>
        <w:r w:rsidR="00AD3593">
          <w:rPr>
            <w:noProof/>
            <w:webHidden/>
          </w:rPr>
        </w:r>
        <w:r w:rsidR="00AD3593">
          <w:rPr>
            <w:noProof/>
            <w:webHidden/>
          </w:rPr>
          <w:fldChar w:fldCharType="separate"/>
        </w:r>
        <w:r w:rsidR="00AD3593">
          <w:rPr>
            <w:noProof/>
            <w:webHidden/>
          </w:rPr>
          <w:t>25</w:t>
        </w:r>
        <w:r w:rsidR="00AD3593">
          <w:rPr>
            <w:noProof/>
            <w:webHidden/>
          </w:rPr>
          <w:fldChar w:fldCharType="end"/>
        </w:r>
      </w:hyperlink>
    </w:p>
    <w:p w:rsidR="00AD3593" w:rsidRDefault="00D3204F">
      <w:pPr>
        <w:pStyle w:val="TOC1"/>
        <w:tabs>
          <w:tab w:val="right" w:leader="dot" w:pos="10342"/>
        </w:tabs>
        <w:rPr>
          <w:noProof/>
          <w:lang w:bidi="ar-SA"/>
        </w:rPr>
      </w:pPr>
      <w:hyperlink w:anchor="_Toc327269928" w:history="1">
        <w:r w:rsidR="00AD3593" w:rsidRPr="00613BF1">
          <w:rPr>
            <w:rStyle w:val="Hyperlink"/>
            <w:noProof/>
            <w:lang w:val="mk-MK"/>
          </w:rPr>
          <w:t>3.2 Удел на пазарот за мобилна телефонија според активни претплатници</w:t>
        </w:r>
        <w:r w:rsidR="00AD3593">
          <w:rPr>
            <w:noProof/>
            <w:webHidden/>
          </w:rPr>
          <w:tab/>
        </w:r>
        <w:r w:rsidR="00AD3593">
          <w:rPr>
            <w:noProof/>
            <w:webHidden/>
          </w:rPr>
          <w:fldChar w:fldCharType="begin"/>
        </w:r>
        <w:r w:rsidR="00AD3593">
          <w:rPr>
            <w:noProof/>
            <w:webHidden/>
          </w:rPr>
          <w:instrText xml:space="preserve"> PAGEREF _Toc327269928 \h </w:instrText>
        </w:r>
        <w:r w:rsidR="00AD3593">
          <w:rPr>
            <w:noProof/>
            <w:webHidden/>
          </w:rPr>
        </w:r>
        <w:r w:rsidR="00AD3593">
          <w:rPr>
            <w:noProof/>
            <w:webHidden/>
          </w:rPr>
          <w:fldChar w:fldCharType="separate"/>
        </w:r>
        <w:r w:rsidR="00AD3593">
          <w:rPr>
            <w:noProof/>
            <w:webHidden/>
          </w:rPr>
          <w:t>26</w:t>
        </w:r>
        <w:r w:rsidR="00AD3593">
          <w:rPr>
            <w:noProof/>
            <w:webHidden/>
          </w:rPr>
          <w:fldChar w:fldCharType="end"/>
        </w:r>
      </w:hyperlink>
    </w:p>
    <w:p w:rsidR="00AD3593" w:rsidRDefault="00D3204F">
      <w:pPr>
        <w:pStyle w:val="TOC1"/>
        <w:tabs>
          <w:tab w:val="right" w:leader="dot" w:pos="10342"/>
        </w:tabs>
        <w:rPr>
          <w:noProof/>
          <w:lang w:bidi="ar-SA"/>
        </w:rPr>
      </w:pPr>
      <w:hyperlink w:anchor="_Toc327269929" w:history="1">
        <w:r w:rsidR="00AD3593" w:rsidRPr="00613BF1">
          <w:rPr>
            <w:rStyle w:val="Hyperlink"/>
            <w:noProof/>
            <w:lang w:val="mk-MK"/>
          </w:rPr>
          <w:t>3.3 Видови претплатници</w:t>
        </w:r>
        <w:r w:rsidR="00AD3593">
          <w:rPr>
            <w:noProof/>
            <w:webHidden/>
          </w:rPr>
          <w:tab/>
        </w:r>
        <w:r w:rsidR="00AD3593">
          <w:rPr>
            <w:noProof/>
            <w:webHidden/>
          </w:rPr>
          <w:fldChar w:fldCharType="begin"/>
        </w:r>
        <w:r w:rsidR="00AD3593">
          <w:rPr>
            <w:noProof/>
            <w:webHidden/>
          </w:rPr>
          <w:instrText xml:space="preserve"> PAGEREF _Toc327269929 \h </w:instrText>
        </w:r>
        <w:r w:rsidR="00AD3593">
          <w:rPr>
            <w:noProof/>
            <w:webHidden/>
          </w:rPr>
        </w:r>
        <w:r w:rsidR="00AD3593">
          <w:rPr>
            <w:noProof/>
            <w:webHidden/>
          </w:rPr>
          <w:fldChar w:fldCharType="separate"/>
        </w:r>
        <w:r w:rsidR="00AD3593">
          <w:rPr>
            <w:noProof/>
            <w:webHidden/>
          </w:rPr>
          <w:t>27</w:t>
        </w:r>
        <w:r w:rsidR="00AD3593">
          <w:rPr>
            <w:noProof/>
            <w:webHidden/>
          </w:rPr>
          <w:fldChar w:fldCharType="end"/>
        </w:r>
      </w:hyperlink>
    </w:p>
    <w:p w:rsidR="00AD3593" w:rsidRDefault="00D3204F">
      <w:pPr>
        <w:pStyle w:val="TOC1"/>
        <w:tabs>
          <w:tab w:val="right" w:leader="dot" w:pos="10342"/>
        </w:tabs>
        <w:rPr>
          <w:noProof/>
          <w:lang w:bidi="ar-SA"/>
        </w:rPr>
      </w:pPr>
      <w:hyperlink w:anchor="_Toc327269930" w:history="1">
        <w:r w:rsidR="00AD3593" w:rsidRPr="00613BF1">
          <w:rPr>
            <w:rStyle w:val="Hyperlink"/>
            <w:noProof/>
            <w:lang w:val="mk-MK"/>
          </w:rPr>
          <w:t>3.4 Вкупен појдовен телефонски сообраќај</w:t>
        </w:r>
        <w:r w:rsidR="00AD3593">
          <w:rPr>
            <w:noProof/>
            <w:webHidden/>
          </w:rPr>
          <w:tab/>
        </w:r>
        <w:r w:rsidR="00AD3593">
          <w:rPr>
            <w:noProof/>
            <w:webHidden/>
          </w:rPr>
          <w:fldChar w:fldCharType="begin"/>
        </w:r>
        <w:r w:rsidR="00AD3593">
          <w:rPr>
            <w:noProof/>
            <w:webHidden/>
          </w:rPr>
          <w:instrText xml:space="preserve"> PAGEREF _Toc327269930 \h </w:instrText>
        </w:r>
        <w:r w:rsidR="00AD3593">
          <w:rPr>
            <w:noProof/>
            <w:webHidden/>
          </w:rPr>
        </w:r>
        <w:r w:rsidR="00AD3593">
          <w:rPr>
            <w:noProof/>
            <w:webHidden/>
          </w:rPr>
          <w:fldChar w:fldCharType="separate"/>
        </w:r>
        <w:r w:rsidR="00AD3593">
          <w:rPr>
            <w:noProof/>
            <w:webHidden/>
          </w:rPr>
          <w:t>28</w:t>
        </w:r>
        <w:r w:rsidR="00AD3593">
          <w:rPr>
            <w:noProof/>
            <w:webHidden/>
          </w:rPr>
          <w:fldChar w:fldCharType="end"/>
        </w:r>
      </w:hyperlink>
    </w:p>
    <w:p w:rsidR="00AD3593" w:rsidRDefault="00D3204F">
      <w:pPr>
        <w:pStyle w:val="TOC1"/>
        <w:tabs>
          <w:tab w:val="right" w:leader="dot" w:pos="10342"/>
        </w:tabs>
        <w:rPr>
          <w:noProof/>
          <w:lang w:bidi="ar-SA"/>
        </w:rPr>
      </w:pPr>
      <w:hyperlink w:anchor="_Toc327269931" w:history="1">
        <w:r w:rsidR="00AD3593" w:rsidRPr="00613BF1">
          <w:rPr>
            <w:rStyle w:val="Hyperlink"/>
            <w:noProof/>
            <w:lang w:val="mk-MK"/>
          </w:rPr>
          <w:t>3.5 Испратени СМС и ММС пораки</w:t>
        </w:r>
        <w:r w:rsidR="00AD3593">
          <w:rPr>
            <w:noProof/>
            <w:webHidden/>
          </w:rPr>
          <w:tab/>
        </w:r>
        <w:r w:rsidR="00AD3593">
          <w:rPr>
            <w:noProof/>
            <w:webHidden/>
          </w:rPr>
          <w:fldChar w:fldCharType="begin"/>
        </w:r>
        <w:r w:rsidR="00AD3593">
          <w:rPr>
            <w:noProof/>
            <w:webHidden/>
          </w:rPr>
          <w:instrText xml:space="preserve"> PAGEREF _Toc327269931 \h </w:instrText>
        </w:r>
        <w:r w:rsidR="00AD3593">
          <w:rPr>
            <w:noProof/>
            <w:webHidden/>
          </w:rPr>
        </w:r>
        <w:r w:rsidR="00AD3593">
          <w:rPr>
            <w:noProof/>
            <w:webHidden/>
          </w:rPr>
          <w:fldChar w:fldCharType="separate"/>
        </w:r>
        <w:r w:rsidR="00AD3593">
          <w:rPr>
            <w:noProof/>
            <w:webHidden/>
          </w:rPr>
          <w:t>32</w:t>
        </w:r>
        <w:r w:rsidR="00AD3593">
          <w:rPr>
            <w:noProof/>
            <w:webHidden/>
          </w:rPr>
          <w:fldChar w:fldCharType="end"/>
        </w:r>
      </w:hyperlink>
    </w:p>
    <w:p w:rsidR="00AD3593" w:rsidRDefault="00D3204F">
      <w:pPr>
        <w:pStyle w:val="TOC1"/>
        <w:tabs>
          <w:tab w:val="right" w:leader="dot" w:pos="10342"/>
        </w:tabs>
        <w:rPr>
          <w:noProof/>
          <w:lang w:bidi="ar-SA"/>
        </w:rPr>
      </w:pPr>
      <w:hyperlink w:anchor="_Toc327269932" w:history="1">
        <w:r w:rsidR="00AD3593" w:rsidRPr="00613BF1">
          <w:rPr>
            <w:rStyle w:val="Hyperlink"/>
            <w:noProof/>
            <w:lang w:val="mk-MK"/>
          </w:rPr>
          <w:t>4. Пристап до интернет</w:t>
        </w:r>
        <w:r w:rsidR="00AD3593">
          <w:rPr>
            <w:noProof/>
            <w:webHidden/>
          </w:rPr>
          <w:tab/>
        </w:r>
        <w:r w:rsidR="00AD3593">
          <w:rPr>
            <w:noProof/>
            <w:webHidden/>
          </w:rPr>
          <w:fldChar w:fldCharType="begin"/>
        </w:r>
        <w:r w:rsidR="00AD3593">
          <w:rPr>
            <w:noProof/>
            <w:webHidden/>
          </w:rPr>
          <w:instrText xml:space="preserve"> PAGEREF _Toc327269932 \h </w:instrText>
        </w:r>
        <w:r w:rsidR="00AD3593">
          <w:rPr>
            <w:noProof/>
            <w:webHidden/>
          </w:rPr>
        </w:r>
        <w:r w:rsidR="00AD3593">
          <w:rPr>
            <w:noProof/>
            <w:webHidden/>
          </w:rPr>
          <w:fldChar w:fldCharType="separate"/>
        </w:r>
        <w:r w:rsidR="00AD3593">
          <w:rPr>
            <w:noProof/>
            <w:webHidden/>
          </w:rPr>
          <w:t>33</w:t>
        </w:r>
        <w:r w:rsidR="00AD3593">
          <w:rPr>
            <w:noProof/>
            <w:webHidden/>
          </w:rPr>
          <w:fldChar w:fldCharType="end"/>
        </w:r>
      </w:hyperlink>
    </w:p>
    <w:p w:rsidR="00AD3593" w:rsidRDefault="00D3204F">
      <w:pPr>
        <w:pStyle w:val="TOC1"/>
        <w:tabs>
          <w:tab w:val="right" w:leader="dot" w:pos="10342"/>
        </w:tabs>
        <w:rPr>
          <w:noProof/>
          <w:lang w:bidi="ar-SA"/>
        </w:rPr>
      </w:pPr>
      <w:hyperlink w:anchor="_Toc327269933" w:history="1">
        <w:r w:rsidR="00AD3593" w:rsidRPr="00613BF1">
          <w:rPr>
            <w:rStyle w:val="Hyperlink"/>
            <w:noProof/>
            <w:lang w:val="mk-MK"/>
          </w:rPr>
          <w:t>5. Пренос на радио и ТВ сигнали до крајни корисници</w:t>
        </w:r>
        <w:r w:rsidR="00AD3593">
          <w:rPr>
            <w:noProof/>
            <w:webHidden/>
          </w:rPr>
          <w:tab/>
        </w:r>
        <w:r w:rsidR="00AD3593">
          <w:rPr>
            <w:noProof/>
            <w:webHidden/>
          </w:rPr>
          <w:fldChar w:fldCharType="begin"/>
        </w:r>
        <w:r w:rsidR="00AD3593">
          <w:rPr>
            <w:noProof/>
            <w:webHidden/>
          </w:rPr>
          <w:instrText xml:space="preserve"> PAGEREF _Toc327269933 \h </w:instrText>
        </w:r>
        <w:r w:rsidR="00AD3593">
          <w:rPr>
            <w:noProof/>
            <w:webHidden/>
          </w:rPr>
        </w:r>
        <w:r w:rsidR="00AD3593">
          <w:rPr>
            <w:noProof/>
            <w:webHidden/>
          </w:rPr>
          <w:fldChar w:fldCharType="separate"/>
        </w:r>
        <w:r w:rsidR="00AD3593">
          <w:rPr>
            <w:noProof/>
            <w:webHidden/>
          </w:rPr>
          <w:t>40</w:t>
        </w:r>
        <w:r w:rsidR="00AD3593">
          <w:rPr>
            <w:noProof/>
            <w:webHidden/>
          </w:rPr>
          <w:fldChar w:fldCharType="end"/>
        </w:r>
      </w:hyperlink>
    </w:p>
    <w:p w:rsidR="00AD3593" w:rsidRDefault="00D3204F">
      <w:pPr>
        <w:pStyle w:val="TOC1"/>
        <w:tabs>
          <w:tab w:val="right" w:leader="dot" w:pos="10342"/>
        </w:tabs>
        <w:rPr>
          <w:noProof/>
          <w:lang w:bidi="ar-SA"/>
        </w:rPr>
      </w:pPr>
      <w:hyperlink w:anchor="_Toc327269934" w:history="1">
        <w:r w:rsidR="00AD3593" w:rsidRPr="00613BF1">
          <w:rPr>
            <w:rStyle w:val="Hyperlink"/>
            <w:noProof/>
            <w:lang w:val="mk-MK"/>
          </w:rPr>
          <w:t>6. Изнајмени линии</w:t>
        </w:r>
        <w:r w:rsidR="00AD3593">
          <w:rPr>
            <w:noProof/>
            <w:webHidden/>
          </w:rPr>
          <w:tab/>
        </w:r>
        <w:r w:rsidR="00AD3593">
          <w:rPr>
            <w:noProof/>
            <w:webHidden/>
          </w:rPr>
          <w:fldChar w:fldCharType="begin"/>
        </w:r>
        <w:r w:rsidR="00AD3593">
          <w:rPr>
            <w:noProof/>
            <w:webHidden/>
          </w:rPr>
          <w:instrText xml:space="preserve"> PAGEREF _Toc327269934 \h </w:instrText>
        </w:r>
        <w:r w:rsidR="00AD3593">
          <w:rPr>
            <w:noProof/>
            <w:webHidden/>
          </w:rPr>
        </w:r>
        <w:r w:rsidR="00AD3593">
          <w:rPr>
            <w:noProof/>
            <w:webHidden/>
          </w:rPr>
          <w:fldChar w:fldCharType="separate"/>
        </w:r>
        <w:r w:rsidR="00AD3593">
          <w:rPr>
            <w:noProof/>
            <w:webHidden/>
          </w:rPr>
          <w:t>44</w:t>
        </w:r>
        <w:r w:rsidR="00AD3593">
          <w:rPr>
            <w:noProof/>
            <w:webHidden/>
          </w:rPr>
          <w:fldChar w:fldCharType="end"/>
        </w:r>
      </w:hyperlink>
    </w:p>
    <w:p w:rsidR="00AD3593" w:rsidRDefault="00D3204F">
      <w:pPr>
        <w:pStyle w:val="TOC1"/>
        <w:tabs>
          <w:tab w:val="right" w:leader="dot" w:pos="10342"/>
        </w:tabs>
        <w:rPr>
          <w:noProof/>
          <w:lang w:bidi="ar-SA"/>
        </w:rPr>
      </w:pPr>
      <w:hyperlink w:anchor="_Toc327269935" w:history="1">
        <w:r w:rsidR="00AD3593" w:rsidRPr="00613BF1">
          <w:rPr>
            <w:rStyle w:val="Hyperlink"/>
            <w:noProof/>
            <w:lang w:val="mk-MK"/>
          </w:rPr>
          <w:t>7</w:t>
        </w:r>
        <w:r w:rsidR="00AD3593" w:rsidRPr="00613BF1">
          <w:rPr>
            <w:rStyle w:val="Hyperlink"/>
            <w:noProof/>
          </w:rPr>
          <w:t xml:space="preserve">. </w:t>
        </w:r>
        <w:r w:rsidR="00AD3593" w:rsidRPr="00613BF1">
          <w:rPr>
            <w:rStyle w:val="Hyperlink"/>
            <w:noProof/>
            <w:lang w:val="mk-MK"/>
          </w:rPr>
          <w:t>Преносливост на броеви</w:t>
        </w:r>
        <w:r w:rsidR="00AD3593">
          <w:rPr>
            <w:noProof/>
            <w:webHidden/>
          </w:rPr>
          <w:tab/>
        </w:r>
        <w:r w:rsidR="00AD3593">
          <w:rPr>
            <w:noProof/>
            <w:webHidden/>
          </w:rPr>
          <w:fldChar w:fldCharType="begin"/>
        </w:r>
        <w:r w:rsidR="00AD3593">
          <w:rPr>
            <w:noProof/>
            <w:webHidden/>
          </w:rPr>
          <w:instrText xml:space="preserve"> PAGEREF _Toc327269935 \h </w:instrText>
        </w:r>
        <w:r w:rsidR="00AD3593">
          <w:rPr>
            <w:noProof/>
            <w:webHidden/>
          </w:rPr>
        </w:r>
        <w:r w:rsidR="00AD3593">
          <w:rPr>
            <w:noProof/>
            <w:webHidden/>
          </w:rPr>
          <w:fldChar w:fldCharType="separate"/>
        </w:r>
        <w:r w:rsidR="00AD3593">
          <w:rPr>
            <w:noProof/>
            <w:webHidden/>
          </w:rPr>
          <w:t>46</w:t>
        </w:r>
        <w:r w:rsidR="00AD3593">
          <w:rPr>
            <w:noProof/>
            <w:webHidden/>
          </w:rPr>
          <w:fldChar w:fldCharType="end"/>
        </w:r>
      </w:hyperlink>
    </w:p>
    <w:p w:rsidR="00AD3593" w:rsidRDefault="00D3204F">
      <w:pPr>
        <w:pStyle w:val="TOC1"/>
        <w:tabs>
          <w:tab w:val="right" w:leader="dot" w:pos="10342"/>
        </w:tabs>
        <w:rPr>
          <w:noProof/>
          <w:lang w:bidi="ar-SA"/>
        </w:rPr>
      </w:pPr>
      <w:hyperlink w:anchor="_Toc327269936" w:history="1">
        <w:r w:rsidR="00AD3593" w:rsidRPr="00613BF1">
          <w:rPr>
            <w:rStyle w:val="Hyperlink"/>
            <w:noProof/>
          </w:rPr>
          <w:t>8. Нотифицирани оператори/ даватели на услуги врз основа на чии податоци е изготвен овој извештај</w:t>
        </w:r>
        <w:r w:rsidR="00AD3593">
          <w:rPr>
            <w:noProof/>
            <w:webHidden/>
          </w:rPr>
          <w:tab/>
        </w:r>
        <w:r w:rsidR="00AD3593">
          <w:rPr>
            <w:noProof/>
            <w:webHidden/>
          </w:rPr>
          <w:fldChar w:fldCharType="begin"/>
        </w:r>
        <w:r w:rsidR="00AD3593">
          <w:rPr>
            <w:noProof/>
            <w:webHidden/>
          </w:rPr>
          <w:instrText xml:space="preserve"> PAGEREF _Toc327269936 \h </w:instrText>
        </w:r>
        <w:r w:rsidR="00AD3593">
          <w:rPr>
            <w:noProof/>
            <w:webHidden/>
          </w:rPr>
        </w:r>
        <w:r w:rsidR="00AD3593">
          <w:rPr>
            <w:noProof/>
            <w:webHidden/>
          </w:rPr>
          <w:fldChar w:fldCharType="separate"/>
        </w:r>
        <w:r w:rsidR="00AD3593">
          <w:rPr>
            <w:noProof/>
            <w:webHidden/>
          </w:rPr>
          <w:t>49</w:t>
        </w:r>
        <w:r w:rsidR="00AD3593">
          <w:rPr>
            <w:noProof/>
            <w:webHidden/>
          </w:rPr>
          <w:fldChar w:fldCharType="end"/>
        </w:r>
      </w:hyperlink>
    </w:p>
    <w:p w:rsidR="0025721B" w:rsidRPr="0025721B" w:rsidRDefault="001E0707" w:rsidP="0025721B">
      <w:pPr>
        <w:rPr>
          <w:lang w:val="mk-MK"/>
        </w:rPr>
      </w:pPr>
      <w:r>
        <w:rPr>
          <w:lang w:val="mk-MK"/>
        </w:rPr>
        <w:fldChar w:fldCharType="end"/>
      </w:r>
    </w:p>
    <w:p w:rsidR="0025721B" w:rsidRDefault="0025721B">
      <w:pPr>
        <w:pStyle w:val="TableofFigures"/>
        <w:tabs>
          <w:tab w:val="right" w:leader="dot" w:pos="10340"/>
        </w:tabs>
        <w:rPr>
          <w:lang w:val="mk-MK"/>
        </w:rPr>
      </w:pPr>
    </w:p>
    <w:p w:rsidR="00A94C4D" w:rsidRPr="00447254" w:rsidRDefault="00A94C4D">
      <w:pPr>
        <w:pStyle w:val="TableofFigures"/>
        <w:tabs>
          <w:tab w:val="right" w:leader="dot" w:pos="10340"/>
        </w:tabs>
        <w:rPr>
          <w:b/>
          <w:lang w:val="mk-MK"/>
        </w:rPr>
      </w:pPr>
      <w:r w:rsidRPr="00447254">
        <w:rPr>
          <w:b/>
          <w:lang w:val="mk-MK"/>
        </w:rPr>
        <w:t>Содржина: Графикони и табели</w:t>
      </w:r>
    </w:p>
    <w:p w:rsidR="00A94C4D" w:rsidRDefault="00A94C4D">
      <w:pPr>
        <w:pStyle w:val="TableofFigures"/>
        <w:tabs>
          <w:tab w:val="right" w:leader="dot" w:pos="10340"/>
        </w:tabs>
        <w:rPr>
          <w:lang w:val="mk-MK"/>
        </w:rPr>
      </w:pPr>
    </w:p>
    <w:p w:rsidR="00AD3593" w:rsidRDefault="001E0707">
      <w:pPr>
        <w:pStyle w:val="TableofFigures"/>
        <w:tabs>
          <w:tab w:val="right" w:leader="dot" w:pos="10342"/>
        </w:tabs>
        <w:rPr>
          <w:noProof/>
          <w:lang w:bidi="ar-SA"/>
        </w:rPr>
      </w:pPr>
      <w:r>
        <w:rPr>
          <w:lang w:val="mk-MK"/>
        </w:rPr>
        <w:fldChar w:fldCharType="begin"/>
      </w:r>
      <w:r w:rsidR="00755E70">
        <w:rPr>
          <w:lang w:val="mk-MK"/>
        </w:rPr>
        <w:instrText xml:space="preserve"> TOC \h \z \c "Графикон" </w:instrText>
      </w:r>
      <w:r>
        <w:rPr>
          <w:lang w:val="mk-MK"/>
        </w:rPr>
        <w:fldChar w:fldCharType="separate"/>
      </w:r>
      <w:hyperlink w:anchor="_Toc327269937" w:history="1">
        <w:r w:rsidR="00AD3593" w:rsidRPr="00FF6AD7">
          <w:rPr>
            <w:rStyle w:val="Hyperlink"/>
            <w:noProof/>
          </w:rPr>
          <w:t xml:space="preserve">Графикон 1 </w:t>
        </w:r>
        <w:r w:rsidR="00AD3593" w:rsidRPr="00FF6AD7">
          <w:rPr>
            <w:rStyle w:val="Hyperlink"/>
            <w:noProof/>
            <w:lang w:val="mk-MK"/>
          </w:rPr>
          <w:t>Нотифицирани и активни оператори/</w:t>
        </w:r>
        <w:r w:rsidR="00AD3593" w:rsidRPr="00FF6AD7">
          <w:rPr>
            <w:rStyle w:val="Hyperlink"/>
            <w:noProof/>
          </w:rPr>
          <w:t>даватели</w:t>
        </w:r>
        <w:r w:rsidR="00AD3593" w:rsidRPr="00FF6AD7">
          <w:rPr>
            <w:rStyle w:val="Hyperlink"/>
            <w:noProof/>
            <w:lang w:val="mk-MK"/>
          </w:rPr>
          <w:t xml:space="preserve"> на услуги (состојба </w:t>
        </w:r>
        <w:r w:rsidR="00AD3593" w:rsidRPr="00FF6AD7">
          <w:rPr>
            <w:rStyle w:val="Hyperlink"/>
            <w:noProof/>
          </w:rPr>
          <w:t>на</w:t>
        </w:r>
        <w:r w:rsidR="00AD3593">
          <w:rPr>
            <w:noProof/>
            <w:webHidden/>
          </w:rPr>
          <w:tab/>
        </w:r>
        <w:r w:rsidR="00AD3593">
          <w:rPr>
            <w:noProof/>
            <w:webHidden/>
          </w:rPr>
          <w:fldChar w:fldCharType="begin"/>
        </w:r>
        <w:r w:rsidR="00AD3593">
          <w:rPr>
            <w:noProof/>
            <w:webHidden/>
          </w:rPr>
          <w:instrText xml:space="preserve"> PAGEREF _Toc327269937 \h </w:instrText>
        </w:r>
        <w:r w:rsidR="00AD3593">
          <w:rPr>
            <w:noProof/>
            <w:webHidden/>
          </w:rPr>
        </w:r>
        <w:r w:rsidR="00AD3593">
          <w:rPr>
            <w:noProof/>
            <w:webHidden/>
          </w:rPr>
          <w:fldChar w:fldCharType="separate"/>
        </w:r>
        <w:r w:rsidR="00AD3593">
          <w:rPr>
            <w:noProof/>
            <w:webHidden/>
          </w:rPr>
          <w:t>7</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38" w:history="1">
        <w:r w:rsidR="00AD3593" w:rsidRPr="00FF6AD7">
          <w:rPr>
            <w:rStyle w:val="Hyperlink"/>
            <w:noProof/>
          </w:rPr>
          <w:t>Графикон 2</w:t>
        </w:r>
        <w:r w:rsidR="00AD3593" w:rsidRPr="00FF6AD7">
          <w:rPr>
            <w:rStyle w:val="Hyperlink"/>
            <w:noProof/>
            <w:lang w:val="mk-MK"/>
          </w:rPr>
          <w:t xml:space="preserve"> </w:t>
        </w:r>
        <w:r w:rsidR="00AD3593" w:rsidRPr="00FF6AD7">
          <w:rPr>
            <w:rStyle w:val="Hyperlink"/>
            <w:noProof/>
          </w:rPr>
          <w:t xml:space="preserve">Процентуален удел на </w:t>
        </w:r>
        <w:r w:rsidR="00AD3593" w:rsidRPr="00FF6AD7">
          <w:rPr>
            <w:rStyle w:val="Hyperlink"/>
            <w:noProof/>
            <w:lang w:val="mk-MK"/>
          </w:rPr>
          <w:t>услугите на пазарот на електронски комуникации</w:t>
        </w:r>
        <w:r w:rsidR="00AD3593" w:rsidRPr="00FF6AD7">
          <w:rPr>
            <w:rStyle w:val="Hyperlink"/>
            <w:noProof/>
          </w:rPr>
          <w:t xml:space="preserve"> одделно во </w:t>
        </w:r>
        <w:r w:rsidR="00AD3593" w:rsidRPr="00FF6AD7">
          <w:rPr>
            <w:rStyle w:val="Hyperlink"/>
            <w:noProof/>
            <w:lang w:val="mk-MK"/>
          </w:rPr>
          <w:t xml:space="preserve">однос на </w:t>
        </w:r>
        <w:r w:rsidR="00AD3593" w:rsidRPr="00FF6AD7">
          <w:rPr>
            <w:rStyle w:val="Hyperlink"/>
            <w:noProof/>
          </w:rPr>
          <w:t>вкупните приходи од пазарот на електронски</w:t>
        </w:r>
        <w:r w:rsidR="00AD3593" w:rsidRPr="00FF6AD7">
          <w:rPr>
            <w:rStyle w:val="Hyperlink"/>
            <w:noProof/>
            <w:lang w:val="mk-MK"/>
          </w:rPr>
          <w:t>те комуникации во 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_Toc327269938 \h </w:instrText>
        </w:r>
        <w:r w:rsidR="00AD3593">
          <w:rPr>
            <w:noProof/>
            <w:webHidden/>
          </w:rPr>
        </w:r>
        <w:r w:rsidR="00AD3593">
          <w:rPr>
            <w:noProof/>
            <w:webHidden/>
          </w:rPr>
          <w:fldChar w:fldCharType="separate"/>
        </w:r>
        <w:r w:rsidR="00AD3593">
          <w:rPr>
            <w:noProof/>
            <w:webHidden/>
          </w:rPr>
          <w:t>10</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39" w:history="1">
        <w:r w:rsidR="00AD3593" w:rsidRPr="00FF6AD7">
          <w:rPr>
            <w:rStyle w:val="Hyperlink"/>
            <w:noProof/>
          </w:rPr>
          <w:t>Графикон 3</w:t>
        </w:r>
        <w:r w:rsidR="00AD3593" w:rsidRPr="00FF6AD7">
          <w:rPr>
            <w:rStyle w:val="Hyperlink"/>
            <w:noProof/>
            <w:lang w:val="mk-MK"/>
          </w:rPr>
          <w:t xml:space="preserve"> </w:t>
        </w:r>
        <w:r w:rsidR="00AD3593" w:rsidRPr="00FF6AD7">
          <w:rPr>
            <w:rStyle w:val="Hyperlink"/>
            <w:noProof/>
          </w:rPr>
          <w:t xml:space="preserve">Број на </w:t>
        </w:r>
        <w:r w:rsidR="00AD3593" w:rsidRPr="00FF6AD7">
          <w:rPr>
            <w:rStyle w:val="Hyperlink"/>
            <w:noProof/>
            <w:lang w:val="mk-MK"/>
          </w:rPr>
          <w:t>фиксни</w:t>
        </w:r>
        <w:r w:rsidR="00AD3593" w:rsidRPr="00FF6AD7">
          <w:rPr>
            <w:rStyle w:val="Hyperlink"/>
            <w:noProof/>
          </w:rPr>
          <w:t xml:space="preserve"> линии </w:t>
        </w:r>
        <w:r w:rsidR="00AD3593" w:rsidRPr="00FF6AD7">
          <w:rPr>
            <w:rStyle w:val="Hyperlink"/>
            <w:noProof/>
            <w:lang w:val="mk-MK"/>
          </w:rPr>
          <w:t>по квартали во 2011 година и промена на индикаторот број на фиксни линии според популација 100 по квартали во 2011 година</w:t>
        </w:r>
        <w:r w:rsidR="00AD3593">
          <w:rPr>
            <w:noProof/>
            <w:webHidden/>
          </w:rPr>
          <w:tab/>
        </w:r>
        <w:r w:rsidR="00AD3593">
          <w:rPr>
            <w:noProof/>
            <w:webHidden/>
          </w:rPr>
          <w:fldChar w:fldCharType="begin"/>
        </w:r>
        <w:r w:rsidR="00AD3593">
          <w:rPr>
            <w:noProof/>
            <w:webHidden/>
          </w:rPr>
          <w:instrText xml:space="preserve"> PAGEREF _Toc327269939 \h </w:instrText>
        </w:r>
        <w:r w:rsidR="00AD3593">
          <w:rPr>
            <w:noProof/>
            <w:webHidden/>
          </w:rPr>
        </w:r>
        <w:r w:rsidR="00AD3593">
          <w:rPr>
            <w:noProof/>
            <w:webHidden/>
          </w:rPr>
          <w:fldChar w:fldCharType="separate"/>
        </w:r>
        <w:r w:rsidR="00AD3593">
          <w:rPr>
            <w:noProof/>
            <w:webHidden/>
          </w:rPr>
          <w:t>15</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0" w:history="1">
        <w:r w:rsidR="00AD3593" w:rsidRPr="00FF6AD7">
          <w:rPr>
            <w:rStyle w:val="Hyperlink"/>
            <w:noProof/>
          </w:rPr>
          <w:t>Графикон 4</w:t>
        </w:r>
        <w:r w:rsidR="00AD3593" w:rsidRPr="00FF6AD7">
          <w:rPr>
            <w:rStyle w:val="Hyperlink"/>
            <w:noProof/>
            <w:lang w:val="mk-MK"/>
          </w:rPr>
          <w:t xml:space="preserve"> Удел во проценти на фиксни линии според технологии</w:t>
        </w:r>
        <w:r w:rsidR="00AD3593" w:rsidRPr="00FF6AD7">
          <w:rPr>
            <w:rStyle w:val="Hyperlink"/>
            <w:noProof/>
          </w:rPr>
          <w:t xml:space="preserve"> </w:t>
        </w:r>
        <w:r w:rsidR="00AD3593" w:rsidRPr="00FF6AD7">
          <w:rPr>
            <w:rStyle w:val="Hyperlink"/>
            <w:noProof/>
            <w:lang w:val="mk-MK"/>
          </w:rPr>
          <w:t>во 2010 и 2011 година</w:t>
        </w:r>
        <w:r w:rsidR="00AD3593">
          <w:rPr>
            <w:noProof/>
            <w:webHidden/>
          </w:rPr>
          <w:tab/>
        </w:r>
        <w:r w:rsidR="00AD3593">
          <w:rPr>
            <w:noProof/>
            <w:webHidden/>
          </w:rPr>
          <w:fldChar w:fldCharType="begin"/>
        </w:r>
        <w:r w:rsidR="00AD3593">
          <w:rPr>
            <w:noProof/>
            <w:webHidden/>
          </w:rPr>
          <w:instrText xml:space="preserve"> PAGEREF _Toc327269940 \h </w:instrText>
        </w:r>
        <w:r w:rsidR="00AD3593">
          <w:rPr>
            <w:noProof/>
            <w:webHidden/>
          </w:rPr>
        </w:r>
        <w:r w:rsidR="00AD3593">
          <w:rPr>
            <w:noProof/>
            <w:webHidden/>
          </w:rPr>
          <w:fldChar w:fldCharType="separate"/>
        </w:r>
        <w:r w:rsidR="00AD3593">
          <w:rPr>
            <w:noProof/>
            <w:webHidden/>
          </w:rPr>
          <w:t>16</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1" w:history="1">
        <w:r w:rsidR="00AD3593" w:rsidRPr="00FF6AD7">
          <w:rPr>
            <w:rStyle w:val="Hyperlink"/>
            <w:noProof/>
          </w:rPr>
          <w:t>Графикон 5</w:t>
        </w:r>
        <w:r w:rsidR="00AD3593" w:rsidRPr="00FF6AD7">
          <w:rPr>
            <w:rStyle w:val="Hyperlink"/>
            <w:noProof/>
            <w:lang w:val="mk-MK"/>
          </w:rPr>
          <w:t xml:space="preserve"> Удел на алтерантивните оператори/даватели на услуги според фиксни линии (состојба 31.12.20</w:t>
        </w:r>
        <w:r w:rsidR="00AD3593" w:rsidRPr="00FF6AD7">
          <w:rPr>
            <w:rStyle w:val="Hyperlink"/>
            <w:noProof/>
          </w:rPr>
          <w:t>1</w:t>
        </w:r>
        <w:r w:rsidR="00AD3593" w:rsidRPr="00FF6AD7">
          <w:rPr>
            <w:rStyle w:val="Hyperlink"/>
            <w:noProof/>
            <w:lang w:val="mk-MK"/>
          </w:rPr>
          <w:t>1 година)</w:t>
        </w:r>
        <w:r w:rsidR="00AD3593">
          <w:rPr>
            <w:noProof/>
            <w:webHidden/>
          </w:rPr>
          <w:tab/>
        </w:r>
        <w:r w:rsidR="00AD3593">
          <w:rPr>
            <w:noProof/>
            <w:webHidden/>
          </w:rPr>
          <w:fldChar w:fldCharType="begin"/>
        </w:r>
        <w:r w:rsidR="00AD3593">
          <w:rPr>
            <w:noProof/>
            <w:webHidden/>
          </w:rPr>
          <w:instrText xml:space="preserve"> PAGEREF _Toc327269941 \h </w:instrText>
        </w:r>
        <w:r w:rsidR="00AD3593">
          <w:rPr>
            <w:noProof/>
            <w:webHidden/>
          </w:rPr>
        </w:r>
        <w:r w:rsidR="00AD3593">
          <w:rPr>
            <w:noProof/>
            <w:webHidden/>
          </w:rPr>
          <w:fldChar w:fldCharType="separate"/>
        </w:r>
        <w:r w:rsidR="00AD3593">
          <w:rPr>
            <w:noProof/>
            <w:webHidden/>
          </w:rPr>
          <w:t>17</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2" w:history="1">
        <w:r w:rsidR="00AD3593" w:rsidRPr="00FF6AD7">
          <w:rPr>
            <w:rStyle w:val="Hyperlink"/>
            <w:noProof/>
          </w:rPr>
          <w:t>Графикон 6</w:t>
        </w:r>
        <w:r w:rsidR="00AD3593" w:rsidRPr="00FF6AD7">
          <w:rPr>
            <w:rStyle w:val="Hyperlink"/>
            <w:noProof/>
            <w:lang w:val="mk-MK"/>
          </w:rPr>
          <w:t xml:space="preserve"> Удел на алтерн</w:t>
        </w:r>
        <w:r w:rsidR="00AD3593" w:rsidRPr="00FF6AD7">
          <w:rPr>
            <w:rStyle w:val="Hyperlink"/>
            <w:noProof/>
          </w:rPr>
          <w:t>a</w:t>
        </w:r>
        <w:r w:rsidR="00AD3593" w:rsidRPr="00FF6AD7">
          <w:rPr>
            <w:rStyle w:val="Hyperlink"/>
            <w:noProof/>
            <w:lang w:val="mk-MK"/>
          </w:rPr>
          <w:t>тивните оператори/ даватели на услуги според фиксни линии и приходи од</w:t>
        </w:r>
        <w:r w:rsidR="00AD3593" w:rsidRPr="00FF6AD7">
          <w:rPr>
            <w:rStyle w:val="Hyperlink"/>
            <w:noProof/>
          </w:rPr>
          <w:t xml:space="preserve"> </w:t>
        </w:r>
        <w:r w:rsidR="00AD3593" w:rsidRPr="00FF6AD7">
          <w:rPr>
            <w:rStyle w:val="Hyperlink"/>
            <w:noProof/>
            <w:lang w:val="mk-MK"/>
          </w:rPr>
          <w:t>обезбедување на пристап до мрежа на фиксна локација и јавно достапни телефонски услуги на фиксна локација за 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_Toc327269942 \h </w:instrText>
        </w:r>
        <w:r w:rsidR="00AD3593">
          <w:rPr>
            <w:noProof/>
            <w:webHidden/>
          </w:rPr>
        </w:r>
        <w:r w:rsidR="00AD3593">
          <w:rPr>
            <w:noProof/>
            <w:webHidden/>
          </w:rPr>
          <w:fldChar w:fldCharType="separate"/>
        </w:r>
        <w:r w:rsidR="00AD3593">
          <w:rPr>
            <w:noProof/>
            <w:webHidden/>
          </w:rPr>
          <w:t>18</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3" w:history="1">
        <w:r w:rsidR="00AD3593" w:rsidRPr="00FF6AD7">
          <w:rPr>
            <w:rStyle w:val="Hyperlink"/>
            <w:noProof/>
          </w:rPr>
          <w:t>Графикон 7</w:t>
        </w:r>
        <w:r w:rsidR="00AD3593" w:rsidRPr="00FF6AD7">
          <w:rPr>
            <w:rStyle w:val="Hyperlink"/>
            <w:noProof/>
            <w:lang w:val="mk-MK"/>
          </w:rPr>
          <w:t xml:space="preserve"> Вкупен обем на појдовен сообраќај инициран од јавни телефонски мрежи на фиксна локација (во илјади минути) во 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_Toc327269943 \h </w:instrText>
        </w:r>
        <w:r w:rsidR="00AD3593">
          <w:rPr>
            <w:noProof/>
            <w:webHidden/>
          </w:rPr>
        </w:r>
        <w:r w:rsidR="00AD3593">
          <w:rPr>
            <w:noProof/>
            <w:webHidden/>
          </w:rPr>
          <w:fldChar w:fldCharType="separate"/>
        </w:r>
        <w:r w:rsidR="00AD3593">
          <w:rPr>
            <w:noProof/>
            <w:webHidden/>
          </w:rPr>
          <w:t>19</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4" w:history="1">
        <w:r w:rsidR="00AD3593" w:rsidRPr="00FF6AD7">
          <w:rPr>
            <w:rStyle w:val="Hyperlink"/>
            <w:noProof/>
          </w:rPr>
          <w:t>Графикон 8</w:t>
        </w:r>
        <w:r w:rsidR="00AD3593" w:rsidRPr="00FF6AD7">
          <w:rPr>
            <w:rStyle w:val="Hyperlink"/>
            <w:noProof/>
            <w:lang w:val="mk-MK"/>
          </w:rPr>
          <w:t xml:space="preserve"> Просечен обем на појдовен сообраќај (во минути месечно) по претплатник инициран од јавна телефонска мрежа на фиксна локација за 201</w:t>
        </w:r>
        <w:r w:rsidR="00AD3593" w:rsidRPr="00FF6AD7">
          <w:rPr>
            <w:rStyle w:val="Hyperlink"/>
            <w:noProof/>
          </w:rPr>
          <w:t>1</w:t>
        </w:r>
        <w:r w:rsidR="00AD3593" w:rsidRPr="00FF6AD7">
          <w:rPr>
            <w:rStyle w:val="Hyperlink"/>
            <w:noProof/>
            <w:lang w:val="mk-MK"/>
          </w:rPr>
          <w:t xml:space="preserve"> и 20</w:t>
        </w:r>
        <w:r w:rsidR="00AD3593" w:rsidRPr="00FF6AD7">
          <w:rPr>
            <w:rStyle w:val="Hyperlink"/>
            <w:noProof/>
          </w:rPr>
          <w:t>10</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_Toc327269944 \h </w:instrText>
        </w:r>
        <w:r w:rsidR="00AD3593">
          <w:rPr>
            <w:noProof/>
            <w:webHidden/>
          </w:rPr>
        </w:r>
        <w:r w:rsidR="00AD3593">
          <w:rPr>
            <w:noProof/>
            <w:webHidden/>
          </w:rPr>
          <w:fldChar w:fldCharType="separate"/>
        </w:r>
        <w:r w:rsidR="00AD3593">
          <w:rPr>
            <w:noProof/>
            <w:webHidden/>
          </w:rPr>
          <w:t>20</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5" w:history="1">
        <w:r w:rsidR="00AD3593" w:rsidRPr="00FF6AD7">
          <w:rPr>
            <w:rStyle w:val="Hyperlink"/>
            <w:noProof/>
          </w:rPr>
          <w:t>Графикон 9</w:t>
        </w:r>
        <w:r w:rsidR="00AD3593" w:rsidRPr="00FF6AD7">
          <w:rPr>
            <w:rStyle w:val="Hyperlink"/>
            <w:noProof/>
            <w:lang w:val="mk-MK"/>
          </w:rPr>
          <w:t xml:space="preserve"> У</w:t>
        </w:r>
        <w:r w:rsidR="00AD3593" w:rsidRPr="00FF6AD7">
          <w:rPr>
            <w:rStyle w:val="Hyperlink"/>
            <w:noProof/>
          </w:rPr>
          <w:t>дел на алтернативните оператори</w:t>
        </w:r>
        <w:r w:rsidR="00AD3593" w:rsidRPr="00FF6AD7">
          <w:rPr>
            <w:rStyle w:val="Hyperlink"/>
            <w:noProof/>
            <w:lang w:val="mk-MK"/>
          </w:rPr>
          <w:t xml:space="preserve"> според реализиран појдовен телефонски сообраќај (во минути) по квартали во 20</w:t>
        </w:r>
        <w:r w:rsidR="00AD3593" w:rsidRPr="00FF6AD7">
          <w:rPr>
            <w:rStyle w:val="Hyperlink"/>
            <w:noProof/>
          </w:rPr>
          <w:t>1</w:t>
        </w:r>
        <w:r w:rsidR="00AD3593" w:rsidRPr="00FF6AD7">
          <w:rPr>
            <w:rStyle w:val="Hyperlink"/>
            <w:noProof/>
            <w:lang w:val="mk-MK"/>
          </w:rPr>
          <w:t>1 година</w:t>
        </w:r>
        <w:r w:rsidR="00AD3593">
          <w:rPr>
            <w:noProof/>
            <w:webHidden/>
          </w:rPr>
          <w:tab/>
        </w:r>
        <w:r w:rsidR="00AD3593">
          <w:rPr>
            <w:noProof/>
            <w:webHidden/>
          </w:rPr>
          <w:fldChar w:fldCharType="begin"/>
        </w:r>
        <w:r w:rsidR="00AD3593">
          <w:rPr>
            <w:noProof/>
            <w:webHidden/>
          </w:rPr>
          <w:instrText xml:space="preserve"> PAGEREF _Toc327269945 \h </w:instrText>
        </w:r>
        <w:r w:rsidR="00AD3593">
          <w:rPr>
            <w:noProof/>
            <w:webHidden/>
          </w:rPr>
        </w:r>
        <w:r w:rsidR="00AD3593">
          <w:rPr>
            <w:noProof/>
            <w:webHidden/>
          </w:rPr>
          <w:fldChar w:fldCharType="separate"/>
        </w:r>
        <w:r w:rsidR="00AD3593">
          <w:rPr>
            <w:noProof/>
            <w:webHidden/>
          </w:rPr>
          <w:t>21</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6" w:history="1">
        <w:r w:rsidR="00AD3593" w:rsidRPr="00FF6AD7">
          <w:rPr>
            <w:rStyle w:val="Hyperlink"/>
            <w:noProof/>
          </w:rPr>
          <w:t>Графикон 10</w:t>
        </w:r>
        <w:r w:rsidR="00AD3593" w:rsidRPr="00FF6AD7">
          <w:rPr>
            <w:rStyle w:val="Hyperlink"/>
            <w:noProof/>
            <w:lang w:val="mk-MK"/>
          </w:rPr>
          <w:t xml:space="preserve"> У</w:t>
        </w:r>
        <w:r w:rsidR="00AD3593" w:rsidRPr="00FF6AD7">
          <w:rPr>
            <w:rStyle w:val="Hyperlink"/>
            <w:noProof/>
          </w:rPr>
          <w:t>дел на алтернативните оператори</w:t>
        </w:r>
        <w:r w:rsidR="00AD3593" w:rsidRPr="00FF6AD7">
          <w:rPr>
            <w:rStyle w:val="Hyperlink"/>
            <w:noProof/>
            <w:lang w:val="mk-MK"/>
          </w:rPr>
          <w:t xml:space="preserve"> според број на реализирани повици по квартали во 2011 година</w:t>
        </w:r>
        <w:r w:rsidR="00AD3593">
          <w:rPr>
            <w:noProof/>
            <w:webHidden/>
          </w:rPr>
          <w:tab/>
        </w:r>
        <w:r w:rsidR="00AD3593">
          <w:rPr>
            <w:noProof/>
            <w:webHidden/>
          </w:rPr>
          <w:fldChar w:fldCharType="begin"/>
        </w:r>
        <w:r w:rsidR="00AD3593">
          <w:rPr>
            <w:noProof/>
            <w:webHidden/>
          </w:rPr>
          <w:instrText xml:space="preserve"> PAGEREF _Toc327269946 \h </w:instrText>
        </w:r>
        <w:r w:rsidR="00AD3593">
          <w:rPr>
            <w:noProof/>
            <w:webHidden/>
          </w:rPr>
        </w:r>
        <w:r w:rsidR="00AD3593">
          <w:rPr>
            <w:noProof/>
            <w:webHidden/>
          </w:rPr>
          <w:fldChar w:fldCharType="separate"/>
        </w:r>
        <w:r w:rsidR="00AD3593">
          <w:rPr>
            <w:noProof/>
            <w:webHidden/>
          </w:rPr>
          <w:t>22</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7" w:history="1">
        <w:r w:rsidR="00AD3593" w:rsidRPr="00FF6AD7">
          <w:rPr>
            <w:rStyle w:val="Hyperlink"/>
            <w:noProof/>
          </w:rPr>
          <w:t xml:space="preserve">Графикон 11 Број на </w:t>
        </w:r>
        <w:r w:rsidR="00AD3593" w:rsidRPr="00FF6AD7">
          <w:rPr>
            <w:rStyle w:val="Hyperlink"/>
            <w:noProof/>
            <w:lang w:val="mk-MK"/>
          </w:rPr>
          <w:t>активни претплатници</w:t>
        </w:r>
        <w:r w:rsidR="00AD3593" w:rsidRPr="00FF6AD7">
          <w:rPr>
            <w:rStyle w:val="Hyperlink"/>
            <w:noProof/>
          </w:rPr>
          <w:t xml:space="preserve"> </w:t>
        </w:r>
        <w:r w:rsidR="00AD3593" w:rsidRPr="00FF6AD7">
          <w:rPr>
            <w:rStyle w:val="Hyperlink"/>
            <w:noProof/>
            <w:lang w:val="mk-MK"/>
          </w:rPr>
          <w:t>по квартали во 201</w:t>
        </w:r>
        <w:r w:rsidR="00AD3593" w:rsidRPr="00FF6AD7">
          <w:rPr>
            <w:rStyle w:val="Hyperlink"/>
            <w:noProof/>
          </w:rPr>
          <w:t>1</w:t>
        </w:r>
        <w:r w:rsidR="00AD3593" w:rsidRPr="00FF6AD7">
          <w:rPr>
            <w:rStyle w:val="Hyperlink"/>
            <w:noProof/>
            <w:lang w:val="mk-MK"/>
          </w:rPr>
          <w:t xml:space="preserve"> година и промена на индикаторот број на активни претплатници според популација 100 по квартали во 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_Toc327269947 \h </w:instrText>
        </w:r>
        <w:r w:rsidR="00AD3593">
          <w:rPr>
            <w:noProof/>
            <w:webHidden/>
          </w:rPr>
        </w:r>
        <w:r w:rsidR="00AD3593">
          <w:rPr>
            <w:noProof/>
            <w:webHidden/>
          </w:rPr>
          <w:fldChar w:fldCharType="separate"/>
        </w:r>
        <w:r w:rsidR="00AD3593">
          <w:rPr>
            <w:noProof/>
            <w:webHidden/>
          </w:rPr>
          <w:t>25</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8" w:history="1">
        <w:r w:rsidR="00AD3593" w:rsidRPr="00FF6AD7">
          <w:rPr>
            <w:rStyle w:val="Hyperlink"/>
            <w:noProof/>
          </w:rPr>
          <w:t>Графикон 12</w:t>
        </w:r>
        <w:r w:rsidR="00AD3593" w:rsidRPr="00FF6AD7">
          <w:rPr>
            <w:rStyle w:val="Hyperlink"/>
            <w:noProof/>
            <w:lang w:val="mk-MK"/>
          </w:rPr>
          <w:t xml:space="preserve"> Удел на пазарот за мобилна телефонија според активни претплатници по квартали (%) во 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_Toc327269948 \h </w:instrText>
        </w:r>
        <w:r w:rsidR="00AD3593">
          <w:rPr>
            <w:noProof/>
            <w:webHidden/>
          </w:rPr>
        </w:r>
        <w:r w:rsidR="00AD3593">
          <w:rPr>
            <w:noProof/>
            <w:webHidden/>
          </w:rPr>
          <w:fldChar w:fldCharType="separate"/>
        </w:r>
        <w:r w:rsidR="00AD3593">
          <w:rPr>
            <w:noProof/>
            <w:webHidden/>
          </w:rPr>
          <w:t>26</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49" w:history="1">
        <w:r w:rsidR="00AD3593" w:rsidRPr="00FF6AD7">
          <w:rPr>
            <w:rStyle w:val="Hyperlink"/>
            <w:noProof/>
          </w:rPr>
          <w:t>Графикон 13</w:t>
        </w:r>
        <w:r w:rsidR="00AD3593" w:rsidRPr="00FF6AD7">
          <w:rPr>
            <w:rStyle w:val="Hyperlink"/>
            <w:noProof/>
            <w:lang w:val="mk-MK"/>
          </w:rPr>
          <w:t xml:space="preserve"> Сооднос на при-пеид и пост-пеид претплатници по квартали</w:t>
        </w:r>
        <w:r w:rsidR="00AD3593" w:rsidRPr="00FF6AD7">
          <w:rPr>
            <w:rStyle w:val="Hyperlink"/>
            <w:noProof/>
          </w:rPr>
          <w:t xml:space="preserve"> </w:t>
        </w:r>
        <w:r w:rsidR="00AD3593" w:rsidRPr="00FF6AD7">
          <w:rPr>
            <w:rStyle w:val="Hyperlink"/>
            <w:noProof/>
            <w:lang w:val="mk-MK"/>
          </w:rPr>
          <w:t>во 2011 година</w:t>
        </w:r>
        <w:r w:rsidR="00AD3593">
          <w:rPr>
            <w:noProof/>
            <w:webHidden/>
          </w:rPr>
          <w:tab/>
        </w:r>
        <w:r w:rsidR="00AD3593">
          <w:rPr>
            <w:noProof/>
            <w:webHidden/>
          </w:rPr>
          <w:fldChar w:fldCharType="begin"/>
        </w:r>
        <w:r w:rsidR="00AD3593">
          <w:rPr>
            <w:noProof/>
            <w:webHidden/>
          </w:rPr>
          <w:instrText xml:space="preserve"> PAGEREF _Toc327269949 \h </w:instrText>
        </w:r>
        <w:r w:rsidR="00AD3593">
          <w:rPr>
            <w:noProof/>
            <w:webHidden/>
          </w:rPr>
        </w:r>
        <w:r w:rsidR="00AD3593">
          <w:rPr>
            <w:noProof/>
            <w:webHidden/>
          </w:rPr>
          <w:fldChar w:fldCharType="separate"/>
        </w:r>
        <w:r w:rsidR="00AD3593">
          <w:rPr>
            <w:noProof/>
            <w:webHidden/>
          </w:rPr>
          <w:t>27</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0" w:history="1">
        <w:r w:rsidR="00AD3593" w:rsidRPr="00FF6AD7">
          <w:rPr>
            <w:rStyle w:val="Hyperlink"/>
            <w:noProof/>
          </w:rPr>
          <w:t>Графикон 14</w:t>
        </w:r>
        <w:r w:rsidR="00AD3593" w:rsidRPr="00FF6AD7">
          <w:rPr>
            <w:rStyle w:val="Hyperlink"/>
            <w:noProof/>
            <w:lang w:val="mk-MK"/>
          </w:rPr>
          <w:t xml:space="preserve"> Обем на реализиран појдовен сообраќај (во илјади минути) инициран од јавни мобилни мрежи по квартали во 20</w:t>
        </w:r>
        <w:r w:rsidR="00AD3593" w:rsidRPr="00FF6AD7">
          <w:rPr>
            <w:rStyle w:val="Hyperlink"/>
            <w:noProof/>
          </w:rPr>
          <w:t>1</w:t>
        </w:r>
        <w:r w:rsidR="00AD3593" w:rsidRPr="00FF6AD7">
          <w:rPr>
            <w:rStyle w:val="Hyperlink"/>
            <w:noProof/>
            <w:lang w:val="mk-MK"/>
          </w:rPr>
          <w:t>1 година</w:t>
        </w:r>
        <w:r w:rsidR="00AD3593">
          <w:rPr>
            <w:noProof/>
            <w:webHidden/>
          </w:rPr>
          <w:tab/>
        </w:r>
        <w:r w:rsidR="00AD3593">
          <w:rPr>
            <w:noProof/>
            <w:webHidden/>
          </w:rPr>
          <w:fldChar w:fldCharType="begin"/>
        </w:r>
        <w:r w:rsidR="00AD3593">
          <w:rPr>
            <w:noProof/>
            <w:webHidden/>
          </w:rPr>
          <w:instrText xml:space="preserve"> PAGEREF _Toc327269950 \h </w:instrText>
        </w:r>
        <w:r w:rsidR="00AD3593">
          <w:rPr>
            <w:noProof/>
            <w:webHidden/>
          </w:rPr>
        </w:r>
        <w:r w:rsidR="00AD3593">
          <w:rPr>
            <w:noProof/>
            <w:webHidden/>
          </w:rPr>
          <w:fldChar w:fldCharType="separate"/>
        </w:r>
        <w:r w:rsidR="00AD3593">
          <w:rPr>
            <w:noProof/>
            <w:webHidden/>
          </w:rPr>
          <w:t>28</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1" w:history="1">
        <w:r w:rsidR="00AD3593" w:rsidRPr="00FF6AD7">
          <w:rPr>
            <w:rStyle w:val="Hyperlink"/>
            <w:noProof/>
          </w:rPr>
          <w:t>Графикон 15</w:t>
        </w:r>
        <w:r w:rsidR="00AD3593" w:rsidRPr="00FF6AD7">
          <w:rPr>
            <w:rStyle w:val="Hyperlink"/>
            <w:noProof/>
            <w:lang w:val="mk-MK"/>
          </w:rPr>
          <w:t xml:space="preserve"> Удел по обем на реализиран појдовен сообраќај (%) (состојба 31.12.2011 година и 31.12.2010 година)</w:t>
        </w:r>
        <w:r w:rsidR="00AD3593">
          <w:rPr>
            <w:noProof/>
            <w:webHidden/>
          </w:rPr>
          <w:tab/>
        </w:r>
        <w:r w:rsidR="00AD3593">
          <w:rPr>
            <w:noProof/>
            <w:webHidden/>
          </w:rPr>
          <w:fldChar w:fldCharType="begin"/>
        </w:r>
        <w:r w:rsidR="00AD3593">
          <w:rPr>
            <w:noProof/>
            <w:webHidden/>
          </w:rPr>
          <w:instrText xml:space="preserve"> PAGEREF _Toc327269951 \h </w:instrText>
        </w:r>
        <w:r w:rsidR="00AD3593">
          <w:rPr>
            <w:noProof/>
            <w:webHidden/>
          </w:rPr>
        </w:r>
        <w:r w:rsidR="00AD3593">
          <w:rPr>
            <w:noProof/>
            <w:webHidden/>
          </w:rPr>
          <w:fldChar w:fldCharType="separate"/>
        </w:r>
        <w:r w:rsidR="00AD3593">
          <w:rPr>
            <w:noProof/>
            <w:webHidden/>
          </w:rPr>
          <w:t>29</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2" w:history="1">
        <w:r w:rsidR="00AD3593" w:rsidRPr="00FF6AD7">
          <w:rPr>
            <w:rStyle w:val="Hyperlink"/>
            <w:noProof/>
          </w:rPr>
          <w:t>Графикон 16</w:t>
        </w:r>
        <w:r w:rsidR="00AD3593" w:rsidRPr="00FF6AD7">
          <w:rPr>
            <w:rStyle w:val="Hyperlink"/>
            <w:noProof/>
            <w:lang w:val="mk-MK"/>
          </w:rPr>
          <w:t xml:space="preserve"> Просечен обем на појдовен сообраќај (во минути месечно) по претплатник инициран од јавна мобилна комуникациска мрежа за 2011 и 2010 година.</w:t>
        </w:r>
        <w:r w:rsidR="00AD3593">
          <w:rPr>
            <w:noProof/>
            <w:webHidden/>
          </w:rPr>
          <w:tab/>
        </w:r>
        <w:r w:rsidR="00AD3593">
          <w:rPr>
            <w:noProof/>
            <w:webHidden/>
          </w:rPr>
          <w:fldChar w:fldCharType="begin"/>
        </w:r>
        <w:r w:rsidR="00AD3593">
          <w:rPr>
            <w:noProof/>
            <w:webHidden/>
          </w:rPr>
          <w:instrText xml:space="preserve"> PAGEREF _Toc327269952 \h </w:instrText>
        </w:r>
        <w:r w:rsidR="00AD3593">
          <w:rPr>
            <w:noProof/>
            <w:webHidden/>
          </w:rPr>
        </w:r>
        <w:r w:rsidR="00AD3593">
          <w:rPr>
            <w:noProof/>
            <w:webHidden/>
          </w:rPr>
          <w:fldChar w:fldCharType="separate"/>
        </w:r>
        <w:r w:rsidR="00AD3593">
          <w:rPr>
            <w:noProof/>
            <w:webHidden/>
          </w:rPr>
          <w:t>30</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3" w:history="1">
        <w:r w:rsidR="00AD3593" w:rsidRPr="00FF6AD7">
          <w:rPr>
            <w:rStyle w:val="Hyperlink"/>
            <w:noProof/>
          </w:rPr>
          <w:t xml:space="preserve">Графикон 17 Просечно времетраење на разговор по претплатник (во минути) поединечно </w:t>
        </w:r>
        <w:r w:rsidR="00AD3593" w:rsidRPr="00FF6AD7">
          <w:rPr>
            <w:rStyle w:val="Hyperlink"/>
            <w:noProof/>
            <w:lang w:val="mk-MK"/>
          </w:rPr>
          <w:t xml:space="preserve"> </w:t>
        </w:r>
        <w:r w:rsidR="00AD3593" w:rsidRPr="00FF6AD7">
          <w:rPr>
            <w:rStyle w:val="Hyperlink"/>
            <w:noProof/>
          </w:rPr>
          <w:t>по оператор</w:t>
        </w:r>
        <w:r w:rsidR="00AD3593" w:rsidRPr="00FF6AD7">
          <w:rPr>
            <w:rStyle w:val="Hyperlink"/>
            <w:noProof/>
            <w:lang w:val="mk-MK"/>
          </w:rPr>
          <w:t xml:space="preserve"> за 2011 и 2010 година</w:t>
        </w:r>
        <w:r w:rsidR="00AD3593">
          <w:rPr>
            <w:noProof/>
            <w:webHidden/>
          </w:rPr>
          <w:tab/>
        </w:r>
        <w:r w:rsidR="00AD3593">
          <w:rPr>
            <w:noProof/>
            <w:webHidden/>
          </w:rPr>
          <w:fldChar w:fldCharType="begin"/>
        </w:r>
        <w:r w:rsidR="00AD3593">
          <w:rPr>
            <w:noProof/>
            <w:webHidden/>
          </w:rPr>
          <w:instrText xml:space="preserve"> PAGEREF _Toc327269953 \h </w:instrText>
        </w:r>
        <w:r w:rsidR="00AD3593">
          <w:rPr>
            <w:noProof/>
            <w:webHidden/>
          </w:rPr>
        </w:r>
        <w:r w:rsidR="00AD3593">
          <w:rPr>
            <w:noProof/>
            <w:webHidden/>
          </w:rPr>
          <w:fldChar w:fldCharType="separate"/>
        </w:r>
        <w:r w:rsidR="00AD3593">
          <w:rPr>
            <w:noProof/>
            <w:webHidden/>
          </w:rPr>
          <w:t>31</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4" w:history="1">
        <w:r w:rsidR="00AD3593" w:rsidRPr="00FF6AD7">
          <w:rPr>
            <w:rStyle w:val="Hyperlink"/>
            <w:noProof/>
          </w:rPr>
          <w:t>Графикон 18 Удел во однос на вкупниот број на испратени СМС пораки во 20</w:t>
        </w:r>
        <w:r w:rsidR="00AD3593" w:rsidRPr="00FF6AD7">
          <w:rPr>
            <w:rStyle w:val="Hyperlink"/>
            <w:noProof/>
            <w:lang w:val="mk-MK"/>
          </w:rPr>
          <w:t>11</w:t>
        </w:r>
        <w:r w:rsidR="00AD3593" w:rsidRPr="00FF6AD7">
          <w:rPr>
            <w:rStyle w:val="Hyperlink"/>
            <w:noProof/>
          </w:rPr>
          <w:t xml:space="preserve"> година</w:t>
        </w:r>
        <w:r w:rsidR="00AD3593">
          <w:rPr>
            <w:noProof/>
            <w:webHidden/>
          </w:rPr>
          <w:tab/>
        </w:r>
        <w:r w:rsidR="00AD3593">
          <w:rPr>
            <w:noProof/>
            <w:webHidden/>
          </w:rPr>
          <w:fldChar w:fldCharType="begin"/>
        </w:r>
        <w:r w:rsidR="00AD3593">
          <w:rPr>
            <w:noProof/>
            <w:webHidden/>
          </w:rPr>
          <w:instrText xml:space="preserve"> PAGEREF _Toc327269954 \h </w:instrText>
        </w:r>
        <w:r w:rsidR="00AD3593">
          <w:rPr>
            <w:noProof/>
            <w:webHidden/>
          </w:rPr>
        </w:r>
        <w:r w:rsidR="00AD3593">
          <w:rPr>
            <w:noProof/>
            <w:webHidden/>
          </w:rPr>
          <w:fldChar w:fldCharType="separate"/>
        </w:r>
        <w:r w:rsidR="00AD3593">
          <w:rPr>
            <w:noProof/>
            <w:webHidden/>
          </w:rPr>
          <w:t>32</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5" w:history="1">
        <w:r w:rsidR="00AD3593" w:rsidRPr="00FF6AD7">
          <w:rPr>
            <w:rStyle w:val="Hyperlink"/>
            <w:noProof/>
          </w:rPr>
          <w:t>Графикон 19</w:t>
        </w:r>
        <w:r w:rsidR="00AD3593" w:rsidRPr="00FF6AD7">
          <w:rPr>
            <w:rStyle w:val="Hyperlink"/>
            <w:noProof/>
            <w:lang w:val="mk-MK"/>
          </w:rPr>
          <w:t xml:space="preserve"> Удел во однос на вкупниот број на испратени ММС</w:t>
        </w:r>
        <w:r w:rsidR="00AD3593" w:rsidRPr="00FF6AD7">
          <w:rPr>
            <w:rStyle w:val="Hyperlink"/>
            <w:noProof/>
          </w:rPr>
          <w:t xml:space="preserve"> </w:t>
        </w:r>
        <w:r w:rsidR="00AD3593" w:rsidRPr="00FF6AD7">
          <w:rPr>
            <w:rStyle w:val="Hyperlink"/>
            <w:noProof/>
            <w:lang w:val="mk-MK"/>
          </w:rPr>
          <w:t>пораки во 2011 година</w:t>
        </w:r>
        <w:r w:rsidR="00AD3593">
          <w:rPr>
            <w:noProof/>
            <w:webHidden/>
          </w:rPr>
          <w:tab/>
        </w:r>
        <w:r w:rsidR="00AD3593">
          <w:rPr>
            <w:noProof/>
            <w:webHidden/>
          </w:rPr>
          <w:fldChar w:fldCharType="begin"/>
        </w:r>
        <w:r w:rsidR="00AD3593">
          <w:rPr>
            <w:noProof/>
            <w:webHidden/>
          </w:rPr>
          <w:instrText xml:space="preserve"> PAGEREF _Toc327269955 \h </w:instrText>
        </w:r>
        <w:r w:rsidR="00AD3593">
          <w:rPr>
            <w:noProof/>
            <w:webHidden/>
          </w:rPr>
        </w:r>
        <w:r w:rsidR="00AD3593">
          <w:rPr>
            <w:noProof/>
            <w:webHidden/>
          </w:rPr>
          <w:fldChar w:fldCharType="separate"/>
        </w:r>
        <w:r w:rsidR="00AD3593">
          <w:rPr>
            <w:noProof/>
            <w:webHidden/>
          </w:rPr>
          <w:t>32</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6" w:history="1">
        <w:r w:rsidR="00AD3593" w:rsidRPr="00FF6AD7">
          <w:rPr>
            <w:rStyle w:val="Hyperlink"/>
            <w:noProof/>
          </w:rPr>
          <w:t>Графикон 20</w:t>
        </w:r>
        <w:r w:rsidR="00AD3593" w:rsidRPr="00FF6AD7">
          <w:rPr>
            <w:rStyle w:val="Hyperlink"/>
            <w:noProof/>
            <w:lang w:val="mk-MK"/>
          </w:rPr>
          <w:t xml:space="preserve"> Број на претплатници на пристап до интернет со тесен опсег по квартали во 2011 година</w:t>
        </w:r>
        <w:r w:rsidR="00AD3593">
          <w:rPr>
            <w:noProof/>
            <w:webHidden/>
          </w:rPr>
          <w:tab/>
        </w:r>
        <w:r w:rsidR="00AD3593">
          <w:rPr>
            <w:noProof/>
            <w:webHidden/>
          </w:rPr>
          <w:fldChar w:fldCharType="begin"/>
        </w:r>
        <w:r w:rsidR="00AD3593">
          <w:rPr>
            <w:noProof/>
            <w:webHidden/>
          </w:rPr>
          <w:instrText xml:space="preserve"> PAGEREF _Toc327269956 \h </w:instrText>
        </w:r>
        <w:r w:rsidR="00AD3593">
          <w:rPr>
            <w:noProof/>
            <w:webHidden/>
          </w:rPr>
        </w:r>
        <w:r w:rsidR="00AD3593">
          <w:rPr>
            <w:noProof/>
            <w:webHidden/>
          </w:rPr>
          <w:fldChar w:fldCharType="separate"/>
        </w:r>
        <w:r w:rsidR="00AD3593">
          <w:rPr>
            <w:noProof/>
            <w:webHidden/>
          </w:rPr>
          <w:t>37</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7" w:history="1">
        <w:r w:rsidR="00AD3593" w:rsidRPr="00FF6AD7">
          <w:rPr>
            <w:rStyle w:val="Hyperlink"/>
            <w:noProof/>
          </w:rPr>
          <w:t>Графикон 21</w:t>
        </w:r>
        <w:r w:rsidR="00AD3593" w:rsidRPr="00FF6AD7">
          <w:rPr>
            <w:rStyle w:val="Hyperlink"/>
            <w:noProof/>
            <w:lang w:val="mk-MK"/>
          </w:rPr>
          <w:t xml:space="preserve"> Број на претплатници на пристап до интернет со широк опсег по квартали  во 2011 година</w:t>
        </w:r>
        <w:r w:rsidR="00AD3593">
          <w:rPr>
            <w:noProof/>
            <w:webHidden/>
          </w:rPr>
          <w:tab/>
        </w:r>
        <w:r w:rsidR="00AD3593">
          <w:rPr>
            <w:noProof/>
            <w:webHidden/>
          </w:rPr>
          <w:fldChar w:fldCharType="begin"/>
        </w:r>
        <w:r w:rsidR="00AD3593">
          <w:rPr>
            <w:noProof/>
            <w:webHidden/>
          </w:rPr>
          <w:instrText xml:space="preserve"> PAGEREF _Toc327269957 \h </w:instrText>
        </w:r>
        <w:r w:rsidR="00AD3593">
          <w:rPr>
            <w:noProof/>
            <w:webHidden/>
          </w:rPr>
        </w:r>
        <w:r w:rsidR="00AD3593">
          <w:rPr>
            <w:noProof/>
            <w:webHidden/>
          </w:rPr>
          <w:fldChar w:fldCharType="separate"/>
        </w:r>
        <w:r w:rsidR="00AD3593">
          <w:rPr>
            <w:noProof/>
            <w:webHidden/>
          </w:rPr>
          <w:t>38</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8" w:history="1">
        <w:r w:rsidR="00AD3593" w:rsidRPr="00FF6AD7">
          <w:rPr>
            <w:rStyle w:val="Hyperlink"/>
            <w:noProof/>
          </w:rPr>
          <w:t xml:space="preserve">Графикон 22 Удел на бројот на претплатници на пристап до интернет по технологии </w:t>
        </w:r>
        <w:r w:rsidR="00AD3593" w:rsidRPr="00FF6AD7">
          <w:rPr>
            <w:rStyle w:val="Hyperlink"/>
            <w:noProof/>
            <w:lang w:val="mk-MK"/>
          </w:rPr>
          <w:t xml:space="preserve"> </w:t>
        </w:r>
        <w:r w:rsidR="00AD3593" w:rsidRPr="00FF6AD7">
          <w:rPr>
            <w:rStyle w:val="Hyperlink"/>
            <w:noProof/>
          </w:rPr>
          <w:t>во 201</w:t>
        </w:r>
        <w:r w:rsidR="00AD3593" w:rsidRPr="00FF6AD7">
          <w:rPr>
            <w:rStyle w:val="Hyperlink"/>
            <w:noProof/>
            <w:lang w:val="mk-MK"/>
          </w:rPr>
          <w:t>1</w:t>
        </w:r>
        <w:r w:rsidR="00AD3593" w:rsidRPr="00FF6AD7">
          <w:rPr>
            <w:rStyle w:val="Hyperlink"/>
            <w:noProof/>
          </w:rPr>
          <w:t xml:space="preserve"> година</w:t>
        </w:r>
        <w:r w:rsidR="00AD3593">
          <w:rPr>
            <w:noProof/>
            <w:webHidden/>
          </w:rPr>
          <w:tab/>
        </w:r>
        <w:r w:rsidR="00AD3593">
          <w:rPr>
            <w:noProof/>
            <w:webHidden/>
          </w:rPr>
          <w:fldChar w:fldCharType="begin"/>
        </w:r>
        <w:r w:rsidR="00AD3593">
          <w:rPr>
            <w:noProof/>
            <w:webHidden/>
          </w:rPr>
          <w:instrText xml:space="preserve"> PAGEREF _Toc327269958 \h </w:instrText>
        </w:r>
        <w:r w:rsidR="00AD3593">
          <w:rPr>
            <w:noProof/>
            <w:webHidden/>
          </w:rPr>
        </w:r>
        <w:r w:rsidR="00AD3593">
          <w:rPr>
            <w:noProof/>
            <w:webHidden/>
          </w:rPr>
          <w:fldChar w:fldCharType="separate"/>
        </w:r>
        <w:r w:rsidR="00AD3593">
          <w:rPr>
            <w:noProof/>
            <w:webHidden/>
          </w:rPr>
          <w:t>39</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59" w:history="1">
        <w:r w:rsidR="00AD3593" w:rsidRPr="00FF6AD7">
          <w:rPr>
            <w:rStyle w:val="Hyperlink"/>
            <w:noProof/>
          </w:rPr>
          <w:t>Графикон 23</w:t>
        </w:r>
        <w:r w:rsidR="00AD3593" w:rsidRPr="00FF6AD7">
          <w:rPr>
            <w:rStyle w:val="Hyperlink"/>
            <w:noProof/>
            <w:lang w:val="mk-MK"/>
          </w:rPr>
          <w:t xml:space="preserve"> Пренос на ТВ содржини до крајни корисници (состојба на 31.12.2011 година)</w:t>
        </w:r>
        <w:r w:rsidR="00AD3593">
          <w:rPr>
            <w:noProof/>
            <w:webHidden/>
          </w:rPr>
          <w:tab/>
        </w:r>
        <w:r w:rsidR="00AD3593">
          <w:rPr>
            <w:noProof/>
            <w:webHidden/>
          </w:rPr>
          <w:fldChar w:fldCharType="begin"/>
        </w:r>
        <w:r w:rsidR="00AD3593">
          <w:rPr>
            <w:noProof/>
            <w:webHidden/>
          </w:rPr>
          <w:instrText xml:space="preserve"> PAGEREF _Toc327269959 \h </w:instrText>
        </w:r>
        <w:r w:rsidR="00AD3593">
          <w:rPr>
            <w:noProof/>
            <w:webHidden/>
          </w:rPr>
        </w:r>
        <w:r w:rsidR="00AD3593">
          <w:rPr>
            <w:noProof/>
            <w:webHidden/>
          </w:rPr>
          <w:fldChar w:fldCharType="separate"/>
        </w:r>
        <w:r w:rsidR="00AD3593">
          <w:rPr>
            <w:noProof/>
            <w:webHidden/>
          </w:rPr>
          <w:t>42</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0" w:history="1">
        <w:r w:rsidR="00AD3593" w:rsidRPr="00FF6AD7">
          <w:rPr>
            <w:rStyle w:val="Hyperlink"/>
            <w:noProof/>
          </w:rPr>
          <w:t>Графикон 24 Удел на операторите во пренос на ТВ содржини до крајни корисници</w:t>
        </w:r>
        <w:r w:rsidR="00AD3593" w:rsidRPr="00FF6AD7">
          <w:rPr>
            <w:rStyle w:val="Hyperlink"/>
            <w:noProof/>
            <w:lang w:val="mk-MK"/>
          </w:rPr>
          <w:t xml:space="preserve"> </w:t>
        </w:r>
        <w:r w:rsidR="00AD3593" w:rsidRPr="00FF6AD7">
          <w:rPr>
            <w:rStyle w:val="Hyperlink"/>
            <w:noProof/>
          </w:rPr>
          <w:t xml:space="preserve"> во 2011 година</w:t>
        </w:r>
        <w:r w:rsidR="00AD3593">
          <w:rPr>
            <w:noProof/>
            <w:webHidden/>
          </w:rPr>
          <w:tab/>
        </w:r>
        <w:r w:rsidR="00AD3593">
          <w:rPr>
            <w:noProof/>
            <w:webHidden/>
          </w:rPr>
          <w:fldChar w:fldCharType="begin"/>
        </w:r>
        <w:r w:rsidR="00AD3593">
          <w:rPr>
            <w:noProof/>
            <w:webHidden/>
          </w:rPr>
          <w:instrText xml:space="preserve"> PAGEREF _Toc327269960 \h </w:instrText>
        </w:r>
        <w:r w:rsidR="00AD3593">
          <w:rPr>
            <w:noProof/>
            <w:webHidden/>
          </w:rPr>
        </w:r>
        <w:r w:rsidR="00AD3593">
          <w:rPr>
            <w:noProof/>
            <w:webHidden/>
          </w:rPr>
          <w:fldChar w:fldCharType="separate"/>
        </w:r>
        <w:r w:rsidR="00AD3593">
          <w:rPr>
            <w:noProof/>
            <w:webHidden/>
          </w:rPr>
          <w:t>43</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1" w:history="1">
        <w:r w:rsidR="00AD3593" w:rsidRPr="00FF6AD7">
          <w:rPr>
            <w:rStyle w:val="Hyperlink"/>
            <w:noProof/>
          </w:rPr>
          <w:t>Графикон 25 Број на пренесени броеви (фиксни и мобилни) во периодот од 3</w:t>
        </w:r>
        <w:r w:rsidR="00AD3593" w:rsidRPr="00FF6AD7">
          <w:rPr>
            <w:rStyle w:val="Hyperlink"/>
            <w:noProof/>
            <w:lang w:val="mk-MK"/>
          </w:rPr>
          <w:t>1</w:t>
        </w:r>
        <w:r w:rsidR="00AD3593" w:rsidRPr="00FF6AD7">
          <w:rPr>
            <w:rStyle w:val="Hyperlink"/>
            <w:noProof/>
          </w:rPr>
          <w:t>.0</w:t>
        </w:r>
        <w:r w:rsidR="00AD3593" w:rsidRPr="00FF6AD7">
          <w:rPr>
            <w:rStyle w:val="Hyperlink"/>
            <w:noProof/>
            <w:lang w:val="mk-MK"/>
          </w:rPr>
          <w:t>3</w:t>
        </w:r>
        <w:r w:rsidR="00AD3593" w:rsidRPr="00FF6AD7">
          <w:rPr>
            <w:rStyle w:val="Hyperlink"/>
            <w:noProof/>
          </w:rPr>
          <w:t>.200</w:t>
        </w:r>
        <w:r w:rsidR="00AD3593" w:rsidRPr="00FF6AD7">
          <w:rPr>
            <w:rStyle w:val="Hyperlink"/>
            <w:noProof/>
            <w:lang w:val="mk-MK"/>
          </w:rPr>
          <w:t>9</w:t>
        </w:r>
        <w:r w:rsidR="00AD3593" w:rsidRPr="00FF6AD7">
          <w:rPr>
            <w:rStyle w:val="Hyperlink"/>
            <w:noProof/>
          </w:rPr>
          <w:t xml:space="preserve"> </w:t>
        </w:r>
        <w:r w:rsidR="00AD3593" w:rsidRPr="00FF6AD7">
          <w:rPr>
            <w:rStyle w:val="Hyperlink"/>
            <w:noProof/>
            <w:lang w:val="mk-MK"/>
          </w:rPr>
          <w:t xml:space="preserve"> </w:t>
        </w:r>
        <w:r w:rsidR="00AD3593" w:rsidRPr="00FF6AD7">
          <w:rPr>
            <w:rStyle w:val="Hyperlink"/>
            <w:noProof/>
          </w:rPr>
          <w:t>до 31.12.20</w:t>
        </w:r>
        <w:r w:rsidR="00AD3593" w:rsidRPr="00FF6AD7">
          <w:rPr>
            <w:rStyle w:val="Hyperlink"/>
            <w:noProof/>
            <w:lang w:val="mk-MK"/>
          </w:rPr>
          <w:t>11</w:t>
        </w:r>
        <w:r w:rsidR="00AD3593" w:rsidRPr="00FF6AD7">
          <w:rPr>
            <w:rStyle w:val="Hyperlink"/>
            <w:noProof/>
          </w:rPr>
          <w:t xml:space="preserve"> година</w:t>
        </w:r>
        <w:r w:rsidR="00AD3593">
          <w:rPr>
            <w:noProof/>
            <w:webHidden/>
          </w:rPr>
          <w:tab/>
        </w:r>
        <w:r w:rsidR="00AD3593">
          <w:rPr>
            <w:noProof/>
            <w:webHidden/>
          </w:rPr>
          <w:fldChar w:fldCharType="begin"/>
        </w:r>
        <w:r w:rsidR="00AD3593">
          <w:rPr>
            <w:noProof/>
            <w:webHidden/>
          </w:rPr>
          <w:instrText xml:space="preserve"> PAGEREF _Toc327269961 \h </w:instrText>
        </w:r>
        <w:r w:rsidR="00AD3593">
          <w:rPr>
            <w:noProof/>
            <w:webHidden/>
          </w:rPr>
        </w:r>
        <w:r w:rsidR="00AD3593">
          <w:rPr>
            <w:noProof/>
            <w:webHidden/>
          </w:rPr>
          <w:fldChar w:fldCharType="separate"/>
        </w:r>
        <w:r w:rsidR="00AD3593">
          <w:rPr>
            <w:noProof/>
            <w:webHidden/>
          </w:rPr>
          <w:t>46</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2" w:history="1">
        <w:r w:rsidR="00AD3593" w:rsidRPr="00FF6AD7">
          <w:rPr>
            <w:rStyle w:val="Hyperlink"/>
            <w:noProof/>
          </w:rPr>
          <w:t>Графикон 26</w:t>
        </w:r>
        <w:r w:rsidR="00AD3593" w:rsidRPr="00FF6AD7">
          <w:rPr>
            <w:rStyle w:val="Hyperlink"/>
            <w:noProof/>
            <w:lang w:val="mk-MK"/>
          </w:rPr>
          <w:t xml:space="preserve"> Удел во однос на пренесени броеви во фиксни мрежи (состојба на ден 31.12.2011 година)</w:t>
        </w:r>
        <w:r w:rsidR="00AD3593">
          <w:rPr>
            <w:noProof/>
            <w:webHidden/>
          </w:rPr>
          <w:tab/>
        </w:r>
        <w:r w:rsidR="00AD3593">
          <w:rPr>
            <w:noProof/>
            <w:webHidden/>
          </w:rPr>
          <w:fldChar w:fldCharType="begin"/>
        </w:r>
        <w:r w:rsidR="00AD3593">
          <w:rPr>
            <w:noProof/>
            <w:webHidden/>
          </w:rPr>
          <w:instrText xml:space="preserve"> PAGEREF _Toc327269962 \h </w:instrText>
        </w:r>
        <w:r w:rsidR="00AD3593">
          <w:rPr>
            <w:noProof/>
            <w:webHidden/>
          </w:rPr>
        </w:r>
        <w:r w:rsidR="00AD3593">
          <w:rPr>
            <w:noProof/>
            <w:webHidden/>
          </w:rPr>
          <w:fldChar w:fldCharType="separate"/>
        </w:r>
        <w:r w:rsidR="00AD3593">
          <w:rPr>
            <w:noProof/>
            <w:webHidden/>
          </w:rPr>
          <w:t>47</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3" w:history="1">
        <w:r w:rsidR="00AD3593" w:rsidRPr="00FF6AD7">
          <w:rPr>
            <w:rStyle w:val="Hyperlink"/>
            <w:noProof/>
          </w:rPr>
          <w:t>Графикон 27</w:t>
        </w:r>
        <w:r w:rsidR="00AD3593" w:rsidRPr="00FF6AD7">
          <w:rPr>
            <w:rStyle w:val="Hyperlink"/>
            <w:noProof/>
            <w:lang w:val="mk-MK"/>
          </w:rPr>
          <w:t xml:space="preserve"> Удел во однос на пренесени броеви во мобилни мрежи (состојба на ден 31.12.201</w:t>
        </w:r>
        <w:r w:rsidR="00AD3593" w:rsidRPr="00FF6AD7">
          <w:rPr>
            <w:rStyle w:val="Hyperlink"/>
            <w:noProof/>
          </w:rPr>
          <w:t>1</w:t>
        </w:r>
        <w:r w:rsidR="00AD3593" w:rsidRPr="00FF6AD7">
          <w:rPr>
            <w:rStyle w:val="Hyperlink"/>
            <w:noProof/>
            <w:lang w:val="mk-MK"/>
          </w:rPr>
          <w:t xml:space="preserve"> година)</w:t>
        </w:r>
        <w:r w:rsidR="00AD3593">
          <w:rPr>
            <w:noProof/>
            <w:webHidden/>
          </w:rPr>
          <w:tab/>
        </w:r>
        <w:r w:rsidR="00AD3593">
          <w:rPr>
            <w:noProof/>
            <w:webHidden/>
          </w:rPr>
          <w:fldChar w:fldCharType="begin"/>
        </w:r>
        <w:r w:rsidR="00AD3593">
          <w:rPr>
            <w:noProof/>
            <w:webHidden/>
          </w:rPr>
          <w:instrText xml:space="preserve"> PAGEREF _Toc327269963 \h </w:instrText>
        </w:r>
        <w:r w:rsidR="00AD3593">
          <w:rPr>
            <w:noProof/>
            <w:webHidden/>
          </w:rPr>
        </w:r>
        <w:r w:rsidR="00AD3593">
          <w:rPr>
            <w:noProof/>
            <w:webHidden/>
          </w:rPr>
          <w:fldChar w:fldCharType="separate"/>
        </w:r>
        <w:r w:rsidR="00AD3593">
          <w:rPr>
            <w:noProof/>
            <w:webHidden/>
          </w:rPr>
          <w:t>48</w:t>
        </w:r>
        <w:r w:rsidR="00AD3593">
          <w:rPr>
            <w:noProof/>
            <w:webHidden/>
          </w:rPr>
          <w:fldChar w:fldCharType="end"/>
        </w:r>
      </w:hyperlink>
    </w:p>
    <w:p w:rsidR="00AD3593" w:rsidRDefault="001E0707" w:rsidP="006668EA">
      <w:pPr>
        <w:rPr>
          <w:noProof/>
        </w:rPr>
      </w:pPr>
      <w:r>
        <w:rPr>
          <w:lang w:val="mk-MK"/>
        </w:rPr>
        <w:fldChar w:fldCharType="end"/>
      </w:r>
      <w:r>
        <w:rPr>
          <w:lang w:val="mk-MK"/>
        </w:rPr>
        <w:fldChar w:fldCharType="begin"/>
      </w:r>
      <w:r w:rsidR="006668EA">
        <w:rPr>
          <w:lang w:val="mk-MK"/>
        </w:rPr>
        <w:instrText xml:space="preserve"> TOC \h \z \c "Табела" </w:instrText>
      </w:r>
      <w:r>
        <w:rPr>
          <w:lang w:val="mk-MK"/>
        </w:rPr>
        <w:fldChar w:fldCharType="separate"/>
      </w:r>
    </w:p>
    <w:p w:rsidR="00AD3593" w:rsidRDefault="00D3204F">
      <w:pPr>
        <w:pStyle w:val="TableofFigures"/>
        <w:tabs>
          <w:tab w:val="right" w:leader="dot" w:pos="10342"/>
        </w:tabs>
        <w:rPr>
          <w:noProof/>
          <w:lang w:bidi="ar-SA"/>
        </w:rPr>
      </w:pPr>
      <w:hyperlink w:anchor="_Toc327269964" w:history="1">
        <w:r w:rsidR="00AD3593" w:rsidRPr="00EB0FDD">
          <w:rPr>
            <w:rStyle w:val="Hyperlink"/>
            <w:noProof/>
          </w:rPr>
          <w:t>Табела 1</w:t>
        </w:r>
        <w:r w:rsidR="00AD3593" w:rsidRPr="00EB0FDD">
          <w:rPr>
            <w:rStyle w:val="Hyperlink"/>
            <w:noProof/>
            <w:lang w:val="mk-MK"/>
          </w:rPr>
          <w:t xml:space="preserve"> </w:t>
        </w:r>
        <w:r w:rsidR="00AD3593" w:rsidRPr="00EB0FDD">
          <w:rPr>
            <w:rStyle w:val="Hyperlink"/>
            <w:noProof/>
            <w:shd w:val="clear" w:color="auto" w:fill="FFFFFF" w:themeFill="background1"/>
          </w:rPr>
          <w:t>Листа на услуги за нотификација на субјекти</w:t>
        </w:r>
        <w:r w:rsidR="00AD3593">
          <w:rPr>
            <w:noProof/>
            <w:webHidden/>
          </w:rPr>
          <w:tab/>
        </w:r>
        <w:r w:rsidR="00AD3593">
          <w:rPr>
            <w:noProof/>
            <w:webHidden/>
          </w:rPr>
          <w:fldChar w:fldCharType="begin"/>
        </w:r>
        <w:r w:rsidR="00AD3593">
          <w:rPr>
            <w:noProof/>
            <w:webHidden/>
          </w:rPr>
          <w:instrText xml:space="preserve"> PAGEREF _Toc327269964 \h </w:instrText>
        </w:r>
        <w:r w:rsidR="00AD3593">
          <w:rPr>
            <w:noProof/>
            <w:webHidden/>
          </w:rPr>
        </w:r>
        <w:r w:rsidR="00AD3593">
          <w:rPr>
            <w:noProof/>
            <w:webHidden/>
          </w:rPr>
          <w:fldChar w:fldCharType="separate"/>
        </w:r>
        <w:r w:rsidR="00AD3593">
          <w:rPr>
            <w:noProof/>
            <w:webHidden/>
          </w:rPr>
          <w:t>6</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5" w:history="1">
        <w:r w:rsidR="00AD3593" w:rsidRPr="00EB0FDD">
          <w:rPr>
            <w:rStyle w:val="Hyperlink"/>
            <w:noProof/>
          </w:rPr>
          <w:t>Табела 2</w:t>
        </w:r>
        <w:r w:rsidR="00AD3593" w:rsidRPr="00EB0FDD">
          <w:rPr>
            <w:rStyle w:val="Hyperlink"/>
            <w:noProof/>
            <w:lang w:val="mk-MK"/>
          </w:rPr>
          <w:t xml:space="preserve"> Главни индикатори за развојот на пазарот на електронски комуникации во 2011 година</w:t>
        </w:r>
        <w:r w:rsidR="00AD3593">
          <w:rPr>
            <w:noProof/>
            <w:webHidden/>
          </w:rPr>
          <w:tab/>
        </w:r>
        <w:r w:rsidR="00AD3593">
          <w:rPr>
            <w:noProof/>
            <w:webHidden/>
          </w:rPr>
          <w:fldChar w:fldCharType="begin"/>
        </w:r>
        <w:r w:rsidR="00AD3593">
          <w:rPr>
            <w:noProof/>
            <w:webHidden/>
          </w:rPr>
          <w:instrText xml:space="preserve"> PAGEREF _Toc327269965 \h </w:instrText>
        </w:r>
        <w:r w:rsidR="00AD3593">
          <w:rPr>
            <w:noProof/>
            <w:webHidden/>
          </w:rPr>
        </w:r>
        <w:r w:rsidR="00AD3593">
          <w:rPr>
            <w:noProof/>
            <w:webHidden/>
          </w:rPr>
          <w:fldChar w:fldCharType="separate"/>
        </w:r>
        <w:r w:rsidR="00AD3593">
          <w:rPr>
            <w:noProof/>
            <w:webHidden/>
          </w:rPr>
          <w:t>8</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6" w:history="1">
        <w:r w:rsidR="00AD3593" w:rsidRPr="00EB0FDD">
          <w:rPr>
            <w:rStyle w:val="Hyperlink"/>
            <w:noProof/>
          </w:rPr>
          <w:t>Табела 3</w:t>
        </w:r>
        <w:r w:rsidR="00AD3593" w:rsidRPr="00EB0FDD">
          <w:rPr>
            <w:rStyle w:val="Hyperlink"/>
            <w:noProof/>
            <w:lang w:val="mk-MK"/>
          </w:rPr>
          <w:t xml:space="preserve"> Индикатори- Пристап до јавна телефонска мрежа на фиксна локација и јавно достапни локални, национални и меѓународни повици на фиксна локација</w:t>
        </w:r>
        <w:r w:rsidR="00AD3593">
          <w:rPr>
            <w:noProof/>
            <w:webHidden/>
          </w:rPr>
          <w:tab/>
        </w:r>
        <w:r w:rsidR="00AD3593">
          <w:rPr>
            <w:noProof/>
            <w:webHidden/>
          </w:rPr>
          <w:fldChar w:fldCharType="begin"/>
        </w:r>
        <w:r w:rsidR="00AD3593">
          <w:rPr>
            <w:noProof/>
            <w:webHidden/>
          </w:rPr>
          <w:instrText xml:space="preserve"> PAGEREF _Toc327269966 \h </w:instrText>
        </w:r>
        <w:r w:rsidR="00AD3593">
          <w:rPr>
            <w:noProof/>
            <w:webHidden/>
          </w:rPr>
        </w:r>
        <w:r w:rsidR="00AD3593">
          <w:rPr>
            <w:noProof/>
            <w:webHidden/>
          </w:rPr>
          <w:fldChar w:fldCharType="separate"/>
        </w:r>
        <w:r w:rsidR="00AD3593">
          <w:rPr>
            <w:noProof/>
            <w:webHidden/>
          </w:rPr>
          <w:t>12</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7" w:history="1">
        <w:r w:rsidR="00AD3593" w:rsidRPr="00EB0FDD">
          <w:rPr>
            <w:rStyle w:val="Hyperlink"/>
            <w:noProof/>
          </w:rPr>
          <w:t>Табела 4</w:t>
        </w:r>
        <w:r w:rsidR="00AD3593" w:rsidRPr="00EB0FDD">
          <w:rPr>
            <w:rStyle w:val="Hyperlink"/>
            <w:noProof/>
            <w:lang w:val="mk-MK"/>
          </w:rPr>
          <w:t xml:space="preserve"> Индикатори- Мобилна телефонија</w:t>
        </w:r>
        <w:r w:rsidR="00AD3593">
          <w:rPr>
            <w:noProof/>
            <w:webHidden/>
          </w:rPr>
          <w:tab/>
        </w:r>
        <w:r w:rsidR="00AD3593">
          <w:rPr>
            <w:noProof/>
            <w:webHidden/>
          </w:rPr>
          <w:fldChar w:fldCharType="begin"/>
        </w:r>
        <w:r w:rsidR="00AD3593">
          <w:rPr>
            <w:noProof/>
            <w:webHidden/>
          </w:rPr>
          <w:instrText xml:space="preserve"> PAGEREF _Toc327269967 \h </w:instrText>
        </w:r>
        <w:r w:rsidR="00AD3593">
          <w:rPr>
            <w:noProof/>
            <w:webHidden/>
          </w:rPr>
        </w:r>
        <w:r w:rsidR="00AD3593">
          <w:rPr>
            <w:noProof/>
            <w:webHidden/>
          </w:rPr>
          <w:fldChar w:fldCharType="separate"/>
        </w:r>
        <w:r w:rsidR="00AD3593">
          <w:rPr>
            <w:noProof/>
            <w:webHidden/>
          </w:rPr>
          <w:t>23</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8" w:history="1">
        <w:r w:rsidR="00AD3593" w:rsidRPr="00EB0FDD">
          <w:rPr>
            <w:rStyle w:val="Hyperlink"/>
            <w:noProof/>
          </w:rPr>
          <w:t>Табела 5</w:t>
        </w:r>
        <w:r w:rsidR="00AD3593" w:rsidRPr="00EB0FDD">
          <w:rPr>
            <w:rStyle w:val="Hyperlink"/>
            <w:noProof/>
            <w:lang w:val="mk-MK"/>
          </w:rPr>
          <w:t xml:space="preserve"> Индикатори- Пристап до интернет со тесен опсег и широк опсег</w:t>
        </w:r>
        <w:r w:rsidR="00AD3593">
          <w:rPr>
            <w:noProof/>
            <w:webHidden/>
          </w:rPr>
          <w:tab/>
        </w:r>
        <w:r w:rsidR="00AD3593">
          <w:rPr>
            <w:noProof/>
            <w:webHidden/>
          </w:rPr>
          <w:fldChar w:fldCharType="begin"/>
        </w:r>
        <w:r w:rsidR="00AD3593">
          <w:rPr>
            <w:noProof/>
            <w:webHidden/>
          </w:rPr>
          <w:instrText xml:space="preserve"> PAGEREF _Toc327269968 \h </w:instrText>
        </w:r>
        <w:r w:rsidR="00AD3593">
          <w:rPr>
            <w:noProof/>
            <w:webHidden/>
          </w:rPr>
        </w:r>
        <w:r w:rsidR="00AD3593">
          <w:rPr>
            <w:noProof/>
            <w:webHidden/>
          </w:rPr>
          <w:fldChar w:fldCharType="separate"/>
        </w:r>
        <w:r w:rsidR="00AD3593">
          <w:rPr>
            <w:noProof/>
            <w:webHidden/>
          </w:rPr>
          <w:t>35</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69" w:history="1">
        <w:r w:rsidR="00AD3593" w:rsidRPr="00EB0FDD">
          <w:rPr>
            <w:rStyle w:val="Hyperlink"/>
            <w:noProof/>
          </w:rPr>
          <w:t>Табела 6</w:t>
        </w:r>
        <w:r w:rsidR="00AD3593" w:rsidRPr="00EB0FDD">
          <w:rPr>
            <w:rStyle w:val="Hyperlink"/>
            <w:noProof/>
            <w:lang w:val="mk-MK"/>
          </w:rPr>
          <w:t xml:space="preserve"> Индикатори- пренос на радио и ТВ сигнали до крајни корисници</w:t>
        </w:r>
        <w:r w:rsidR="00AD3593">
          <w:rPr>
            <w:noProof/>
            <w:webHidden/>
          </w:rPr>
          <w:tab/>
        </w:r>
        <w:r w:rsidR="00AD3593">
          <w:rPr>
            <w:noProof/>
            <w:webHidden/>
          </w:rPr>
          <w:fldChar w:fldCharType="begin"/>
        </w:r>
        <w:r w:rsidR="00AD3593">
          <w:rPr>
            <w:noProof/>
            <w:webHidden/>
          </w:rPr>
          <w:instrText xml:space="preserve"> PAGEREF _Toc327269969 \h </w:instrText>
        </w:r>
        <w:r w:rsidR="00AD3593">
          <w:rPr>
            <w:noProof/>
            <w:webHidden/>
          </w:rPr>
        </w:r>
        <w:r w:rsidR="00AD3593">
          <w:rPr>
            <w:noProof/>
            <w:webHidden/>
          </w:rPr>
          <w:fldChar w:fldCharType="separate"/>
        </w:r>
        <w:r w:rsidR="00AD3593">
          <w:rPr>
            <w:noProof/>
            <w:webHidden/>
          </w:rPr>
          <w:t>41</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70" w:history="1">
        <w:r w:rsidR="00AD3593" w:rsidRPr="00EB0FDD">
          <w:rPr>
            <w:rStyle w:val="Hyperlink"/>
            <w:noProof/>
          </w:rPr>
          <w:t>Табела 7</w:t>
        </w:r>
        <w:r w:rsidR="00AD3593" w:rsidRPr="00EB0FDD">
          <w:rPr>
            <w:rStyle w:val="Hyperlink"/>
            <w:noProof/>
            <w:lang w:val="mk-MK"/>
          </w:rPr>
          <w:t xml:space="preserve"> Индикатори- изнајмени линии</w:t>
        </w:r>
        <w:r w:rsidR="00AD3593">
          <w:rPr>
            <w:noProof/>
            <w:webHidden/>
          </w:rPr>
          <w:tab/>
        </w:r>
        <w:r w:rsidR="00AD3593">
          <w:rPr>
            <w:noProof/>
            <w:webHidden/>
          </w:rPr>
          <w:fldChar w:fldCharType="begin"/>
        </w:r>
        <w:r w:rsidR="00AD3593">
          <w:rPr>
            <w:noProof/>
            <w:webHidden/>
          </w:rPr>
          <w:instrText xml:space="preserve"> PAGEREF _Toc327269970 \h </w:instrText>
        </w:r>
        <w:r w:rsidR="00AD3593">
          <w:rPr>
            <w:noProof/>
            <w:webHidden/>
          </w:rPr>
        </w:r>
        <w:r w:rsidR="00AD3593">
          <w:rPr>
            <w:noProof/>
            <w:webHidden/>
          </w:rPr>
          <w:fldChar w:fldCharType="separate"/>
        </w:r>
        <w:r w:rsidR="00AD3593">
          <w:rPr>
            <w:noProof/>
            <w:webHidden/>
          </w:rPr>
          <w:t>45</w:t>
        </w:r>
        <w:r w:rsidR="00AD3593">
          <w:rPr>
            <w:noProof/>
            <w:webHidden/>
          </w:rPr>
          <w:fldChar w:fldCharType="end"/>
        </w:r>
      </w:hyperlink>
    </w:p>
    <w:p w:rsidR="00AD3593" w:rsidRDefault="00D3204F">
      <w:pPr>
        <w:pStyle w:val="TableofFigures"/>
        <w:tabs>
          <w:tab w:val="right" w:leader="dot" w:pos="10342"/>
        </w:tabs>
        <w:rPr>
          <w:noProof/>
          <w:lang w:bidi="ar-SA"/>
        </w:rPr>
      </w:pPr>
      <w:hyperlink w:anchor="_Toc327269971" w:history="1">
        <w:r w:rsidR="00AD3593" w:rsidRPr="00EB0FDD">
          <w:rPr>
            <w:rStyle w:val="Hyperlink"/>
            <w:noProof/>
          </w:rPr>
          <w:t>Табела 8</w:t>
        </w:r>
        <w:r w:rsidR="00AD3593" w:rsidRPr="00EB0FDD">
          <w:rPr>
            <w:rStyle w:val="Hyperlink"/>
            <w:noProof/>
            <w:lang w:val="mk-MK"/>
          </w:rPr>
          <w:t xml:space="preserve"> </w:t>
        </w:r>
        <w:r w:rsidR="00AD3593" w:rsidRPr="00EB0FDD">
          <w:rPr>
            <w:rStyle w:val="Hyperlink"/>
            <w:noProof/>
          </w:rPr>
          <w:t>Индикатор Големопродажба– Изнајмени линии</w:t>
        </w:r>
        <w:r w:rsidR="00AD3593">
          <w:rPr>
            <w:noProof/>
            <w:webHidden/>
          </w:rPr>
          <w:tab/>
        </w:r>
        <w:r w:rsidR="00AD3593">
          <w:rPr>
            <w:noProof/>
            <w:webHidden/>
          </w:rPr>
          <w:fldChar w:fldCharType="begin"/>
        </w:r>
        <w:r w:rsidR="00AD3593">
          <w:rPr>
            <w:noProof/>
            <w:webHidden/>
          </w:rPr>
          <w:instrText xml:space="preserve"> PAGEREF _Toc327269971 \h </w:instrText>
        </w:r>
        <w:r w:rsidR="00AD3593">
          <w:rPr>
            <w:noProof/>
            <w:webHidden/>
          </w:rPr>
        </w:r>
        <w:r w:rsidR="00AD3593">
          <w:rPr>
            <w:noProof/>
            <w:webHidden/>
          </w:rPr>
          <w:fldChar w:fldCharType="separate"/>
        </w:r>
        <w:r w:rsidR="00AD3593">
          <w:rPr>
            <w:noProof/>
            <w:webHidden/>
          </w:rPr>
          <w:t>45</w:t>
        </w:r>
        <w:r w:rsidR="00AD3593">
          <w:rPr>
            <w:noProof/>
            <w:webHidden/>
          </w:rPr>
          <w:fldChar w:fldCharType="end"/>
        </w:r>
      </w:hyperlink>
    </w:p>
    <w:p w:rsidR="00A94C4D" w:rsidRDefault="001E0707" w:rsidP="006668EA">
      <w:pPr>
        <w:rPr>
          <w:lang w:val="mk-MK"/>
        </w:rPr>
      </w:pPr>
      <w:r>
        <w:rPr>
          <w:lang w:val="mk-MK"/>
        </w:rPr>
        <w:fldChar w:fldCharType="end"/>
      </w:r>
    </w:p>
    <w:p w:rsidR="00CC7A0F" w:rsidRPr="00442294" w:rsidRDefault="00A94C4D" w:rsidP="00442294">
      <w:pPr>
        <w:spacing w:after="0" w:line="240" w:lineRule="auto"/>
        <w:rPr>
          <w:lang w:val="mk-MK"/>
        </w:rPr>
      </w:pPr>
      <w:r>
        <w:rPr>
          <w:lang w:val="mk-MK"/>
        </w:rPr>
        <w:br w:type="page"/>
      </w:r>
    </w:p>
    <w:p w:rsidR="006B6AAC" w:rsidRDefault="006B6AAC" w:rsidP="006B6AAC">
      <w:pPr>
        <w:pStyle w:val="Heading1"/>
        <w:rPr>
          <w:lang w:val="mk-MK"/>
        </w:rPr>
      </w:pPr>
      <w:bookmarkStart w:id="1" w:name="_Toc327269921"/>
      <w:r w:rsidRPr="006B6AAC">
        <w:rPr>
          <w:lang w:val="mk-MK"/>
        </w:rPr>
        <w:lastRenderedPageBreak/>
        <w:t>1.Вовед</w:t>
      </w:r>
      <w:bookmarkEnd w:id="1"/>
    </w:p>
    <w:p w:rsidR="006B6AAC" w:rsidRDefault="006B6AAC" w:rsidP="00280E30">
      <w:pPr>
        <w:spacing w:after="0"/>
        <w:rPr>
          <w:lang w:val="mk-MK"/>
        </w:rPr>
      </w:pPr>
      <w:r w:rsidRPr="00454443">
        <w:rPr>
          <w:lang w:val="mk-MK"/>
        </w:rPr>
        <w:t>Процесот на либерализација на пазарот за електронски комуникации во Република Македонија отпочна во 2005 година со донесување на Законот за електронски комуникации. Либерализацијата означува отварање на пазарот за влез на нови учесници кои ќе обезбедуваат услуги до крајните корисници. Секој учесник на пазарот настојува да придобие што поголем број на крајни корисници на услугите кои тој ги нуди а тоа го остварува преку нудење на што поширока лепеза на услуги. За таа цел внесува и применува во своето работење нови технологии со цел произведување на услугите по пониски цени и подобар квалитет но и креирање на нови услуги со цел да биде поатрактивен за крајниот корисник во однос на другите учесници/понудувачи на услуги на пазарот. Конкуренцијата на пазарот претставува борба на освојување на крајни корисници а со тоа и остварување на профит.</w:t>
      </w:r>
      <w:r>
        <w:rPr>
          <w:lang w:val="mk-MK"/>
        </w:rPr>
        <w:t xml:space="preserve"> </w:t>
      </w:r>
    </w:p>
    <w:p w:rsidR="006B6AAC" w:rsidRDefault="006B6AAC" w:rsidP="00280E30">
      <w:pPr>
        <w:spacing w:after="0"/>
        <w:rPr>
          <w:lang w:val="mk-MK"/>
        </w:rPr>
      </w:pPr>
      <w:r>
        <w:rPr>
          <w:lang w:val="mk-MK"/>
        </w:rPr>
        <w:t xml:space="preserve">Согласно ЗЕК учесниците на пазарот за електронски комуникации во Република Македонија,  оператори на јавни електронски комуникациски мрежи  и даватели на услуги се обврзани да доставуваат извештаи во кои се содржани информации и финансиски податоци. АЕК овие информации и финансиски податоци ги обработува и анализира а добиените заклучоци редовно ги објавуваме на нашата веб страна. Ова објавување го правиме со цел да ги информираме  граѓаните во РМакедонија, како крајни корисници на услугите за состојбата на развој на пазарот за електронски комуникации – состојба на пазар на кој тие секојдневно се среќааваат со понудата на операторите/давателите на електронските комуникациски услуги. Исто така, преку овие извештаи операторите/давателите на услуги добиваат информации за сопствената позиционираност на пазарот за електронски комуникации во РМакедонија.   </w:t>
      </w:r>
    </w:p>
    <w:p w:rsidR="006B6AAC" w:rsidRDefault="006B6AAC" w:rsidP="00280E30">
      <w:pPr>
        <w:spacing w:after="0"/>
        <w:rPr>
          <w:lang w:val="mk-MK"/>
        </w:rPr>
      </w:pPr>
      <w:r>
        <w:rPr>
          <w:rFonts w:ascii="StobiSerif Regular" w:eastAsia="Times New Roman" w:hAnsi="StobiSerif Regular" w:cs="Arial"/>
          <w:color w:val="000000"/>
          <w:lang w:val="mk-MK"/>
        </w:rPr>
        <w:t xml:space="preserve">Врз основа на кварталните извештаи, </w:t>
      </w:r>
      <w:r w:rsidRPr="005B4EF9">
        <w:rPr>
          <w:rFonts w:ascii="StobiSerif Regular" w:eastAsia="Times New Roman" w:hAnsi="StobiSerif Regular" w:cs="Arial"/>
          <w:color w:val="000000"/>
          <w:lang w:val="mk-MK"/>
        </w:rPr>
        <w:t xml:space="preserve">АЕК </w:t>
      </w:r>
      <w:r>
        <w:rPr>
          <w:rFonts w:ascii="StobiSerif Regular" w:eastAsia="Times New Roman" w:hAnsi="StobiSerif Regular" w:cs="Arial"/>
          <w:color w:val="000000"/>
          <w:lang w:val="mk-MK"/>
        </w:rPr>
        <w:t>изготвува годишен</w:t>
      </w:r>
      <w:r w:rsidRPr="005B4EF9">
        <w:rPr>
          <w:rFonts w:ascii="StobiSerif Regular" w:eastAsia="Times New Roman" w:hAnsi="StobiSerif Regular" w:cs="Arial"/>
          <w:color w:val="000000"/>
          <w:lang w:val="mk-MK"/>
        </w:rPr>
        <w:t xml:space="preserve"> извештај </w:t>
      </w:r>
      <w:r>
        <w:rPr>
          <w:rFonts w:ascii="StobiSerif Regular" w:eastAsia="Times New Roman" w:hAnsi="StobiSerif Regular" w:cs="Arial"/>
          <w:color w:val="000000"/>
          <w:lang w:val="mk-MK"/>
        </w:rPr>
        <w:t xml:space="preserve">со цел да се прикаже целосно состојбата пазарот за електронските комуникации за годината што изминала. Исто така во годишниот извештај  се прави споредба на индикаторите од годината што изминала со  истите од годината што и претходела  а  се со цел да се добие јасна слика за  процесите кои се одвиваат на пазарот за електронски комуникации во Република Македонија.   </w:t>
      </w:r>
    </w:p>
    <w:p w:rsidR="00CC7A0F" w:rsidRDefault="00CC7A0F" w:rsidP="00280E30">
      <w:pPr>
        <w:spacing w:after="0"/>
        <w:rPr>
          <w:lang w:val="mk-MK"/>
        </w:rPr>
      </w:pPr>
      <w:r>
        <w:rPr>
          <w:lang w:val="mk-MK"/>
        </w:rPr>
        <w:t xml:space="preserve">Извештајот за развојот на пазарот на електронски комуникации е изготвен врз основа на информациите и податоците доставени од страна на операторите на јавни комуникациски мрежи и давателите на јавни </w:t>
      </w:r>
      <w:r w:rsidR="00930F19">
        <w:rPr>
          <w:lang w:val="mk-MK"/>
        </w:rPr>
        <w:t xml:space="preserve">електронски </w:t>
      </w:r>
      <w:r>
        <w:rPr>
          <w:lang w:val="mk-MK"/>
        </w:rPr>
        <w:t xml:space="preserve">комуникациски услуги во форма на квартални извештаи согласно Упатството за обезбедување на информации и финансиски податоци за анализа на </w:t>
      </w:r>
      <w:r w:rsidRPr="00AF6DD2">
        <w:rPr>
          <w:lang w:val="mk-MK"/>
        </w:rPr>
        <w:t>пазар 11-40/4 од 29.12.2009 година,</w:t>
      </w:r>
      <w:r w:rsidR="00AF6DD2" w:rsidRPr="00AF6DD2">
        <w:rPr>
          <w:lang w:val="mk-MK"/>
        </w:rPr>
        <w:t xml:space="preserve"> </w:t>
      </w:r>
      <w:r w:rsidR="004B2758" w:rsidRPr="00AF6DD2">
        <w:rPr>
          <w:lang w:val="mk-MK"/>
        </w:rPr>
        <w:t>Упатството</w:t>
      </w:r>
      <w:r w:rsidR="004B2758">
        <w:rPr>
          <w:lang w:val="mk-MK"/>
        </w:rPr>
        <w:t xml:space="preserve"> за изменување на </w:t>
      </w:r>
      <w:r w:rsidR="00AF6DD2">
        <w:rPr>
          <w:lang w:val="mk-MK"/>
        </w:rPr>
        <w:t>Упатството за обезбедување на информации и финансиски податоци за анализа на пазар 13-1297/5 од 14.06.2011 година,</w:t>
      </w:r>
      <w:r>
        <w:rPr>
          <w:lang w:val="mk-MK"/>
        </w:rPr>
        <w:t xml:space="preserve"> како и други податоци со кои располага Агенцијата за електронски комуникации  (во понатамошниот текст АЕК). </w:t>
      </w:r>
    </w:p>
    <w:p w:rsidR="00CC7A0F" w:rsidRDefault="00CC7A0F" w:rsidP="00CC7A0F">
      <w:pPr>
        <w:rPr>
          <w:lang w:val="mk-MK"/>
        </w:rPr>
      </w:pPr>
      <w:r w:rsidRPr="00FC218C">
        <w:rPr>
          <w:lang w:val="mk-MK"/>
        </w:rPr>
        <w:t>Согласно службена</w:t>
      </w:r>
      <w:r>
        <w:rPr>
          <w:lang w:val="mk-MK"/>
        </w:rPr>
        <w:t xml:space="preserve">та евиденција на АЕК за </w:t>
      </w:r>
      <w:r w:rsidRPr="00FC218C">
        <w:rPr>
          <w:lang w:val="mk-MK"/>
        </w:rPr>
        <w:t xml:space="preserve"> </w:t>
      </w:r>
      <w:r w:rsidRPr="00D03204">
        <w:rPr>
          <w:lang w:val="mk-MK"/>
        </w:rPr>
        <w:t>нотифицирани и активни</w:t>
      </w:r>
      <w:r w:rsidRPr="00FC218C">
        <w:rPr>
          <w:lang w:val="mk-MK"/>
        </w:rPr>
        <w:t xml:space="preserve"> учесници на пазарот за електронски комуникации во Ре</w:t>
      </w:r>
      <w:r>
        <w:rPr>
          <w:lang w:val="mk-MK"/>
        </w:rPr>
        <w:t>публика Македонија</w:t>
      </w:r>
      <w:r w:rsidR="00AF6DD2">
        <w:rPr>
          <w:lang w:val="mk-MK"/>
        </w:rPr>
        <w:t xml:space="preserve"> во 2011</w:t>
      </w:r>
      <w:r w:rsidRPr="00FC218C">
        <w:rPr>
          <w:lang w:val="mk-MK"/>
        </w:rPr>
        <w:t xml:space="preserve"> година се содржани следниве податоци:</w:t>
      </w:r>
    </w:p>
    <w:p w:rsidR="00CC7A0F" w:rsidRDefault="00CC7A0F" w:rsidP="00CC7A0F">
      <w:pPr>
        <w:rPr>
          <w:lang w:val="mk-MK"/>
        </w:rPr>
      </w:pPr>
    </w:p>
    <w:p w:rsidR="00CC7A0F" w:rsidRPr="005C136F" w:rsidRDefault="000F2B16" w:rsidP="000F2B16">
      <w:pPr>
        <w:pStyle w:val="Caption"/>
        <w:rPr>
          <w:color w:val="0D0D0D" w:themeColor="text1" w:themeTint="F2"/>
          <w:lang w:val="mk-MK"/>
        </w:rPr>
      </w:pPr>
      <w:bookmarkStart w:id="2" w:name="_Toc327269964"/>
      <w:r w:rsidRPr="005C136F">
        <w:rPr>
          <w:color w:val="0D0D0D" w:themeColor="text1" w:themeTint="F2"/>
        </w:rPr>
        <w:t xml:space="preserve">Табела </w:t>
      </w:r>
      <w:r w:rsidR="001E0707" w:rsidRPr="005C136F">
        <w:rPr>
          <w:color w:val="0D0D0D" w:themeColor="text1" w:themeTint="F2"/>
        </w:rPr>
        <w:fldChar w:fldCharType="begin"/>
      </w:r>
      <w:r w:rsidRPr="005C136F">
        <w:rPr>
          <w:color w:val="0D0D0D" w:themeColor="text1" w:themeTint="F2"/>
        </w:rPr>
        <w:instrText xml:space="preserve"> SEQ Табела \* ARABIC </w:instrText>
      </w:r>
      <w:r w:rsidR="001E0707" w:rsidRPr="005C136F">
        <w:rPr>
          <w:color w:val="0D0D0D" w:themeColor="text1" w:themeTint="F2"/>
        </w:rPr>
        <w:fldChar w:fldCharType="separate"/>
      </w:r>
      <w:r w:rsidR="004E5FA2">
        <w:rPr>
          <w:noProof/>
          <w:color w:val="0D0D0D" w:themeColor="text1" w:themeTint="F2"/>
        </w:rPr>
        <w:t>1</w:t>
      </w:r>
      <w:r w:rsidR="001E0707" w:rsidRPr="005C136F">
        <w:rPr>
          <w:color w:val="0D0D0D" w:themeColor="text1" w:themeTint="F2"/>
        </w:rPr>
        <w:fldChar w:fldCharType="end"/>
      </w:r>
      <w:r w:rsidRPr="005C136F">
        <w:rPr>
          <w:color w:val="0D0D0D" w:themeColor="text1" w:themeTint="F2"/>
          <w:lang w:val="mk-MK"/>
        </w:rPr>
        <w:t xml:space="preserve"> </w:t>
      </w:r>
      <w:r w:rsidRPr="005C136F">
        <w:rPr>
          <w:color w:val="0D0D0D" w:themeColor="text1" w:themeTint="F2"/>
          <w:shd w:val="clear" w:color="auto" w:fill="FFFFFF" w:themeFill="background1"/>
        </w:rPr>
        <w:t>Листа на услуги за нотификација на субјекти</w:t>
      </w:r>
      <w:bookmarkEnd w:id="2"/>
    </w:p>
    <w:tbl>
      <w:tblPr>
        <w:tblStyle w:val="TableGrid"/>
        <w:tblW w:w="0" w:type="auto"/>
        <w:tblLook w:val="04A0" w:firstRow="1" w:lastRow="0" w:firstColumn="1" w:lastColumn="0" w:noHBand="0" w:noVBand="1"/>
      </w:tblPr>
      <w:tblGrid>
        <w:gridCol w:w="558"/>
        <w:gridCol w:w="4230"/>
        <w:gridCol w:w="5447"/>
      </w:tblGrid>
      <w:tr w:rsidR="00CC7A0F" w:rsidRPr="000F1F27" w:rsidTr="0000674C">
        <w:tc>
          <w:tcPr>
            <w:tcW w:w="10235" w:type="dxa"/>
            <w:gridSpan w:val="3"/>
            <w:tcBorders>
              <w:bottom w:val="single" w:sz="12" w:space="0" w:color="auto"/>
            </w:tcBorders>
            <w:shd w:val="clear" w:color="auto" w:fill="A6A6A6" w:themeFill="background1" w:themeFillShade="A6"/>
            <w:vAlign w:val="center"/>
          </w:tcPr>
          <w:p w:rsidR="00CC7A0F" w:rsidRPr="000F1F27" w:rsidRDefault="00CC7A0F" w:rsidP="0000674C">
            <w:pPr>
              <w:spacing w:after="0"/>
              <w:jc w:val="center"/>
              <w:rPr>
                <w:lang w:val="mk-MK"/>
              </w:rPr>
            </w:pPr>
            <w:r w:rsidRPr="000F1F27">
              <w:rPr>
                <w:b/>
                <w:lang w:val="mk-MK"/>
              </w:rPr>
              <w:t>Услуги за нотификација на субјекти</w:t>
            </w:r>
          </w:p>
        </w:tc>
      </w:tr>
      <w:tr w:rsidR="00CC7A0F" w:rsidTr="0000674C">
        <w:tc>
          <w:tcPr>
            <w:tcW w:w="558" w:type="dxa"/>
            <w:vMerge w:val="restart"/>
            <w:tcBorders>
              <w:top w:val="single" w:sz="12" w:space="0" w:color="auto"/>
              <w:left w:val="single" w:sz="12" w:space="0" w:color="auto"/>
            </w:tcBorders>
            <w:vAlign w:val="center"/>
          </w:tcPr>
          <w:p w:rsidR="00CC7A0F" w:rsidRDefault="00CC7A0F" w:rsidP="0000674C">
            <w:pPr>
              <w:jc w:val="center"/>
              <w:rPr>
                <w:lang w:val="mk-MK"/>
              </w:rPr>
            </w:pPr>
            <w:r w:rsidRPr="004F471F">
              <w:rPr>
                <w:b/>
                <w:lang w:val="mk-MK"/>
              </w:rPr>
              <w:t>У1</w:t>
            </w:r>
          </w:p>
        </w:tc>
        <w:tc>
          <w:tcPr>
            <w:tcW w:w="9677" w:type="dxa"/>
            <w:gridSpan w:val="2"/>
            <w:tcBorders>
              <w:top w:val="single" w:sz="12" w:space="0" w:color="auto"/>
              <w:right w:val="single" w:sz="12" w:space="0" w:color="auto"/>
            </w:tcBorders>
          </w:tcPr>
          <w:p w:rsidR="00CC7A0F" w:rsidRDefault="00CC7A0F" w:rsidP="0000674C">
            <w:pPr>
              <w:spacing w:before="120" w:after="0" w:line="240" w:lineRule="auto"/>
              <w:rPr>
                <w:lang w:val="mk-MK"/>
              </w:rPr>
            </w:pPr>
            <w:r>
              <w:rPr>
                <w:lang w:val="mk-MK"/>
              </w:rPr>
              <w:t>Обезбедување на јавно достапни телефонски услуги на фиксна локација за национален и/или меѓународен сообраќај</w:t>
            </w:r>
          </w:p>
        </w:tc>
      </w:tr>
      <w:tr w:rsidR="00CC7A0F" w:rsidRPr="00733354" w:rsidTr="0000674C">
        <w:trPr>
          <w:trHeight w:val="453"/>
        </w:trPr>
        <w:tc>
          <w:tcPr>
            <w:tcW w:w="558" w:type="dxa"/>
            <w:vMerge/>
            <w:tcBorders>
              <w:left w:val="single" w:sz="12" w:space="0" w:color="auto"/>
              <w:bottom w:val="double" w:sz="4" w:space="0" w:color="auto"/>
            </w:tcBorders>
          </w:tcPr>
          <w:p w:rsidR="00CC7A0F" w:rsidRPr="00733354" w:rsidRDefault="00CC7A0F" w:rsidP="0000674C">
            <w:pPr>
              <w:spacing w:after="0"/>
              <w:jc w:val="center"/>
              <w:rPr>
                <w:b/>
                <w:lang w:val="mk-MK"/>
              </w:rPr>
            </w:pPr>
          </w:p>
        </w:tc>
        <w:tc>
          <w:tcPr>
            <w:tcW w:w="4230" w:type="dxa"/>
            <w:tcBorders>
              <w:bottom w:val="double" w:sz="4" w:space="0" w:color="auto"/>
            </w:tcBorders>
            <w:vAlign w:val="center"/>
          </w:tcPr>
          <w:p w:rsidR="00CC7A0F" w:rsidRPr="00733354" w:rsidRDefault="00CC7A0F" w:rsidP="0000674C">
            <w:pPr>
              <w:spacing w:before="120" w:after="0" w:line="240" w:lineRule="auto"/>
              <w:jc w:val="center"/>
              <w:rPr>
                <w:b/>
                <w:lang w:val="mk-MK"/>
              </w:rPr>
            </w:pPr>
            <w:r w:rsidRPr="00733354">
              <w:rPr>
                <w:b/>
                <w:lang w:val="mk-MK"/>
              </w:rPr>
              <w:t>Нотифицирани -4</w:t>
            </w:r>
            <w:r w:rsidR="00AF6DD2">
              <w:rPr>
                <w:b/>
                <w:lang w:val="mk-MK"/>
              </w:rPr>
              <w:t>3</w:t>
            </w:r>
          </w:p>
        </w:tc>
        <w:tc>
          <w:tcPr>
            <w:tcW w:w="5447" w:type="dxa"/>
            <w:tcBorders>
              <w:bottom w:val="double" w:sz="4" w:space="0" w:color="auto"/>
              <w:right w:val="single" w:sz="12" w:space="0" w:color="auto"/>
            </w:tcBorders>
            <w:vAlign w:val="center"/>
          </w:tcPr>
          <w:p w:rsidR="00CC7A0F" w:rsidRPr="00733354" w:rsidRDefault="00CC7A0F" w:rsidP="0000674C">
            <w:pPr>
              <w:spacing w:before="120" w:after="0" w:line="240" w:lineRule="auto"/>
              <w:jc w:val="center"/>
              <w:rPr>
                <w:b/>
                <w:lang w:val="mk-MK"/>
              </w:rPr>
            </w:pPr>
            <w:r w:rsidRPr="00733354">
              <w:rPr>
                <w:b/>
                <w:lang w:val="mk-MK"/>
              </w:rPr>
              <w:t>Активни - 3</w:t>
            </w:r>
            <w:r w:rsidR="00AF6DD2">
              <w:rPr>
                <w:b/>
                <w:lang w:val="mk-MK"/>
              </w:rPr>
              <w:t>8</w:t>
            </w:r>
          </w:p>
        </w:tc>
      </w:tr>
      <w:tr w:rsidR="00CC7A0F" w:rsidTr="0000674C">
        <w:tc>
          <w:tcPr>
            <w:tcW w:w="558" w:type="dxa"/>
            <w:vMerge w:val="restart"/>
            <w:tcBorders>
              <w:top w:val="double" w:sz="4" w:space="0" w:color="auto"/>
              <w:left w:val="single" w:sz="12" w:space="0" w:color="auto"/>
              <w:right w:val="single" w:sz="4" w:space="0" w:color="auto"/>
            </w:tcBorders>
            <w:vAlign w:val="center"/>
          </w:tcPr>
          <w:p w:rsidR="00CC7A0F" w:rsidRDefault="00CC7A0F" w:rsidP="0000674C">
            <w:pPr>
              <w:spacing w:after="0"/>
              <w:jc w:val="center"/>
              <w:rPr>
                <w:lang w:val="mk-MK"/>
              </w:rPr>
            </w:pPr>
            <w:r w:rsidRPr="004F471F">
              <w:rPr>
                <w:b/>
                <w:lang w:val="mk-MK"/>
              </w:rPr>
              <w:t>У2</w:t>
            </w:r>
          </w:p>
        </w:tc>
        <w:tc>
          <w:tcPr>
            <w:tcW w:w="9677" w:type="dxa"/>
            <w:gridSpan w:val="2"/>
            <w:tcBorders>
              <w:top w:val="double" w:sz="4" w:space="0" w:color="auto"/>
              <w:left w:val="single" w:sz="4" w:space="0" w:color="auto"/>
              <w:right w:val="single" w:sz="12" w:space="0" w:color="auto"/>
            </w:tcBorders>
          </w:tcPr>
          <w:p w:rsidR="00CC7A0F" w:rsidRDefault="00CC7A0F" w:rsidP="0000674C">
            <w:pPr>
              <w:spacing w:after="0" w:line="240" w:lineRule="auto"/>
              <w:rPr>
                <w:lang w:val="mk-MK"/>
              </w:rPr>
            </w:pPr>
            <w:r>
              <w:rPr>
                <w:lang w:val="mk-MK"/>
              </w:rPr>
              <w:t xml:space="preserve">Обезбедување на јавно достапни телефонски услуги на јавна мобилна комуникациска мрежа за </w:t>
            </w:r>
            <w:r w:rsidRPr="00C65B9E">
              <w:rPr>
                <w:lang w:val="mk-MK"/>
              </w:rPr>
              <w:t>национален и/или меѓународен</w:t>
            </w:r>
            <w:r>
              <w:rPr>
                <w:lang w:val="mk-MK"/>
              </w:rPr>
              <w:t xml:space="preserve"> сообраќај</w:t>
            </w:r>
          </w:p>
        </w:tc>
      </w:tr>
      <w:tr w:rsidR="00CC7A0F" w:rsidRPr="00733354" w:rsidTr="0000674C">
        <w:tc>
          <w:tcPr>
            <w:tcW w:w="558" w:type="dxa"/>
            <w:vMerge/>
            <w:tcBorders>
              <w:left w:val="single" w:sz="12" w:space="0" w:color="auto"/>
              <w:bottom w:val="double" w:sz="4" w:space="0" w:color="auto"/>
              <w:right w:val="single" w:sz="4" w:space="0" w:color="auto"/>
            </w:tcBorders>
          </w:tcPr>
          <w:p w:rsidR="00CC7A0F" w:rsidRPr="00733354" w:rsidRDefault="00CC7A0F" w:rsidP="0000674C">
            <w:pPr>
              <w:spacing w:after="0"/>
              <w:jc w:val="center"/>
              <w:rPr>
                <w:b/>
                <w:lang w:val="mk-MK"/>
              </w:rPr>
            </w:pPr>
          </w:p>
        </w:tc>
        <w:tc>
          <w:tcPr>
            <w:tcW w:w="4230" w:type="dxa"/>
            <w:tcBorders>
              <w:left w:val="single" w:sz="4" w:space="0" w:color="auto"/>
              <w:bottom w:val="double" w:sz="4" w:space="0" w:color="auto"/>
            </w:tcBorders>
          </w:tcPr>
          <w:p w:rsidR="00CC7A0F" w:rsidRPr="00733354" w:rsidRDefault="00CC7A0F" w:rsidP="0000674C">
            <w:pPr>
              <w:spacing w:before="120" w:after="0" w:line="240" w:lineRule="auto"/>
              <w:jc w:val="center"/>
              <w:rPr>
                <w:b/>
                <w:lang w:val="mk-MK"/>
              </w:rPr>
            </w:pPr>
            <w:r w:rsidRPr="00733354">
              <w:rPr>
                <w:b/>
                <w:lang w:val="mk-MK"/>
              </w:rPr>
              <w:t>Нотифицирани</w:t>
            </w:r>
            <w:r>
              <w:rPr>
                <w:b/>
                <w:lang w:val="mk-MK"/>
              </w:rPr>
              <w:t xml:space="preserve"> - </w:t>
            </w:r>
            <w:r w:rsidR="00AF6DD2">
              <w:rPr>
                <w:b/>
                <w:lang w:val="mk-MK"/>
              </w:rPr>
              <w:t>5</w:t>
            </w:r>
          </w:p>
        </w:tc>
        <w:tc>
          <w:tcPr>
            <w:tcW w:w="5447" w:type="dxa"/>
            <w:tcBorders>
              <w:bottom w:val="double" w:sz="4" w:space="0" w:color="auto"/>
              <w:right w:val="single" w:sz="12" w:space="0" w:color="auto"/>
            </w:tcBorders>
          </w:tcPr>
          <w:p w:rsidR="00CC7A0F" w:rsidRPr="00733354" w:rsidRDefault="00CC7A0F" w:rsidP="0000674C">
            <w:pPr>
              <w:spacing w:before="120" w:after="0" w:line="240" w:lineRule="auto"/>
              <w:jc w:val="center"/>
              <w:rPr>
                <w:b/>
                <w:lang w:val="mk-MK"/>
              </w:rPr>
            </w:pPr>
            <w:r w:rsidRPr="00733354">
              <w:rPr>
                <w:b/>
                <w:lang w:val="mk-MK"/>
              </w:rPr>
              <w:t>Активни</w:t>
            </w:r>
            <w:r>
              <w:rPr>
                <w:b/>
                <w:lang w:val="mk-MK"/>
              </w:rPr>
              <w:t xml:space="preserve"> - 3</w:t>
            </w:r>
          </w:p>
        </w:tc>
      </w:tr>
      <w:tr w:rsidR="00CC7A0F" w:rsidTr="0000674C">
        <w:tc>
          <w:tcPr>
            <w:tcW w:w="558" w:type="dxa"/>
            <w:vMerge w:val="restart"/>
            <w:tcBorders>
              <w:top w:val="double" w:sz="4" w:space="0" w:color="auto"/>
              <w:left w:val="single" w:sz="12" w:space="0" w:color="auto"/>
            </w:tcBorders>
            <w:vAlign w:val="center"/>
          </w:tcPr>
          <w:p w:rsidR="00CC7A0F" w:rsidRDefault="00CC7A0F" w:rsidP="0000674C">
            <w:pPr>
              <w:spacing w:after="0"/>
              <w:jc w:val="center"/>
              <w:rPr>
                <w:lang w:val="mk-MK"/>
              </w:rPr>
            </w:pPr>
            <w:r w:rsidRPr="004F471F">
              <w:rPr>
                <w:b/>
                <w:lang w:val="mk-MK"/>
              </w:rPr>
              <w:lastRenderedPageBreak/>
              <w:t>У</w:t>
            </w:r>
            <w:r>
              <w:rPr>
                <w:b/>
                <w:lang w:val="mk-MK"/>
              </w:rPr>
              <w:t>3</w:t>
            </w:r>
          </w:p>
        </w:tc>
        <w:tc>
          <w:tcPr>
            <w:tcW w:w="9677" w:type="dxa"/>
            <w:gridSpan w:val="2"/>
            <w:tcBorders>
              <w:top w:val="double" w:sz="4" w:space="0" w:color="auto"/>
              <w:right w:val="single" w:sz="12" w:space="0" w:color="auto"/>
            </w:tcBorders>
          </w:tcPr>
          <w:p w:rsidR="00CC7A0F" w:rsidRDefault="00CC7A0F" w:rsidP="0000674C">
            <w:pPr>
              <w:spacing w:before="120" w:after="0" w:line="240" w:lineRule="auto"/>
              <w:rPr>
                <w:lang w:val="mk-MK"/>
              </w:rPr>
            </w:pPr>
            <w:r>
              <w:rPr>
                <w:lang w:val="mk-MK"/>
              </w:rPr>
              <w:t>Меѓуоператорски услуги за пренос или рутирање на национален и/или меѓународен сообраќај</w:t>
            </w:r>
          </w:p>
        </w:tc>
      </w:tr>
      <w:tr w:rsidR="00CC7A0F" w:rsidRPr="00733354" w:rsidTr="0000674C">
        <w:tc>
          <w:tcPr>
            <w:tcW w:w="558" w:type="dxa"/>
            <w:vMerge/>
            <w:tcBorders>
              <w:top w:val="single" w:sz="4" w:space="0" w:color="auto"/>
              <w:left w:val="single" w:sz="12" w:space="0" w:color="auto"/>
              <w:bottom w:val="double" w:sz="4" w:space="0" w:color="auto"/>
            </w:tcBorders>
          </w:tcPr>
          <w:p w:rsidR="00CC7A0F" w:rsidRDefault="00CC7A0F" w:rsidP="0000674C">
            <w:pPr>
              <w:spacing w:after="0"/>
              <w:jc w:val="center"/>
              <w:rPr>
                <w:lang w:val="mk-MK"/>
              </w:rPr>
            </w:pPr>
          </w:p>
        </w:tc>
        <w:tc>
          <w:tcPr>
            <w:tcW w:w="4230" w:type="dxa"/>
            <w:tcBorders>
              <w:bottom w:val="double" w:sz="4" w:space="0" w:color="auto"/>
            </w:tcBorders>
          </w:tcPr>
          <w:p w:rsidR="00CC7A0F" w:rsidRPr="00733354" w:rsidRDefault="00CC7A0F" w:rsidP="0000674C">
            <w:pPr>
              <w:spacing w:before="120" w:after="0" w:line="240" w:lineRule="auto"/>
              <w:jc w:val="center"/>
              <w:rPr>
                <w:b/>
                <w:lang w:val="mk-MK"/>
              </w:rPr>
            </w:pPr>
            <w:r w:rsidRPr="00733354">
              <w:rPr>
                <w:b/>
                <w:lang w:val="mk-MK"/>
              </w:rPr>
              <w:t>Нотифицирани</w:t>
            </w:r>
            <w:r>
              <w:rPr>
                <w:b/>
                <w:lang w:val="mk-MK"/>
              </w:rPr>
              <w:t xml:space="preserve"> - 1</w:t>
            </w:r>
            <w:r w:rsidR="00AF6DD2">
              <w:rPr>
                <w:b/>
                <w:lang w:val="mk-MK"/>
              </w:rPr>
              <w:t>7</w:t>
            </w:r>
          </w:p>
        </w:tc>
        <w:tc>
          <w:tcPr>
            <w:tcW w:w="5447" w:type="dxa"/>
            <w:tcBorders>
              <w:bottom w:val="double" w:sz="4" w:space="0" w:color="auto"/>
              <w:right w:val="single" w:sz="12" w:space="0" w:color="auto"/>
            </w:tcBorders>
          </w:tcPr>
          <w:p w:rsidR="00CC7A0F" w:rsidRPr="00733354" w:rsidRDefault="00CC7A0F" w:rsidP="0000674C">
            <w:pPr>
              <w:spacing w:before="120" w:after="0" w:line="240" w:lineRule="auto"/>
              <w:jc w:val="center"/>
              <w:rPr>
                <w:b/>
                <w:lang w:val="mk-MK"/>
              </w:rPr>
            </w:pPr>
            <w:r w:rsidRPr="00733354">
              <w:rPr>
                <w:b/>
                <w:lang w:val="mk-MK"/>
              </w:rPr>
              <w:t>Активни</w:t>
            </w:r>
            <w:r>
              <w:rPr>
                <w:b/>
                <w:lang w:val="mk-MK"/>
              </w:rPr>
              <w:t xml:space="preserve"> - </w:t>
            </w:r>
            <w:r w:rsidR="00AF6DD2">
              <w:rPr>
                <w:b/>
                <w:lang w:val="mk-MK"/>
              </w:rPr>
              <w:t>14</w:t>
            </w:r>
          </w:p>
        </w:tc>
      </w:tr>
      <w:tr w:rsidR="00CC7A0F" w:rsidRPr="00974753" w:rsidTr="0000674C">
        <w:tc>
          <w:tcPr>
            <w:tcW w:w="558" w:type="dxa"/>
            <w:vMerge w:val="restart"/>
            <w:tcBorders>
              <w:top w:val="double" w:sz="4" w:space="0" w:color="auto"/>
              <w:left w:val="single" w:sz="12" w:space="0" w:color="auto"/>
            </w:tcBorders>
            <w:vAlign w:val="center"/>
          </w:tcPr>
          <w:p w:rsidR="00CC7A0F" w:rsidRDefault="00CC7A0F" w:rsidP="0000674C">
            <w:pPr>
              <w:spacing w:after="0"/>
              <w:jc w:val="center"/>
              <w:rPr>
                <w:lang w:val="mk-MK"/>
              </w:rPr>
            </w:pPr>
            <w:r w:rsidRPr="004F471F">
              <w:rPr>
                <w:b/>
                <w:lang w:val="mk-MK"/>
              </w:rPr>
              <w:t>У</w:t>
            </w:r>
            <w:r>
              <w:rPr>
                <w:b/>
                <w:lang w:val="mk-MK"/>
              </w:rPr>
              <w:t>4</w:t>
            </w:r>
          </w:p>
        </w:tc>
        <w:tc>
          <w:tcPr>
            <w:tcW w:w="9677" w:type="dxa"/>
            <w:gridSpan w:val="2"/>
            <w:tcBorders>
              <w:top w:val="double" w:sz="4" w:space="0" w:color="auto"/>
              <w:right w:val="single" w:sz="12" w:space="0" w:color="auto"/>
            </w:tcBorders>
          </w:tcPr>
          <w:p w:rsidR="00CC7A0F" w:rsidRPr="00974753" w:rsidRDefault="00CC7A0F" w:rsidP="0000674C">
            <w:pPr>
              <w:spacing w:before="120" w:after="0" w:line="240" w:lineRule="auto"/>
              <w:rPr>
                <w:lang w:val="mk-MK"/>
              </w:rPr>
            </w:pPr>
            <w:r>
              <w:rPr>
                <w:lang w:val="mk-MK"/>
              </w:rPr>
              <w:t xml:space="preserve">Услуги за пренос на податоци и тоа со: теснопојасен пристап на Интернет или широкопојасен пристап на Интернет ( битска брзина ≥ 256 </w:t>
            </w:r>
            <w:r>
              <w:t xml:space="preserve">kbit/s </w:t>
            </w:r>
            <w:r>
              <w:rPr>
                <w:lang w:val="mk-MK"/>
              </w:rPr>
              <w:t>)</w:t>
            </w:r>
          </w:p>
        </w:tc>
      </w:tr>
      <w:tr w:rsidR="00CC7A0F" w:rsidRPr="00733354" w:rsidTr="0000674C">
        <w:tc>
          <w:tcPr>
            <w:tcW w:w="558" w:type="dxa"/>
            <w:vMerge/>
            <w:tcBorders>
              <w:left w:val="single" w:sz="12" w:space="0" w:color="auto"/>
              <w:bottom w:val="double" w:sz="4" w:space="0" w:color="auto"/>
            </w:tcBorders>
          </w:tcPr>
          <w:p w:rsidR="00CC7A0F" w:rsidRDefault="00CC7A0F" w:rsidP="0000674C">
            <w:pPr>
              <w:spacing w:after="0"/>
              <w:jc w:val="center"/>
              <w:rPr>
                <w:lang w:val="mk-MK"/>
              </w:rPr>
            </w:pPr>
          </w:p>
        </w:tc>
        <w:tc>
          <w:tcPr>
            <w:tcW w:w="4230" w:type="dxa"/>
            <w:tcBorders>
              <w:bottom w:val="double" w:sz="4" w:space="0" w:color="auto"/>
            </w:tcBorders>
          </w:tcPr>
          <w:p w:rsidR="00CC7A0F" w:rsidRPr="00733354" w:rsidRDefault="00CC7A0F" w:rsidP="0000674C">
            <w:pPr>
              <w:spacing w:before="120" w:after="0"/>
              <w:jc w:val="center"/>
              <w:rPr>
                <w:b/>
                <w:lang w:val="mk-MK"/>
              </w:rPr>
            </w:pPr>
            <w:r w:rsidRPr="00733354">
              <w:rPr>
                <w:b/>
                <w:lang w:val="mk-MK"/>
              </w:rPr>
              <w:t>Нотифицирани</w:t>
            </w:r>
            <w:r>
              <w:rPr>
                <w:b/>
                <w:lang w:val="mk-MK"/>
              </w:rPr>
              <w:t xml:space="preserve"> - </w:t>
            </w:r>
            <w:r w:rsidR="00AF6DD2">
              <w:rPr>
                <w:b/>
                <w:lang w:val="mk-MK"/>
              </w:rPr>
              <w:t>110</w:t>
            </w:r>
          </w:p>
        </w:tc>
        <w:tc>
          <w:tcPr>
            <w:tcW w:w="5447" w:type="dxa"/>
            <w:tcBorders>
              <w:bottom w:val="double" w:sz="4" w:space="0" w:color="auto"/>
              <w:right w:val="single" w:sz="12" w:space="0" w:color="auto"/>
            </w:tcBorders>
          </w:tcPr>
          <w:p w:rsidR="00CC7A0F" w:rsidRPr="00733354" w:rsidRDefault="00CC7A0F" w:rsidP="0000674C">
            <w:pPr>
              <w:spacing w:before="120" w:after="0"/>
              <w:jc w:val="center"/>
              <w:rPr>
                <w:b/>
                <w:lang w:val="mk-MK"/>
              </w:rPr>
            </w:pPr>
            <w:r w:rsidRPr="00733354">
              <w:rPr>
                <w:b/>
                <w:lang w:val="mk-MK"/>
              </w:rPr>
              <w:t>Активни</w:t>
            </w:r>
            <w:r>
              <w:rPr>
                <w:b/>
                <w:lang w:val="mk-MK"/>
              </w:rPr>
              <w:t xml:space="preserve"> </w:t>
            </w:r>
            <w:r w:rsidR="00AF6DD2">
              <w:rPr>
                <w:b/>
                <w:lang w:val="mk-MK"/>
              </w:rPr>
              <w:t>–</w:t>
            </w:r>
            <w:r>
              <w:rPr>
                <w:b/>
                <w:lang w:val="mk-MK"/>
              </w:rPr>
              <w:t xml:space="preserve"> </w:t>
            </w:r>
            <w:r w:rsidR="00AF6DD2">
              <w:rPr>
                <w:b/>
                <w:lang w:val="mk-MK"/>
              </w:rPr>
              <w:t>100</w:t>
            </w:r>
          </w:p>
        </w:tc>
      </w:tr>
      <w:tr w:rsidR="00CC7A0F" w:rsidRPr="004F471F" w:rsidTr="0000674C">
        <w:tc>
          <w:tcPr>
            <w:tcW w:w="558" w:type="dxa"/>
            <w:vMerge w:val="restart"/>
            <w:tcBorders>
              <w:top w:val="double" w:sz="4" w:space="0" w:color="auto"/>
              <w:left w:val="single" w:sz="12" w:space="0" w:color="auto"/>
            </w:tcBorders>
            <w:vAlign w:val="center"/>
          </w:tcPr>
          <w:p w:rsidR="00CC7A0F" w:rsidRDefault="00CC7A0F" w:rsidP="0000674C">
            <w:pPr>
              <w:spacing w:after="0"/>
              <w:jc w:val="center"/>
              <w:rPr>
                <w:lang w:val="mk-MK"/>
              </w:rPr>
            </w:pPr>
            <w:r w:rsidRPr="004F471F">
              <w:rPr>
                <w:b/>
                <w:lang w:val="mk-MK"/>
              </w:rPr>
              <w:t>У</w:t>
            </w:r>
            <w:r>
              <w:rPr>
                <w:b/>
                <w:lang w:val="mk-MK"/>
              </w:rPr>
              <w:t>5</w:t>
            </w:r>
          </w:p>
        </w:tc>
        <w:tc>
          <w:tcPr>
            <w:tcW w:w="9677" w:type="dxa"/>
            <w:gridSpan w:val="2"/>
            <w:tcBorders>
              <w:top w:val="double" w:sz="4" w:space="0" w:color="auto"/>
              <w:right w:val="single" w:sz="12" w:space="0" w:color="auto"/>
            </w:tcBorders>
          </w:tcPr>
          <w:p w:rsidR="00CC7A0F" w:rsidRPr="004F471F" w:rsidRDefault="00CC7A0F" w:rsidP="0000674C">
            <w:pPr>
              <w:spacing w:after="0" w:line="240" w:lineRule="auto"/>
              <w:rPr>
                <w:lang w:val="mk-MK"/>
              </w:rPr>
            </w:pPr>
            <w:r>
              <w:rPr>
                <w:lang w:val="mk-MK"/>
              </w:rPr>
              <w:t>Услуги поврзани со радиодифузија, како што се: пренос на терестријални радио програмски сервиси, пренос на терестријални телевизиски програмски сервиси, реемитување на радио програмски сервиси, реемитување на телевизиски програмски сервиси</w:t>
            </w:r>
          </w:p>
        </w:tc>
      </w:tr>
      <w:tr w:rsidR="00CC7A0F" w:rsidRPr="00733354" w:rsidTr="0000674C">
        <w:tc>
          <w:tcPr>
            <w:tcW w:w="558" w:type="dxa"/>
            <w:vMerge/>
            <w:tcBorders>
              <w:top w:val="double" w:sz="4" w:space="0" w:color="auto"/>
              <w:left w:val="single" w:sz="12" w:space="0" w:color="auto"/>
              <w:bottom w:val="double" w:sz="4" w:space="0" w:color="auto"/>
            </w:tcBorders>
          </w:tcPr>
          <w:p w:rsidR="00CC7A0F" w:rsidRDefault="00CC7A0F" w:rsidP="0000674C">
            <w:pPr>
              <w:spacing w:after="0"/>
              <w:jc w:val="center"/>
              <w:rPr>
                <w:lang w:val="mk-MK"/>
              </w:rPr>
            </w:pPr>
          </w:p>
        </w:tc>
        <w:tc>
          <w:tcPr>
            <w:tcW w:w="4230" w:type="dxa"/>
            <w:tcBorders>
              <w:bottom w:val="double" w:sz="4" w:space="0" w:color="auto"/>
            </w:tcBorders>
          </w:tcPr>
          <w:p w:rsidR="00CC7A0F" w:rsidRPr="00733354" w:rsidRDefault="00CC7A0F" w:rsidP="0000674C">
            <w:pPr>
              <w:spacing w:after="0"/>
              <w:jc w:val="center"/>
              <w:rPr>
                <w:b/>
                <w:lang w:val="mk-MK"/>
              </w:rPr>
            </w:pPr>
            <w:r w:rsidRPr="00733354">
              <w:rPr>
                <w:b/>
                <w:lang w:val="mk-MK"/>
              </w:rPr>
              <w:t>Нотифицирани</w:t>
            </w:r>
            <w:r>
              <w:rPr>
                <w:b/>
                <w:lang w:val="mk-MK"/>
              </w:rPr>
              <w:t xml:space="preserve"> - 8</w:t>
            </w:r>
            <w:r w:rsidR="00AF6DD2">
              <w:rPr>
                <w:b/>
                <w:lang w:val="mk-MK"/>
              </w:rPr>
              <w:t>6</w:t>
            </w:r>
          </w:p>
        </w:tc>
        <w:tc>
          <w:tcPr>
            <w:tcW w:w="5447" w:type="dxa"/>
            <w:tcBorders>
              <w:bottom w:val="double" w:sz="4" w:space="0" w:color="auto"/>
              <w:right w:val="single" w:sz="12" w:space="0" w:color="auto"/>
            </w:tcBorders>
          </w:tcPr>
          <w:p w:rsidR="00CC7A0F" w:rsidRPr="00733354" w:rsidRDefault="00CC7A0F" w:rsidP="0000674C">
            <w:pPr>
              <w:spacing w:after="0"/>
              <w:jc w:val="center"/>
              <w:rPr>
                <w:b/>
                <w:lang w:val="mk-MK"/>
              </w:rPr>
            </w:pPr>
            <w:r w:rsidRPr="00733354">
              <w:rPr>
                <w:b/>
                <w:lang w:val="mk-MK"/>
              </w:rPr>
              <w:t>Активни</w:t>
            </w:r>
            <w:r>
              <w:rPr>
                <w:b/>
                <w:lang w:val="mk-MK"/>
              </w:rPr>
              <w:t xml:space="preserve"> </w:t>
            </w:r>
            <w:r w:rsidR="00221A5C">
              <w:rPr>
                <w:b/>
                <w:lang w:val="mk-MK"/>
              </w:rPr>
              <w:t>–</w:t>
            </w:r>
            <w:r>
              <w:rPr>
                <w:b/>
                <w:lang w:val="mk-MK"/>
              </w:rPr>
              <w:t xml:space="preserve"> </w:t>
            </w:r>
            <w:r w:rsidR="00AF6DD2">
              <w:rPr>
                <w:b/>
                <w:lang w:val="mk-MK"/>
              </w:rPr>
              <w:t>83</w:t>
            </w:r>
          </w:p>
        </w:tc>
      </w:tr>
      <w:tr w:rsidR="00CC7A0F" w:rsidRPr="00FD3E0E" w:rsidTr="0000674C">
        <w:tc>
          <w:tcPr>
            <w:tcW w:w="558" w:type="dxa"/>
            <w:vMerge w:val="restart"/>
            <w:tcBorders>
              <w:top w:val="double" w:sz="4" w:space="0" w:color="auto"/>
              <w:left w:val="single" w:sz="12" w:space="0" w:color="auto"/>
            </w:tcBorders>
            <w:vAlign w:val="center"/>
          </w:tcPr>
          <w:p w:rsidR="00CC7A0F" w:rsidRDefault="00CC7A0F" w:rsidP="0000674C">
            <w:pPr>
              <w:spacing w:after="0"/>
              <w:jc w:val="center"/>
              <w:rPr>
                <w:lang w:val="mk-MK"/>
              </w:rPr>
            </w:pPr>
            <w:r w:rsidRPr="004F471F">
              <w:rPr>
                <w:b/>
                <w:lang w:val="mk-MK"/>
              </w:rPr>
              <w:t>У</w:t>
            </w:r>
            <w:r>
              <w:rPr>
                <w:b/>
                <w:lang w:val="mk-MK"/>
              </w:rPr>
              <w:t>6</w:t>
            </w:r>
          </w:p>
        </w:tc>
        <w:tc>
          <w:tcPr>
            <w:tcW w:w="9677" w:type="dxa"/>
            <w:gridSpan w:val="2"/>
            <w:tcBorders>
              <w:top w:val="double" w:sz="4" w:space="0" w:color="auto"/>
              <w:right w:val="single" w:sz="12" w:space="0" w:color="auto"/>
            </w:tcBorders>
          </w:tcPr>
          <w:p w:rsidR="00CC7A0F" w:rsidRPr="00FD3E0E" w:rsidRDefault="00CC7A0F" w:rsidP="0000674C">
            <w:pPr>
              <w:spacing w:before="120" w:after="0" w:line="240" w:lineRule="auto"/>
            </w:pPr>
            <w:r>
              <w:rPr>
                <w:lang w:val="mk-MK"/>
              </w:rPr>
              <w:t xml:space="preserve">Услуги на давање јавна електронска комуникациска мрежа под наем, како што се изнајмени линии </w:t>
            </w:r>
          </w:p>
        </w:tc>
      </w:tr>
      <w:tr w:rsidR="00CC7A0F" w:rsidRPr="00733354" w:rsidTr="0000674C">
        <w:tc>
          <w:tcPr>
            <w:tcW w:w="558" w:type="dxa"/>
            <w:vMerge/>
            <w:tcBorders>
              <w:left w:val="single" w:sz="12" w:space="0" w:color="auto"/>
              <w:bottom w:val="double" w:sz="4" w:space="0" w:color="auto"/>
            </w:tcBorders>
          </w:tcPr>
          <w:p w:rsidR="00CC7A0F" w:rsidRPr="004F471F" w:rsidRDefault="00CC7A0F" w:rsidP="0000674C">
            <w:pPr>
              <w:spacing w:after="0"/>
              <w:jc w:val="center"/>
              <w:rPr>
                <w:b/>
                <w:lang w:val="mk-MK"/>
              </w:rPr>
            </w:pPr>
          </w:p>
        </w:tc>
        <w:tc>
          <w:tcPr>
            <w:tcW w:w="4230" w:type="dxa"/>
            <w:tcBorders>
              <w:bottom w:val="double" w:sz="4" w:space="0" w:color="auto"/>
            </w:tcBorders>
          </w:tcPr>
          <w:p w:rsidR="00CC7A0F" w:rsidRPr="00733354" w:rsidRDefault="00CC7A0F" w:rsidP="0000674C">
            <w:pPr>
              <w:spacing w:before="120" w:after="0"/>
              <w:jc w:val="center"/>
              <w:rPr>
                <w:b/>
                <w:lang w:val="mk-MK"/>
              </w:rPr>
            </w:pPr>
            <w:r w:rsidRPr="00733354">
              <w:rPr>
                <w:b/>
                <w:lang w:val="mk-MK"/>
              </w:rPr>
              <w:t>Нотифицирани</w:t>
            </w:r>
            <w:r>
              <w:rPr>
                <w:b/>
                <w:lang w:val="mk-MK"/>
              </w:rPr>
              <w:t xml:space="preserve"> - 2</w:t>
            </w:r>
            <w:r w:rsidR="00221A5C">
              <w:rPr>
                <w:b/>
                <w:lang w:val="mk-MK"/>
              </w:rPr>
              <w:t>3</w:t>
            </w:r>
          </w:p>
        </w:tc>
        <w:tc>
          <w:tcPr>
            <w:tcW w:w="5447" w:type="dxa"/>
            <w:tcBorders>
              <w:bottom w:val="double" w:sz="4" w:space="0" w:color="auto"/>
              <w:right w:val="single" w:sz="12" w:space="0" w:color="auto"/>
            </w:tcBorders>
          </w:tcPr>
          <w:p w:rsidR="00CC7A0F" w:rsidRPr="00733354" w:rsidRDefault="00CC7A0F" w:rsidP="0000674C">
            <w:pPr>
              <w:spacing w:before="120" w:after="0"/>
              <w:jc w:val="center"/>
              <w:rPr>
                <w:b/>
                <w:lang w:val="mk-MK"/>
              </w:rPr>
            </w:pPr>
            <w:r w:rsidRPr="00733354">
              <w:rPr>
                <w:b/>
                <w:lang w:val="mk-MK"/>
              </w:rPr>
              <w:t>Активни</w:t>
            </w:r>
            <w:r>
              <w:rPr>
                <w:b/>
                <w:lang w:val="mk-MK"/>
              </w:rPr>
              <w:t xml:space="preserve"> </w:t>
            </w:r>
            <w:r w:rsidR="00221A5C">
              <w:rPr>
                <w:b/>
                <w:lang w:val="mk-MK"/>
              </w:rPr>
              <w:t>–</w:t>
            </w:r>
            <w:r>
              <w:rPr>
                <w:b/>
                <w:lang w:val="mk-MK"/>
              </w:rPr>
              <w:t xml:space="preserve"> </w:t>
            </w:r>
            <w:r w:rsidR="00B3371A">
              <w:rPr>
                <w:b/>
                <w:lang w:val="mk-MK"/>
              </w:rPr>
              <w:t>19</w:t>
            </w:r>
          </w:p>
        </w:tc>
      </w:tr>
      <w:tr w:rsidR="00CC7A0F" w:rsidTr="0000674C">
        <w:tc>
          <w:tcPr>
            <w:tcW w:w="558" w:type="dxa"/>
            <w:vMerge w:val="restart"/>
            <w:tcBorders>
              <w:top w:val="double" w:sz="4" w:space="0" w:color="auto"/>
              <w:left w:val="single" w:sz="12" w:space="0" w:color="auto"/>
            </w:tcBorders>
            <w:vAlign w:val="center"/>
          </w:tcPr>
          <w:p w:rsidR="00CC7A0F" w:rsidRPr="004F471F" w:rsidRDefault="00CC7A0F" w:rsidP="0000674C">
            <w:pPr>
              <w:spacing w:after="0"/>
              <w:jc w:val="center"/>
              <w:rPr>
                <w:b/>
                <w:lang w:val="mk-MK"/>
              </w:rPr>
            </w:pPr>
            <w:r w:rsidRPr="004F471F">
              <w:rPr>
                <w:b/>
                <w:lang w:val="mk-MK"/>
              </w:rPr>
              <w:t>У</w:t>
            </w:r>
            <w:r>
              <w:rPr>
                <w:b/>
                <w:lang w:val="mk-MK"/>
              </w:rPr>
              <w:t>7</w:t>
            </w:r>
          </w:p>
        </w:tc>
        <w:tc>
          <w:tcPr>
            <w:tcW w:w="9677" w:type="dxa"/>
            <w:gridSpan w:val="2"/>
            <w:tcBorders>
              <w:top w:val="double" w:sz="4" w:space="0" w:color="auto"/>
              <w:right w:val="single" w:sz="12" w:space="0" w:color="auto"/>
            </w:tcBorders>
          </w:tcPr>
          <w:p w:rsidR="00CC7A0F" w:rsidRDefault="00CC7A0F" w:rsidP="0000674C">
            <w:pPr>
              <w:spacing w:before="120" w:after="0"/>
              <w:rPr>
                <w:lang w:val="mk-MK"/>
              </w:rPr>
            </w:pPr>
            <w:r>
              <w:rPr>
                <w:lang w:val="mk-MK"/>
              </w:rPr>
              <w:t>Други услуги</w:t>
            </w:r>
          </w:p>
        </w:tc>
      </w:tr>
      <w:tr w:rsidR="00CC7A0F" w:rsidRPr="00733354" w:rsidTr="0000674C">
        <w:tc>
          <w:tcPr>
            <w:tcW w:w="558" w:type="dxa"/>
            <w:vMerge/>
            <w:tcBorders>
              <w:top w:val="double" w:sz="4" w:space="0" w:color="auto"/>
              <w:left w:val="single" w:sz="12" w:space="0" w:color="auto"/>
              <w:bottom w:val="single" w:sz="12" w:space="0" w:color="auto"/>
            </w:tcBorders>
          </w:tcPr>
          <w:p w:rsidR="00CC7A0F" w:rsidRPr="004F471F" w:rsidRDefault="00CC7A0F" w:rsidP="0000674C">
            <w:pPr>
              <w:jc w:val="center"/>
              <w:rPr>
                <w:b/>
                <w:lang w:val="mk-MK"/>
              </w:rPr>
            </w:pPr>
          </w:p>
        </w:tc>
        <w:tc>
          <w:tcPr>
            <w:tcW w:w="4230" w:type="dxa"/>
            <w:tcBorders>
              <w:bottom w:val="single" w:sz="12" w:space="0" w:color="auto"/>
            </w:tcBorders>
          </w:tcPr>
          <w:p w:rsidR="00CC7A0F" w:rsidRPr="00733354" w:rsidRDefault="00CC7A0F" w:rsidP="0000674C">
            <w:pPr>
              <w:spacing w:before="120" w:after="0"/>
              <w:jc w:val="center"/>
              <w:rPr>
                <w:b/>
                <w:lang w:val="mk-MK"/>
              </w:rPr>
            </w:pPr>
            <w:r w:rsidRPr="00733354">
              <w:rPr>
                <w:b/>
                <w:lang w:val="mk-MK"/>
              </w:rPr>
              <w:t>Нотифицирани</w:t>
            </w:r>
            <w:r w:rsidR="00221A5C">
              <w:rPr>
                <w:b/>
                <w:lang w:val="mk-MK"/>
              </w:rPr>
              <w:t xml:space="preserve"> - 16</w:t>
            </w:r>
            <w:r>
              <w:rPr>
                <w:b/>
                <w:lang w:val="mk-MK"/>
              </w:rPr>
              <w:t xml:space="preserve"> </w:t>
            </w:r>
          </w:p>
        </w:tc>
        <w:tc>
          <w:tcPr>
            <w:tcW w:w="5447" w:type="dxa"/>
            <w:tcBorders>
              <w:bottom w:val="single" w:sz="12" w:space="0" w:color="auto"/>
              <w:right w:val="single" w:sz="12" w:space="0" w:color="auto"/>
            </w:tcBorders>
          </w:tcPr>
          <w:p w:rsidR="00CC7A0F" w:rsidRPr="00733354" w:rsidRDefault="00CC7A0F" w:rsidP="0000674C">
            <w:pPr>
              <w:spacing w:before="120" w:after="0"/>
              <w:jc w:val="center"/>
              <w:rPr>
                <w:b/>
                <w:lang w:val="mk-MK"/>
              </w:rPr>
            </w:pPr>
            <w:r w:rsidRPr="00733354">
              <w:rPr>
                <w:b/>
                <w:lang w:val="mk-MK"/>
              </w:rPr>
              <w:t>Активни</w:t>
            </w:r>
            <w:r>
              <w:rPr>
                <w:b/>
                <w:lang w:val="mk-MK"/>
              </w:rPr>
              <w:t xml:space="preserve"> </w:t>
            </w:r>
            <w:r w:rsidR="00221A5C">
              <w:rPr>
                <w:b/>
                <w:lang w:val="mk-MK"/>
              </w:rPr>
              <w:t>–</w:t>
            </w:r>
            <w:r>
              <w:rPr>
                <w:b/>
                <w:lang w:val="mk-MK"/>
              </w:rPr>
              <w:t xml:space="preserve"> 1</w:t>
            </w:r>
            <w:r w:rsidR="00221A5C">
              <w:rPr>
                <w:b/>
                <w:lang w:val="mk-MK"/>
              </w:rPr>
              <w:t>5</w:t>
            </w:r>
          </w:p>
        </w:tc>
      </w:tr>
    </w:tbl>
    <w:p w:rsidR="000D61CC" w:rsidRDefault="000D61CC" w:rsidP="000D61CC">
      <w:pPr>
        <w:rPr>
          <w:lang w:val="mk-MK"/>
        </w:rPr>
      </w:pPr>
    </w:p>
    <w:p w:rsidR="00352DF2" w:rsidRDefault="00CC7A0F" w:rsidP="00A76717">
      <w:pPr>
        <w:jc w:val="center"/>
        <w:rPr>
          <w:lang w:val="mk-MK"/>
        </w:rPr>
      </w:pPr>
      <w:r w:rsidRPr="00CC7A0F">
        <w:rPr>
          <w:noProof/>
          <w:lang w:val="mk-MK" w:eastAsia="mk-MK" w:bidi="ar-SA"/>
        </w:rPr>
        <w:drawing>
          <wp:inline distT="0" distB="0" distL="0" distR="0">
            <wp:extent cx="5486400" cy="2562225"/>
            <wp:effectExtent l="19050" t="0" r="19050" b="0"/>
            <wp:docPr id="6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136F" w:rsidRPr="005C136F" w:rsidRDefault="000F2B16" w:rsidP="005C136F">
      <w:pPr>
        <w:pStyle w:val="Caption"/>
        <w:jc w:val="center"/>
        <w:rPr>
          <w:color w:val="0D0D0D" w:themeColor="text1" w:themeTint="F2"/>
          <w:lang w:val="mk-MK"/>
        </w:rPr>
      </w:pPr>
      <w:bookmarkStart w:id="3" w:name="_Toc327269937"/>
      <w:r w:rsidRPr="005C136F">
        <w:rPr>
          <w:color w:val="0D0D0D" w:themeColor="text1" w:themeTint="F2"/>
        </w:rPr>
        <w:t xml:space="preserve">Графикон </w:t>
      </w:r>
      <w:r w:rsidR="001E0707" w:rsidRPr="005C136F">
        <w:rPr>
          <w:color w:val="0D0D0D" w:themeColor="text1" w:themeTint="F2"/>
        </w:rPr>
        <w:fldChar w:fldCharType="begin"/>
      </w:r>
      <w:r w:rsidRPr="005C136F">
        <w:rPr>
          <w:color w:val="0D0D0D" w:themeColor="text1" w:themeTint="F2"/>
        </w:rPr>
        <w:instrText xml:space="preserve"> SEQ Графикон \* ARABIC </w:instrText>
      </w:r>
      <w:r w:rsidR="001E0707" w:rsidRPr="005C136F">
        <w:rPr>
          <w:color w:val="0D0D0D" w:themeColor="text1" w:themeTint="F2"/>
        </w:rPr>
        <w:fldChar w:fldCharType="separate"/>
      </w:r>
      <w:r w:rsidR="004E5FA2">
        <w:rPr>
          <w:noProof/>
          <w:color w:val="0D0D0D" w:themeColor="text1" w:themeTint="F2"/>
        </w:rPr>
        <w:t>1</w:t>
      </w:r>
      <w:r w:rsidR="001E0707" w:rsidRPr="005C136F">
        <w:rPr>
          <w:color w:val="0D0D0D" w:themeColor="text1" w:themeTint="F2"/>
        </w:rPr>
        <w:fldChar w:fldCharType="end"/>
      </w:r>
      <w:r w:rsidRPr="005C136F">
        <w:rPr>
          <w:color w:val="0D0D0D" w:themeColor="text1" w:themeTint="F2"/>
        </w:rPr>
        <w:t xml:space="preserve"> </w:t>
      </w:r>
      <w:r w:rsidRPr="005C136F">
        <w:rPr>
          <w:color w:val="0D0D0D" w:themeColor="text1" w:themeTint="F2"/>
          <w:lang w:val="mk-MK"/>
        </w:rPr>
        <w:t>Нотифицирани и активни оператори/</w:t>
      </w:r>
      <w:r w:rsidRPr="005C136F">
        <w:rPr>
          <w:color w:val="0D0D0D" w:themeColor="text1" w:themeTint="F2"/>
          <w:szCs w:val="20"/>
        </w:rPr>
        <w:t>даватели</w:t>
      </w:r>
      <w:r w:rsidRPr="005C136F">
        <w:rPr>
          <w:color w:val="0D0D0D" w:themeColor="text1" w:themeTint="F2"/>
          <w:lang w:val="mk-MK"/>
        </w:rPr>
        <w:t xml:space="preserve"> на услуги (состојба </w:t>
      </w:r>
      <w:r w:rsidRPr="005C136F">
        <w:rPr>
          <w:color w:val="0D0D0D" w:themeColor="text1" w:themeTint="F2"/>
        </w:rPr>
        <w:t>на</w:t>
      </w:r>
      <w:bookmarkEnd w:id="3"/>
    </w:p>
    <w:p w:rsidR="00377155" w:rsidRPr="005C136F" w:rsidRDefault="00221A5C" w:rsidP="005C136F">
      <w:pPr>
        <w:pStyle w:val="Caption"/>
        <w:jc w:val="center"/>
        <w:rPr>
          <w:color w:val="0D0D0D" w:themeColor="text1" w:themeTint="F2"/>
          <w:lang w:val="mk-MK"/>
        </w:rPr>
      </w:pPr>
      <w:r>
        <w:rPr>
          <w:color w:val="0D0D0D" w:themeColor="text1" w:themeTint="F2"/>
          <w:lang w:val="mk-MK"/>
        </w:rPr>
        <w:t xml:space="preserve"> 31.12.2011</w:t>
      </w:r>
      <w:r w:rsidR="000F2B16" w:rsidRPr="005C136F">
        <w:rPr>
          <w:color w:val="0D0D0D" w:themeColor="text1" w:themeTint="F2"/>
          <w:lang w:val="mk-MK"/>
        </w:rPr>
        <w:t xml:space="preserve"> година)</w:t>
      </w:r>
    </w:p>
    <w:p w:rsidR="00A94C4D" w:rsidRPr="005C136F" w:rsidRDefault="00A94C4D" w:rsidP="00A94C4D">
      <w:pPr>
        <w:rPr>
          <w:color w:val="0D0D0D" w:themeColor="text1" w:themeTint="F2"/>
          <w:lang w:val="mk-MK"/>
        </w:rPr>
      </w:pPr>
    </w:p>
    <w:p w:rsidR="0025721B" w:rsidRDefault="0025721B" w:rsidP="00A94C4D">
      <w:pPr>
        <w:rPr>
          <w:lang w:val="mk-MK"/>
        </w:rPr>
      </w:pPr>
    </w:p>
    <w:p w:rsidR="0019563D" w:rsidRPr="00A94C4D" w:rsidRDefault="0019563D" w:rsidP="00A94C4D">
      <w:pPr>
        <w:rPr>
          <w:lang w:val="mk-MK"/>
        </w:rPr>
      </w:pPr>
    </w:p>
    <w:p w:rsidR="00A94C4D" w:rsidRDefault="00A94C4D" w:rsidP="00A94C4D">
      <w:pPr>
        <w:pStyle w:val="Caption"/>
        <w:rPr>
          <w:lang w:val="mk-MK"/>
        </w:rPr>
      </w:pPr>
    </w:p>
    <w:p w:rsidR="00A94C4D" w:rsidRDefault="00A94C4D" w:rsidP="00A76717">
      <w:pPr>
        <w:jc w:val="center"/>
        <w:rPr>
          <w:color w:val="FF0000"/>
          <w:lang w:val="mk-MK"/>
        </w:rPr>
      </w:pPr>
    </w:p>
    <w:p w:rsidR="00370B7B" w:rsidRDefault="00370B7B" w:rsidP="00A76717">
      <w:pPr>
        <w:jc w:val="center"/>
        <w:rPr>
          <w:lang w:val="mk-MK"/>
        </w:rPr>
      </w:pPr>
    </w:p>
    <w:p w:rsidR="00BC02B7" w:rsidRDefault="00BC02B7" w:rsidP="00A76717">
      <w:pPr>
        <w:jc w:val="center"/>
        <w:rPr>
          <w:lang w:val="mk-MK"/>
        </w:rPr>
      </w:pPr>
    </w:p>
    <w:p w:rsidR="00370B7B" w:rsidRDefault="00370B7B" w:rsidP="00A76717">
      <w:pPr>
        <w:jc w:val="center"/>
        <w:rPr>
          <w:lang w:val="mk-MK"/>
        </w:rPr>
      </w:pPr>
    </w:p>
    <w:p w:rsidR="00370B7B" w:rsidRDefault="00370B7B" w:rsidP="00A76717">
      <w:pPr>
        <w:jc w:val="center"/>
        <w:rPr>
          <w:lang w:val="mk-MK"/>
        </w:rPr>
      </w:pPr>
    </w:p>
    <w:p w:rsidR="00375045" w:rsidRDefault="00375045" w:rsidP="00A94C4D">
      <w:pPr>
        <w:outlineLvl w:val="0"/>
        <w:rPr>
          <w:b/>
          <w:sz w:val="24"/>
          <w:szCs w:val="24"/>
          <w:lang w:val="mk-MK"/>
        </w:rPr>
      </w:pPr>
    </w:p>
    <w:p w:rsidR="0019563D" w:rsidRDefault="0019563D" w:rsidP="00A94C4D">
      <w:pPr>
        <w:outlineLvl w:val="0"/>
        <w:rPr>
          <w:b/>
          <w:sz w:val="24"/>
          <w:szCs w:val="24"/>
          <w:lang w:val="mk-MK"/>
        </w:rPr>
      </w:pPr>
    </w:p>
    <w:p w:rsidR="0019563D" w:rsidRDefault="0019563D" w:rsidP="00A94C4D">
      <w:pPr>
        <w:outlineLvl w:val="0"/>
        <w:rPr>
          <w:b/>
          <w:sz w:val="24"/>
          <w:szCs w:val="24"/>
          <w:lang w:val="mk-MK"/>
        </w:rPr>
      </w:pPr>
    </w:p>
    <w:p w:rsidR="0019563D" w:rsidRDefault="0019563D" w:rsidP="00A94C4D">
      <w:pPr>
        <w:outlineLvl w:val="0"/>
        <w:rPr>
          <w:b/>
          <w:sz w:val="24"/>
          <w:szCs w:val="24"/>
          <w:lang w:val="mk-MK"/>
        </w:rPr>
      </w:pPr>
    </w:p>
    <w:p w:rsidR="00204E6E" w:rsidRDefault="00204E6E" w:rsidP="00442294">
      <w:pPr>
        <w:jc w:val="left"/>
        <w:rPr>
          <w:b/>
          <w:lang w:val="mk-MK"/>
        </w:rPr>
      </w:pPr>
    </w:p>
    <w:p w:rsidR="0019563D" w:rsidRPr="00442294" w:rsidRDefault="0019563D" w:rsidP="00442294">
      <w:pPr>
        <w:jc w:val="left"/>
        <w:rPr>
          <w:b/>
          <w:sz w:val="24"/>
          <w:szCs w:val="24"/>
          <w:lang w:val="mk-MK"/>
        </w:rPr>
      </w:pPr>
      <w:r w:rsidRPr="00442294">
        <w:rPr>
          <w:b/>
          <w:lang w:val="mk-MK"/>
        </w:rPr>
        <w:t>Главни индикатори за развојот на пазарот на</w:t>
      </w:r>
      <w:r w:rsidR="00F31649">
        <w:rPr>
          <w:b/>
          <w:lang w:val="mk-MK"/>
        </w:rPr>
        <w:t xml:space="preserve"> електронски комуникации во 2011</w:t>
      </w:r>
      <w:r w:rsidRPr="00442294">
        <w:rPr>
          <w:b/>
          <w:lang w:val="mk-MK"/>
        </w:rPr>
        <w:t xml:space="preserve"> година</w:t>
      </w:r>
    </w:p>
    <w:p w:rsidR="00940FB5" w:rsidRPr="005A60CB" w:rsidRDefault="000F2B16" w:rsidP="000F2B16">
      <w:pPr>
        <w:pStyle w:val="Caption"/>
        <w:rPr>
          <w:b w:val="0"/>
          <w:szCs w:val="22"/>
          <w:lang w:val="mk-MK"/>
        </w:rPr>
      </w:pPr>
      <w:bookmarkStart w:id="4" w:name="_Toc327269965"/>
      <w:r>
        <w:t xml:space="preserve">Табела </w:t>
      </w:r>
      <w:r w:rsidR="00D3204F">
        <w:fldChar w:fldCharType="begin"/>
      </w:r>
      <w:r w:rsidR="00D3204F">
        <w:instrText xml:space="preserve"> SEQ Табела \* ARABIC </w:instrText>
      </w:r>
      <w:r w:rsidR="00D3204F">
        <w:fldChar w:fldCharType="separate"/>
      </w:r>
      <w:r w:rsidR="004E5FA2">
        <w:rPr>
          <w:noProof/>
        </w:rPr>
        <w:t>2</w:t>
      </w:r>
      <w:r w:rsidR="00D3204F">
        <w:rPr>
          <w:noProof/>
        </w:rPr>
        <w:fldChar w:fldCharType="end"/>
      </w:r>
      <w:r w:rsidRPr="005A60CB">
        <w:rPr>
          <w:szCs w:val="22"/>
          <w:lang w:val="mk-MK"/>
        </w:rPr>
        <w:t xml:space="preserve"> Главни индикатори </w:t>
      </w:r>
      <w:r>
        <w:rPr>
          <w:szCs w:val="22"/>
          <w:lang w:val="mk-MK"/>
        </w:rPr>
        <w:t xml:space="preserve">за развојот на </w:t>
      </w:r>
      <w:r w:rsidRPr="005A60CB">
        <w:rPr>
          <w:szCs w:val="22"/>
          <w:lang w:val="mk-MK"/>
        </w:rPr>
        <w:t>пазарот на електронски комуникации</w:t>
      </w:r>
      <w:r w:rsidR="00F31649">
        <w:rPr>
          <w:szCs w:val="22"/>
          <w:lang w:val="mk-MK"/>
        </w:rPr>
        <w:t xml:space="preserve"> во 2011</w:t>
      </w:r>
      <w:r>
        <w:rPr>
          <w:szCs w:val="22"/>
          <w:lang w:val="mk-MK"/>
        </w:rPr>
        <w:t xml:space="preserve"> година</w:t>
      </w:r>
      <w:bookmarkEnd w:id="4"/>
    </w:p>
    <w:p w:rsidR="000F2B16" w:rsidRPr="000F2B16" w:rsidRDefault="00D3204F" w:rsidP="000F2B16">
      <w:pPr>
        <w:pStyle w:val="Caption"/>
        <w:rPr>
          <w:lang w:val="mk-MK"/>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35.7pt;margin-top:6.6pt;width:448.8pt;height:624.7pt;z-index:251672576">
            <v:imagedata r:id="rId12" o:title=""/>
            <w10:wrap type="square" side="right"/>
          </v:shape>
          <o:OLEObject Type="Embed" ProgID="Excel.Sheet.12" ShapeID="_x0000_s1068" DrawAspect="Content" ObjectID="_1401028519" r:id="rId13"/>
        </w:pict>
      </w:r>
    </w:p>
    <w:p w:rsidR="006900AC" w:rsidRPr="00B57474" w:rsidRDefault="003B309E" w:rsidP="00B57474">
      <w:pPr>
        <w:jc w:val="left"/>
      </w:pPr>
      <w:r>
        <w:rPr>
          <w:lang w:val="mk-MK"/>
        </w:rPr>
        <w:br w:type="textWrapping" w:clear="all"/>
      </w:r>
    </w:p>
    <w:p w:rsidR="00574B63" w:rsidRDefault="00D3204F" w:rsidP="008D6B90">
      <w:r>
        <w:rPr>
          <w:noProof/>
          <w:lang w:bidi="ar-SA"/>
        </w:rPr>
        <w:lastRenderedPageBreak/>
        <w:pict>
          <v:shape id="_x0000_s1083" type="#_x0000_t75" style="position:absolute;left:0;text-align:left;margin-left:29.65pt;margin-top:-37.3pt;width:461.2pt;height:246.35pt;z-index:251675648">
            <v:imagedata r:id="rId14" o:title=""/>
            <w10:wrap type="square" side="right"/>
          </v:shape>
          <o:OLEObject Type="Embed" ProgID="Excel.Sheet.12" ShapeID="_x0000_s1083" DrawAspect="Content" ObjectID="_1401028520" r:id="rId15"/>
        </w:pict>
      </w:r>
      <w:r w:rsidR="00261075">
        <w:rPr>
          <w:lang w:val="mk-MK"/>
        </w:rPr>
        <w:t xml:space="preserve">Во табелата </w:t>
      </w:r>
      <w:r w:rsidR="008D6B90">
        <w:rPr>
          <w:lang w:val="mk-MK"/>
        </w:rPr>
        <w:t xml:space="preserve">2 се дадени главните индикатори за пазарот на електронски комуникации </w:t>
      </w:r>
      <w:r w:rsidR="00C71EFE">
        <w:rPr>
          <w:lang w:val="mk-MK"/>
        </w:rPr>
        <w:t>во Република Македонија, за 2011 и 2010</w:t>
      </w:r>
      <w:r w:rsidR="008D6B90">
        <w:rPr>
          <w:lang w:val="mk-MK"/>
        </w:rPr>
        <w:t xml:space="preserve"> година и промената изразена во проценти. </w:t>
      </w:r>
      <w:r w:rsidR="006F5732" w:rsidRPr="006F5732">
        <w:rPr>
          <w:lang w:val="mk-MK"/>
        </w:rPr>
        <w:t>Вредноста на показател</w:t>
      </w:r>
      <w:r w:rsidR="006F5732">
        <w:rPr>
          <w:lang w:val="mk-MK"/>
        </w:rPr>
        <w:t>и</w:t>
      </w:r>
      <w:r w:rsidR="008D6B90">
        <w:rPr>
          <w:lang w:val="mk-MK"/>
        </w:rPr>
        <w:t>те</w:t>
      </w:r>
      <w:r w:rsidR="006F5732" w:rsidRPr="006F5732">
        <w:rPr>
          <w:lang w:val="mk-MK"/>
        </w:rPr>
        <w:t xml:space="preserve"> </w:t>
      </w:r>
      <w:r w:rsidR="006F5732">
        <w:rPr>
          <w:lang w:val="mk-MK"/>
        </w:rPr>
        <w:t>број на активни претплатници спор</w:t>
      </w:r>
      <w:r w:rsidR="00C71EFE">
        <w:rPr>
          <w:lang w:val="mk-MK"/>
        </w:rPr>
        <w:t xml:space="preserve">ед популација 100 </w:t>
      </w:r>
      <w:r w:rsidR="00F437F4">
        <w:rPr>
          <w:rFonts w:ascii="StobiSerif Regular" w:hAnsi="StobiSerif Regular"/>
          <w:lang w:val="mk-MK"/>
        </w:rPr>
        <w:t>е пресметан</w:t>
      </w:r>
      <w:r w:rsidR="00F437F4" w:rsidRPr="005377CF">
        <w:rPr>
          <w:rFonts w:ascii="StobiSerif Regular" w:hAnsi="StobiSerif Regular"/>
          <w:lang w:val="mk-MK"/>
        </w:rPr>
        <w:t xml:space="preserve"> </w:t>
      </w:r>
      <w:r w:rsidR="00F437F4" w:rsidRPr="000E620F">
        <w:rPr>
          <w:rFonts w:ascii="StobiSerif Regular" w:hAnsi="StobiSerif Regular"/>
          <w:lang w:val="mk-MK"/>
        </w:rPr>
        <w:t>врз основа на проценката за бројот на населе</w:t>
      </w:r>
      <w:r w:rsidR="00F437F4">
        <w:rPr>
          <w:rFonts w:ascii="StobiSerif Regular" w:hAnsi="StobiSerif Regular"/>
          <w:lang w:val="mk-MK"/>
        </w:rPr>
        <w:t>ние (2.052.722</w:t>
      </w:r>
      <w:r w:rsidR="00F437F4" w:rsidRPr="000E620F">
        <w:rPr>
          <w:rFonts w:ascii="StobiSerif Regular" w:hAnsi="StobiSerif Regular"/>
          <w:lang w:val="mk-MK"/>
        </w:rPr>
        <w:t>) согласно податоците од Завод на статистика</w:t>
      </w:r>
      <w:r w:rsidR="00F437F4">
        <w:rPr>
          <w:rFonts w:ascii="StobiSerif Regular" w:hAnsi="StobiSerif Regular"/>
          <w:lang w:val="mk-MK"/>
        </w:rPr>
        <w:t xml:space="preserve"> со референтна дата 31.12.2009</w:t>
      </w:r>
      <w:r w:rsidR="00F437F4" w:rsidRPr="000E620F">
        <w:rPr>
          <w:rFonts w:ascii="StobiSerif Regular" w:hAnsi="StobiSerif Regular"/>
          <w:lang w:val="mk-MK"/>
        </w:rPr>
        <w:t xml:space="preserve"> година</w:t>
      </w:r>
      <w:r w:rsidR="00F437F4">
        <w:rPr>
          <w:lang w:val="mk-MK"/>
        </w:rPr>
        <w:t>.</w:t>
      </w:r>
      <w:r w:rsidR="00261075">
        <w:rPr>
          <w:lang w:val="mk-MK"/>
        </w:rPr>
        <w:t>Во табелата</w:t>
      </w:r>
      <w:r w:rsidR="006F5732" w:rsidRPr="006F5732">
        <w:rPr>
          <w:lang w:val="mk-MK"/>
        </w:rPr>
        <w:t xml:space="preserve"> </w:t>
      </w:r>
      <w:r w:rsidR="008D6B90">
        <w:rPr>
          <w:lang w:val="mk-MK"/>
        </w:rPr>
        <w:t>2</w:t>
      </w:r>
      <w:r w:rsidR="006F5732" w:rsidRPr="006F5732">
        <w:rPr>
          <w:lang w:val="mk-MK"/>
        </w:rPr>
        <w:t xml:space="preserve"> податоците за бројот на претплатници </w:t>
      </w:r>
      <w:r w:rsidR="008D6B90">
        <w:rPr>
          <w:lang w:val="mk-MK"/>
        </w:rPr>
        <w:t xml:space="preserve">во мобилна телефонија </w:t>
      </w:r>
      <w:r w:rsidR="00C71EFE">
        <w:rPr>
          <w:lang w:val="mk-MK"/>
        </w:rPr>
        <w:t>за 2011</w:t>
      </w:r>
      <w:r w:rsidR="006F5732" w:rsidRPr="006F5732">
        <w:rPr>
          <w:lang w:val="mk-MK"/>
        </w:rPr>
        <w:t xml:space="preserve"> година се однесува на активни претплатници кои во последните три месеци предизвикале на некој начин електронски комуникациски настан. </w:t>
      </w:r>
      <w:r w:rsidR="009E6354" w:rsidRPr="009E6354">
        <w:rPr>
          <w:lang w:val="mk-MK"/>
        </w:rPr>
        <w:t>Под електронски комуникациски настан се смета повик (говор, видео, повик кон говорен автомат или сл.), одговор на повик (говор, видео или сл.), испраќање на порака (SMS, MMS), прием на порака (SMS, MMS), испраќање на податоци (e-mail, Интернет или сл.), прием на податоци (e-mail, Интернет или сл.) или вршење на други услуги (плаќање на месечна претплата, пла</w:t>
      </w:r>
      <w:r w:rsidR="009E6354">
        <w:rPr>
          <w:lang w:val="mk-MK"/>
        </w:rPr>
        <w:t xml:space="preserve">ќање </w:t>
      </w:r>
      <w:r w:rsidR="00C71EFE">
        <w:rPr>
          <w:lang w:val="mk-MK"/>
        </w:rPr>
        <w:t>на ваучер за pre-paid итн</w:t>
      </w:r>
      <w:r w:rsidR="009E6354" w:rsidRPr="009E6354">
        <w:rPr>
          <w:lang w:val="mk-MK"/>
        </w:rPr>
        <w:t>)</w:t>
      </w:r>
      <w:r w:rsidR="00B57474" w:rsidRPr="00B57474">
        <w:t xml:space="preserve"> </w:t>
      </w:r>
      <w:r w:rsidR="00B57474" w:rsidRPr="00B57474">
        <w:rPr>
          <w:lang w:val="mk-MK"/>
        </w:rPr>
        <w:t>при што се зeмаат во предвид само активностите иницирани од претплатник кон претплатник и/или иницирани од претплатник кон оператор, а се исклучени активностите кои ги иницира операторот кон корисникот</w:t>
      </w:r>
      <w:r w:rsidR="006F5732" w:rsidRPr="00B57474">
        <w:rPr>
          <w:color w:val="FF0000"/>
          <w:lang w:val="mk-MK"/>
        </w:rPr>
        <w:t>.</w:t>
      </w:r>
      <w:r w:rsidR="008D6B90" w:rsidRPr="00B57474">
        <w:rPr>
          <w:color w:val="FF0000"/>
          <w:lang w:val="mk-MK"/>
        </w:rPr>
        <w:t xml:space="preserve"> </w:t>
      </w:r>
      <w:r w:rsidR="008D6B90" w:rsidRPr="00AF0CE2">
        <w:rPr>
          <w:lang w:val="mk-MK"/>
        </w:rPr>
        <w:t xml:space="preserve">Во однос на вкупните приходи остварени на пазарот за електронски комуникации како што </w:t>
      </w:r>
      <w:r w:rsidR="00261075" w:rsidRPr="00AF0CE2">
        <w:rPr>
          <w:lang w:val="mk-MK"/>
        </w:rPr>
        <w:t>може да забележи од табелата</w:t>
      </w:r>
      <w:r w:rsidR="008D6B90" w:rsidRPr="00AF0CE2">
        <w:rPr>
          <w:lang w:val="mk-MK"/>
        </w:rPr>
        <w:t xml:space="preserve"> 2  евидентиран е </w:t>
      </w:r>
      <w:r w:rsidR="003A3133" w:rsidRPr="00AF0CE2">
        <w:rPr>
          <w:lang w:val="mk-MK"/>
        </w:rPr>
        <w:t>пад</w:t>
      </w:r>
      <w:r w:rsidR="008D6B90" w:rsidRPr="00AF0CE2">
        <w:rPr>
          <w:lang w:val="mk-MK"/>
        </w:rPr>
        <w:t xml:space="preserve"> од </w:t>
      </w:r>
      <w:r w:rsidR="009D747D" w:rsidRPr="00AF0CE2">
        <w:rPr>
          <w:lang w:val="mk-MK"/>
        </w:rPr>
        <w:t>2,</w:t>
      </w:r>
      <w:r w:rsidR="009D747D" w:rsidRPr="00AF0CE2">
        <w:t>71</w:t>
      </w:r>
      <w:r w:rsidR="009D747D" w:rsidRPr="00AF0CE2">
        <w:rPr>
          <w:lang w:val="mk-MK"/>
        </w:rPr>
        <w:t>% во 201</w:t>
      </w:r>
      <w:r w:rsidR="009D747D" w:rsidRPr="00AF0CE2">
        <w:t>1</w:t>
      </w:r>
      <w:r w:rsidR="009D747D" w:rsidRPr="00AF0CE2">
        <w:rPr>
          <w:lang w:val="mk-MK"/>
        </w:rPr>
        <w:t xml:space="preserve"> година во однос на 20</w:t>
      </w:r>
      <w:r w:rsidR="009D747D" w:rsidRPr="00AF0CE2">
        <w:t>10</w:t>
      </w:r>
      <w:r w:rsidR="008D6B90" w:rsidRPr="00AF0CE2">
        <w:rPr>
          <w:lang w:val="mk-MK"/>
        </w:rPr>
        <w:t xml:space="preserve"> година</w:t>
      </w:r>
      <w:r w:rsidR="009D747D" w:rsidRPr="00AF0CE2">
        <w:t>.</w:t>
      </w:r>
      <w:r w:rsidR="003A3133" w:rsidRPr="00AF0CE2">
        <w:t xml:space="preserve"> </w:t>
      </w:r>
      <w:r w:rsidR="00D16FF7" w:rsidRPr="00AF0CE2">
        <w:rPr>
          <w:lang w:val="mk-MK"/>
        </w:rPr>
        <w:t>Вку</w:t>
      </w:r>
      <w:r w:rsidR="003A3133" w:rsidRPr="00AF0CE2">
        <w:rPr>
          <w:lang w:val="mk-MK"/>
        </w:rPr>
        <w:t>пниот износ на приходите за 20</w:t>
      </w:r>
      <w:r w:rsidR="009D747D" w:rsidRPr="00AF0CE2">
        <w:t>11</w:t>
      </w:r>
      <w:r w:rsidR="00D16FF7" w:rsidRPr="00AF0CE2">
        <w:rPr>
          <w:lang w:val="mk-MK"/>
        </w:rPr>
        <w:t xml:space="preserve"> година е пресметан врз основа на податоците за остварени</w:t>
      </w:r>
      <w:r w:rsidR="00D16FF7" w:rsidRPr="003A3133">
        <w:rPr>
          <w:lang w:val="mk-MK"/>
        </w:rPr>
        <w:t xml:space="preserve"> приходи доставени во </w:t>
      </w:r>
      <w:r w:rsidR="00080CF2" w:rsidRPr="003A3133">
        <w:rPr>
          <w:lang w:val="mk-MK"/>
        </w:rPr>
        <w:t>И</w:t>
      </w:r>
      <w:r w:rsidR="003B309E" w:rsidRPr="003A3133">
        <w:rPr>
          <w:lang w:val="mk-MK"/>
        </w:rPr>
        <w:t>звештаи</w:t>
      </w:r>
      <w:r w:rsidR="00080CF2" w:rsidRPr="003A3133">
        <w:rPr>
          <w:lang w:val="mk-MK"/>
        </w:rPr>
        <w:t>те за вкупни годишни приходи на оператори на јавни комуникациски мрежи и даватели на ја</w:t>
      </w:r>
      <w:r w:rsidR="003A3133">
        <w:rPr>
          <w:lang w:val="mk-MK"/>
        </w:rPr>
        <w:t>вни комуникациски услуги во 20</w:t>
      </w:r>
      <w:r w:rsidR="009D747D">
        <w:t>11</w:t>
      </w:r>
      <w:r w:rsidR="003A3133">
        <w:rPr>
          <w:lang w:val="mk-MK"/>
        </w:rPr>
        <w:t xml:space="preserve"> годин</w:t>
      </w:r>
      <w:r w:rsidR="00875233">
        <w:rPr>
          <w:lang w:val="mk-MK"/>
        </w:rPr>
        <w:t>а</w:t>
      </w:r>
      <w:r w:rsidR="00D16FF7" w:rsidRPr="003A3133">
        <w:rPr>
          <w:lang w:val="mk-MK"/>
        </w:rPr>
        <w:t>.</w:t>
      </w:r>
      <w:r w:rsidR="00D05E36">
        <w:rPr>
          <w:lang w:val="mk-MK"/>
        </w:rPr>
        <w:t xml:space="preserve"> </w:t>
      </w:r>
      <w:r w:rsidR="001F4D62">
        <w:rPr>
          <w:lang w:val="mk-MK"/>
        </w:rPr>
        <w:t xml:space="preserve">Податоците за остварените приходи од обезбедување на електронски комуникациски услуги, операторите ги доставија согласно измените во Правилникот за методологијата за пресметување на годишниот надомест за надзор на пазарот за електронски комуникации (Сл. </w:t>
      </w:r>
      <w:r w:rsidR="00FF0BD6">
        <w:rPr>
          <w:lang w:val="mk-MK"/>
        </w:rPr>
        <w:t>В</w:t>
      </w:r>
      <w:r w:rsidR="001F4D62">
        <w:rPr>
          <w:lang w:val="mk-MK"/>
        </w:rPr>
        <w:t>есник на РМ бр.30 од 10.03.2011 година)</w:t>
      </w:r>
      <w:r w:rsidR="00FF0BD6">
        <w:rPr>
          <w:lang w:val="mk-MK"/>
        </w:rPr>
        <w:t xml:space="preserve"> а согласно извршената нотификација во АЕК</w:t>
      </w:r>
      <w:r w:rsidR="001F4D62">
        <w:rPr>
          <w:lang w:val="mk-MK"/>
        </w:rPr>
        <w:t>.</w:t>
      </w:r>
      <w:r w:rsidR="00D05E36">
        <w:rPr>
          <w:lang w:val="mk-MK"/>
        </w:rPr>
        <w:t xml:space="preserve"> </w:t>
      </w:r>
    </w:p>
    <w:p w:rsidR="00AF0CE2" w:rsidRPr="00AF0CE2" w:rsidRDefault="00AF0CE2" w:rsidP="008D6B90"/>
    <w:p w:rsidR="00574B63" w:rsidRDefault="003A3133" w:rsidP="00160D87">
      <w:pPr>
        <w:jc w:val="center"/>
      </w:pPr>
      <w:r>
        <w:rPr>
          <w:noProof/>
          <w:lang w:val="mk-MK" w:eastAsia="mk-MK" w:bidi="ar-SA"/>
        </w:rPr>
        <w:lastRenderedPageBreak/>
        <w:drawing>
          <wp:inline distT="0" distB="0" distL="0" distR="0">
            <wp:extent cx="6126569" cy="4433777"/>
            <wp:effectExtent l="19050" t="0" r="26581" b="4873"/>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5045" w:rsidRPr="00905F63" w:rsidRDefault="00375045" w:rsidP="00905F63">
      <w:pPr>
        <w:jc w:val="center"/>
        <w:rPr>
          <w:lang w:val="mk-MK"/>
        </w:rPr>
      </w:pPr>
    </w:p>
    <w:p w:rsidR="00A94C4D" w:rsidRDefault="000F2B16" w:rsidP="000F2B16">
      <w:pPr>
        <w:pStyle w:val="Caption"/>
        <w:rPr>
          <w:lang w:val="mk-MK"/>
        </w:rPr>
      </w:pPr>
      <w:bookmarkStart w:id="5" w:name="_Toc327269938"/>
      <w:r>
        <w:t xml:space="preserve">Графикон </w:t>
      </w:r>
      <w:r w:rsidR="00D3204F">
        <w:fldChar w:fldCharType="begin"/>
      </w:r>
      <w:r w:rsidR="00D3204F">
        <w:instrText xml:space="preserve"> SEQ Графикон \* ARABIC </w:instrText>
      </w:r>
      <w:r w:rsidR="00D3204F">
        <w:fldChar w:fldCharType="separate"/>
      </w:r>
      <w:r w:rsidR="004E5FA2">
        <w:rPr>
          <w:noProof/>
        </w:rPr>
        <w:t>2</w:t>
      </w:r>
      <w:r w:rsidR="00D3204F">
        <w:rPr>
          <w:noProof/>
        </w:rPr>
        <w:fldChar w:fldCharType="end"/>
      </w:r>
      <w:r w:rsidRPr="00755E70">
        <w:rPr>
          <w:lang w:val="mk-MK"/>
        </w:rPr>
        <w:t xml:space="preserve"> </w:t>
      </w:r>
      <w:r w:rsidR="009217B7">
        <w:t xml:space="preserve">Процентуален удел на </w:t>
      </w:r>
      <w:r w:rsidR="009217B7">
        <w:rPr>
          <w:lang w:val="mk-MK"/>
        </w:rPr>
        <w:t>услугите на пазарот на електронски комуникации</w:t>
      </w:r>
      <w:r w:rsidRPr="00755E70">
        <w:t xml:space="preserve"> одделно во </w:t>
      </w:r>
      <w:r>
        <w:rPr>
          <w:lang w:val="mk-MK"/>
        </w:rPr>
        <w:t xml:space="preserve">однос на </w:t>
      </w:r>
      <w:r w:rsidRPr="00755E70">
        <w:t>вкупните приходи од пазарот на електронски</w:t>
      </w:r>
      <w:r w:rsidRPr="00755E70">
        <w:rPr>
          <w:lang w:val="mk-MK"/>
        </w:rPr>
        <w:t xml:space="preserve">те комуникации </w:t>
      </w:r>
      <w:r w:rsidR="00AF0CE2">
        <w:rPr>
          <w:lang w:val="mk-MK"/>
        </w:rPr>
        <w:t>во 201</w:t>
      </w:r>
      <w:r w:rsidR="00AF0CE2">
        <w:t>1</w:t>
      </w:r>
      <w:r w:rsidRPr="00755E70">
        <w:rPr>
          <w:lang w:val="mk-MK"/>
        </w:rPr>
        <w:t xml:space="preserve"> година</w:t>
      </w:r>
      <w:bookmarkEnd w:id="5"/>
    </w:p>
    <w:p w:rsidR="002D138C" w:rsidRPr="00AF0CE2" w:rsidRDefault="00D16FF7" w:rsidP="002D138C">
      <w:r w:rsidRPr="00F37B52">
        <w:rPr>
          <w:lang w:val="mk-MK"/>
        </w:rPr>
        <w:t>Врз основа на вкупните годишни приходи остварени на пазарот за елек</w:t>
      </w:r>
      <w:r w:rsidR="00AF0CE2">
        <w:rPr>
          <w:lang w:val="mk-MK"/>
        </w:rPr>
        <w:t>тронски комуникации, кој во 201</w:t>
      </w:r>
      <w:r w:rsidR="00AF0CE2">
        <w:t>1</w:t>
      </w:r>
      <w:r w:rsidRPr="00F37B52">
        <w:rPr>
          <w:lang w:val="mk-MK"/>
        </w:rPr>
        <w:t xml:space="preserve"> година изнесува </w:t>
      </w:r>
      <w:r w:rsidR="00AF0CE2">
        <w:rPr>
          <w:lang w:val="mk-MK"/>
        </w:rPr>
        <w:t>2</w:t>
      </w:r>
      <w:r w:rsidR="00AF0CE2">
        <w:t>3</w:t>
      </w:r>
      <w:r w:rsidR="00AF0CE2">
        <w:rPr>
          <w:lang w:val="mk-MK"/>
        </w:rPr>
        <w:t>.</w:t>
      </w:r>
      <w:r w:rsidR="00AF0CE2">
        <w:t>802</w:t>
      </w:r>
      <w:r w:rsidR="00AF0CE2">
        <w:rPr>
          <w:lang w:val="mk-MK"/>
        </w:rPr>
        <w:t>.</w:t>
      </w:r>
      <w:r w:rsidR="00AF0CE2">
        <w:t>743</w:t>
      </w:r>
      <w:r w:rsidR="00AF0CE2">
        <w:rPr>
          <w:lang w:val="mk-MK"/>
        </w:rPr>
        <w:t>.</w:t>
      </w:r>
      <w:r w:rsidR="00AF0CE2">
        <w:t>372</w:t>
      </w:r>
      <w:r w:rsidRPr="00F37B52">
        <w:rPr>
          <w:lang w:val="mk-MK"/>
        </w:rPr>
        <w:t xml:space="preserve"> денари</w:t>
      </w:r>
      <w:r w:rsidR="00D05E36">
        <w:rPr>
          <w:lang w:val="mk-MK"/>
        </w:rPr>
        <w:t xml:space="preserve">. </w:t>
      </w:r>
      <w:r w:rsidR="00F37B52">
        <w:rPr>
          <w:lang w:val="mk-MK"/>
        </w:rPr>
        <w:t>Приходите од о</w:t>
      </w:r>
      <w:r w:rsidR="00F37B52" w:rsidRPr="00F37B52">
        <w:rPr>
          <w:lang w:val="mk-MK"/>
        </w:rPr>
        <w:t>безбедување на јавно достапни телефонски услуги на јавна мобилна комуникациска мрежа за национален и/или меѓународен сообраќај</w:t>
      </w:r>
      <w:r w:rsidRPr="00F37B52">
        <w:rPr>
          <w:lang w:val="mk-MK"/>
        </w:rPr>
        <w:t xml:space="preserve"> </w:t>
      </w:r>
      <w:r w:rsidR="00F37B52" w:rsidRPr="00F37B52">
        <w:rPr>
          <w:lang w:val="mk-MK"/>
        </w:rPr>
        <w:t>учествува</w:t>
      </w:r>
      <w:r w:rsidR="00F37B52">
        <w:rPr>
          <w:lang w:val="mk-MK"/>
        </w:rPr>
        <w:t>ат</w:t>
      </w:r>
      <w:r w:rsidR="00AF0CE2">
        <w:rPr>
          <w:lang w:val="mk-MK"/>
        </w:rPr>
        <w:t xml:space="preserve"> со 48,</w:t>
      </w:r>
      <w:r w:rsidR="00AF0CE2">
        <w:t>8</w:t>
      </w:r>
      <w:r w:rsidR="00F37B52" w:rsidRPr="00F37B52">
        <w:rPr>
          <w:lang w:val="mk-MK"/>
        </w:rPr>
        <w:t>8</w:t>
      </w:r>
      <w:r w:rsidRPr="00F37B52">
        <w:rPr>
          <w:lang w:val="mk-MK"/>
        </w:rPr>
        <w:t>%,</w:t>
      </w:r>
      <w:r w:rsidR="00F37B52">
        <w:rPr>
          <w:lang w:val="mk-MK"/>
        </w:rPr>
        <w:t xml:space="preserve"> приходите од м</w:t>
      </w:r>
      <w:r w:rsidR="00F37B52" w:rsidRPr="00F37B52">
        <w:rPr>
          <w:lang w:val="mk-MK"/>
        </w:rPr>
        <w:t>еѓуоператорски услуги за пренос или рутирање на национален и/или меѓународен сообраќај</w:t>
      </w:r>
      <w:r w:rsidR="00AF0CE2">
        <w:rPr>
          <w:lang w:val="mk-MK"/>
        </w:rPr>
        <w:t xml:space="preserve"> учествуваат со 1</w:t>
      </w:r>
      <w:r w:rsidR="00AF0CE2">
        <w:t>5</w:t>
      </w:r>
      <w:r w:rsidR="00AF0CE2">
        <w:rPr>
          <w:lang w:val="mk-MK"/>
        </w:rPr>
        <w:t>,</w:t>
      </w:r>
      <w:r w:rsidR="00AF0CE2">
        <w:t>66</w:t>
      </w:r>
      <w:r w:rsidR="00F37B52">
        <w:rPr>
          <w:lang w:val="mk-MK"/>
        </w:rPr>
        <w:t xml:space="preserve">%, од </w:t>
      </w:r>
      <w:r w:rsidRPr="001621D7">
        <w:rPr>
          <w:color w:val="FF0000"/>
          <w:lang w:val="mk-MK"/>
        </w:rPr>
        <w:t xml:space="preserve"> </w:t>
      </w:r>
      <w:r w:rsidR="00F37B52">
        <w:rPr>
          <w:lang w:val="mk-MK"/>
        </w:rPr>
        <w:t>о</w:t>
      </w:r>
      <w:r w:rsidR="00F37B52" w:rsidRPr="00F37B52">
        <w:rPr>
          <w:lang w:val="mk-MK"/>
        </w:rPr>
        <w:t>безбедување на јавно достапни телефонски услуги на фиксна локација за национален и</w:t>
      </w:r>
      <w:r w:rsidR="00AF0CE2">
        <w:rPr>
          <w:lang w:val="mk-MK"/>
        </w:rPr>
        <w:t>/или меѓународен сообраќај со 1</w:t>
      </w:r>
      <w:r w:rsidR="00AF0CE2">
        <w:t>0</w:t>
      </w:r>
      <w:r w:rsidR="00AF0CE2">
        <w:rPr>
          <w:lang w:val="mk-MK"/>
        </w:rPr>
        <w:t>,</w:t>
      </w:r>
      <w:r w:rsidR="00AF0CE2">
        <w:t>43</w:t>
      </w:r>
      <w:r w:rsidR="00F37B52" w:rsidRPr="00F37B52">
        <w:rPr>
          <w:lang w:val="mk-MK"/>
        </w:rPr>
        <w:t>%</w:t>
      </w:r>
      <w:r w:rsidR="00F37B52">
        <w:rPr>
          <w:lang w:val="mk-MK"/>
        </w:rPr>
        <w:t xml:space="preserve">, понатаму следуваат приходите од услуги за пренос на податоци </w:t>
      </w:r>
      <w:r w:rsidR="00AF0CE2">
        <w:rPr>
          <w:lang w:val="mk-MK"/>
        </w:rPr>
        <w:t>(9,8</w:t>
      </w:r>
      <w:r w:rsidR="00AF0CE2">
        <w:t>4</w:t>
      </w:r>
      <w:r w:rsidR="00AF0CE2">
        <w:rPr>
          <w:lang w:val="mk-MK"/>
        </w:rPr>
        <w:t>%) и од други услуги (</w:t>
      </w:r>
      <w:r w:rsidR="00AF0CE2">
        <w:t>8</w:t>
      </w:r>
      <w:r w:rsidR="00AF0CE2">
        <w:rPr>
          <w:lang w:val="mk-MK"/>
        </w:rPr>
        <w:t>,</w:t>
      </w:r>
      <w:r w:rsidR="00AF0CE2">
        <w:t>7</w:t>
      </w:r>
      <w:r w:rsidR="002D138C">
        <w:rPr>
          <w:lang w:val="mk-MK"/>
        </w:rPr>
        <w:t>7%)</w:t>
      </w:r>
      <w:r w:rsidR="00F37B52">
        <w:rPr>
          <w:lang w:val="mk-MK"/>
        </w:rPr>
        <w:t xml:space="preserve"> </w:t>
      </w:r>
      <w:r w:rsidR="002D138C">
        <w:rPr>
          <w:lang w:val="mk-MK"/>
        </w:rPr>
        <w:t>додека пак приходите од услуги поврзани со радиодифузија и услугите на давање на јавна електронска комуникациска</w:t>
      </w:r>
      <w:r w:rsidR="00AF0CE2">
        <w:rPr>
          <w:lang w:val="mk-MK"/>
        </w:rPr>
        <w:t xml:space="preserve"> мрежа под наем учествуваат со </w:t>
      </w:r>
      <w:r w:rsidR="00AF0CE2">
        <w:t>4</w:t>
      </w:r>
      <w:r w:rsidR="00AF0CE2">
        <w:rPr>
          <w:lang w:val="mk-MK"/>
        </w:rPr>
        <w:t>,</w:t>
      </w:r>
      <w:r w:rsidR="00AF0CE2">
        <w:t>28</w:t>
      </w:r>
      <w:r w:rsidR="00AF0CE2">
        <w:rPr>
          <w:lang w:val="mk-MK"/>
        </w:rPr>
        <w:t xml:space="preserve">% односно </w:t>
      </w:r>
      <w:r w:rsidR="00AF0CE2">
        <w:t>2</w:t>
      </w:r>
      <w:r w:rsidR="00AF0CE2">
        <w:rPr>
          <w:lang w:val="mk-MK"/>
        </w:rPr>
        <w:t>,</w:t>
      </w:r>
      <w:r w:rsidR="00AF0CE2">
        <w:t>14</w:t>
      </w:r>
      <w:r w:rsidR="002D138C">
        <w:rPr>
          <w:lang w:val="mk-MK"/>
        </w:rPr>
        <w:t>%</w:t>
      </w:r>
    </w:p>
    <w:p w:rsidR="00442294" w:rsidRDefault="00442294" w:rsidP="00905F63">
      <w:pPr>
        <w:pStyle w:val="Heading1"/>
        <w:rPr>
          <w:lang w:val="mk-MK"/>
        </w:rPr>
      </w:pPr>
      <w:r>
        <w:rPr>
          <w:noProof/>
          <w:lang w:val="mk-MK" w:eastAsia="mk-MK" w:bidi="ar-SA"/>
        </w:rPr>
        <w:drawing>
          <wp:inline distT="0" distB="0" distL="0" distR="0">
            <wp:extent cx="6513461" cy="818707"/>
            <wp:effectExtent l="0" t="0" r="1905"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42294" w:rsidRDefault="00442294" w:rsidP="00905F63">
      <w:pPr>
        <w:pStyle w:val="Heading1"/>
        <w:rPr>
          <w:lang w:val="mk-MK"/>
        </w:rPr>
      </w:pPr>
    </w:p>
    <w:p w:rsidR="00442294" w:rsidRDefault="00442294" w:rsidP="00905F63">
      <w:pPr>
        <w:pStyle w:val="Heading1"/>
        <w:rPr>
          <w:lang w:val="mk-MK"/>
        </w:rPr>
      </w:pPr>
    </w:p>
    <w:p w:rsidR="003972CE" w:rsidRPr="001F1E7E" w:rsidRDefault="00905F63" w:rsidP="000F2B16">
      <w:pPr>
        <w:pStyle w:val="Heading1"/>
        <w:keepNext/>
        <w:rPr>
          <w:color w:val="632423" w:themeColor="accent2" w:themeShade="80"/>
          <w:lang w:val="mk-MK"/>
        </w:rPr>
      </w:pPr>
      <w:bookmarkStart w:id="6" w:name="_Toc327269922"/>
      <w:r w:rsidRPr="001F1E7E">
        <w:rPr>
          <w:color w:val="632423" w:themeColor="accent2" w:themeShade="80"/>
          <w:lang w:val="mk-MK"/>
        </w:rPr>
        <w:lastRenderedPageBreak/>
        <w:t>2.</w:t>
      </w:r>
      <w:r w:rsidR="003972CE" w:rsidRPr="001F1E7E">
        <w:rPr>
          <w:color w:val="632423" w:themeColor="accent2" w:themeShade="80"/>
          <w:lang w:val="mk-MK"/>
        </w:rPr>
        <w:t>Фиксна телефонија</w:t>
      </w:r>
      <w:bookmarkEnd w:id="6"/>
    </w:p>
    <w:p w:rsidR="003972CE" w:rsidRPr="000F2B16" w:rsidRDefault="003972CE" w:rsidP="000F2B16">
      <w:pPr>
        <w:pStyle w:val="Caption"/>
        <w:rPr>
          <w:lang w:val="mk-MK"/>
        </w:rPr>
      </w:pPr>
    </w:p>
    <w:p w:rsidR="00F437F4" w:rsidRDefault="00BE342C" w:rsidP="00F437F4">
      <w:pPr>
        <w:rPr>
          <w:lang w:val="mk-MK"/>
        </w:rPr>
      </w:pPr>
      <w:r>
        <w:rPr>
          <w:lang w:val="mk-MK"/>
        </w:rPr>
        <w:t>Од 43</w:t>
      </w:r>
      <w:r w:rsidR="00F437F4" w:rsidRPr="00870575">
        <w:rPr>
          <w:lang w:val="mk-MK"/>
        </w:rPr>
        <w:t xml:space="preserve"> </w:t>
      </w:r>
      <w:r w:rsidR="00F437F4">
        <w:rPr>
          <w:lang w:val="mk-MK"/>
        </w:rPr>
        <w:t>нотифицирани субјекти во служ</w:t>
      </w:r>
      <w:r>
        <w:rPr>
          <w:lang w:val="mk-MK"/>
        </w:rPr>
        <w:t>бената евиденција на АЕК во 2011</w:t>
      </w:r>
      <w:r w:rsidR="00F437F4">
        <w:rPr>
          <w:lang w:val="mk-MK"/>
        </w:rPr>
        <w:t xml:space="preserve"> година година </w:t>
      </w:r>
      <w:r w:rsidR="00F437F4" w:rsidRPr="00C83AD2">
        <w:rPr>
          <w:lang w:val="mk-MK"/>
        </w:rPr>
        <w:t>3</w:t>
      </w:r>
      <w:r>
        <w:rPr>
          <w:lang w:val="mk-MK"/>
        </w:rPr>
        <w:t>8</w:t>
      </w:r>
      <w:r w:rsidR="00F437F4" w:rsidRPr="00C83AD2">
        <w:rPr>
          <w:lang w:val="mk-MK"/>
        </w:rPr>
        <w:t xml:space="preserve"> </w:t>
      </w:r>
      <w:r w:rsidR="00F437F4">
        <w:rPr>
          <w:lang w:val="mk-MK"/>
        </w:rPr>
        <w:t>субјекти обезбедуваа јавно достапни телефонски услуги на фиксна локација за национален и/или меѓународен сообраќај, и тоа:</w:t>
      </w:r>
    </w:p>
    <w:p w:rsidR="00B57474" w:rsidRDefault="00B57474" w:rsidP="00B57474">
      <w:pPr>
        <w:pStyle w:val="ListParagraph"/>
        <w:numPr>
          <w:ilvl w:val="0"/>
          <w:numId w:val="14"/>
        </w:numPr>
        <w:ind w:firstLine="0"/>
        <w:rPr>
          <w:rFonts w:ascii="Cambria" w:hAnsi="Cambria"/>
          <w:lang w:val="mk-MK"/>
        </w:rPr>
        <w:sectPr w:rsidR="00B57474" w:rsidSect="00B57474">
          <w:headerReference w:type="default" r:id="rId22"/>
          <w:footerReference w:type="default" r:id="rId23"/>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lastRenderedPageBreak/>
        <w:t xml:space="preserve">Македонски Телеком-Скопје,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Оне- 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Он Нет- 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Близу- 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Аикол- Штип,</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Неотел- 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Инфел Нет Плус- Охрид,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Т-Мобиле- Скопје,</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Актон-Скопје,</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Ултранет Ултра- Скопје,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Никомсистемс- Скопје,</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Пц4алл- Скопје,</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Туше- Охрид,</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Инсиде- Охрид,</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Нетплус- Охрид,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Триокомпани- Охрид,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Планета Јаху- Прилеп,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Стаелт- Прилеп,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Спајдер компјутери-Струга, </w:t>
      </w:r>
    </w:p>
    <w:p w:rsidR="00B57474" w:rsidRPr="00B57474" w:rsidRDefault="00B57474" w:rsidP="00B57474">
      <w:pPr>
        <w:pStyle w:val="ListParagraph"/>
        <w:numPr>
          <w:ilvl w:val="0"/>
          <w:numId w:val="14"/>
        </w:numPr>
        <w:ind w:firstLine="0"/>
        <w:rPr>
          <w:rFonts w:ascii="StobiSerif Regular" w:hAnsi="StobiSerif Regular"/>
          <w:sz w:val="20"/>
          <w:lang w:val="mk-MK"/>
        </w:rPr>
      </w:pPr>
      <w:r w:rsidRPr="00B57474">
        <w:rPr>
          <w:rFonts w:ascii="StobiSerif Regular" w:hAnsi="StobiSerif Regular"/>
          <w:sz w:val="20"/>
          <w:lang w:val="mk-MK"/>
        </w:rPr>
        <w:t xml:space="preserve">Албан Нет- Дебар,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lastRenderedPageBreak/>
        <w:t>Мемтел- Ресен,</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ММ Софт- Ресен,</w:t>
      </w:r>
      <w:r w:rsidRPr="00B57474">
        <w:rPr>
          <w:rFonts w:ascii="StobiSerif Regular" w:hAnsi="StobiSerif Regular"/>
          <w:sz w:val="20"/>
        </w:rPr>
        <w:t xml:space="preserve">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Пејоски Шпед- Кичево,</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 xml:space="preserve">Медиа Нет Компјутерс- Кочани,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Мегалајнс- Кочани,</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Компјунет</w:t>
      </w:r>
      <w:r>
        <w:rPr>
          <w:rFonts w:ascii="StobiSerif Regular" w:hAnsi="StobiSerif Regular"/>
          <w:sz w:val="20"/>
          <w:lang w:val="mk-MK"/>
        </w:rPr>
        <w:t>Инженеринг-</w:t>
      </w:r>
      <w:r w:rsidRPr="00B57474">
        <w:rPr>
          <w:rFonts w:ascii="StobiSerif Regular" w:hAnsi="StobiSerif Regular"/>
          <w:sz w:val="20"/>
          <w:lang w:val="mk-MK"/>
        </w:rPr>
        <w:t xml:space="preserve">Македонска Каменица,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 xml:space="preserve">М- Инженеринг- Штип,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Хидрон- Гостивар,</w:t>
      </w:r>
      <w:r w:rsidRPr="00B57474">
        <w:rPr>
          <w:rFonts w:ascii="StobiSerif Regular" w:hAnsi="StobiSerif Regular"/>
          <w:sz w:val="20"/>
        </w:rPr>
        <w:t xml:space="preserve">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 xml:space="preserve">Нетплус комуникации- Скопје, </w:t>
      </w:r>
    </w:p>
    <w:p w:rsidR="00B57474" w:rsidRPr="00B57474" w:rsidRDefault="00B57474" w:rsidP="00B57474">
      <w:pPr>
        <w:pStyle w:val="ListParagraph"/>
        <w:numPr>
          <w:ilvl w:val="0"/>
          <w:numId w:val="14"/>
        </w:numPr>
        <w:ind w:left="284" w:firstLine="0"/>
        <w:rPr>
          <w:rFonts w:ascii="StobiSerif Regular" w:hAnsi="StobiSerif Regular"/>
          <w:sz w:val="20"/>
          <w:lang w:val="mk-MK"/>
        </w:rPr>
      </w:pPr>
      <w:r w:rsidRPr="00B57474">
        <w:rPr>
          <w:rFonts w:ascii="StobiSerif Regular" w:hAnsi="StobiSerif Regular"/>
          <w:sz w:val="20"/>
          <w:lang w:val="mk-MK"/>
        </w:rPr>
        <w:t xml:space="preserve">Дип блу плус- Прилеп, </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Сторк Импекс- Скопје</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Ариста системи- Струмица</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Ибо конекцион- Прилеп</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Хометел-Скопје</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Интер Спејс-Прилеп</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Капитол Кеибл-Скопје</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Гив-Гостивар</w:t>
      </w:r>
    </w:p>
    <w:p w:rsidR="00B57474" w:rsidRPr="00B57474" w:rsidRDefault="00B57474" w:rsidP="00B57474">
      <w:pPr>
        <w:pStyle w:val="ListParagraph"/>
        <w:numPr>
          <w:ilvl w:val="0"/>
          <w:numId w:val="14"/>
        </w:numPr>
        <w:ind w:hanging="436"/>
        <w:rPr>
          <w:rFonts w:ascii="StobiSerif Regular" w:hAnsi="StobiSerif Regular"/>
          <w:sz w:val="20"/>
          <w:lang w:val="mk-MK"/>
        </w:rPr>
      </w:pPr>
      <w:r w:rsidRPr="00B57474">
        <w:rPr>
          <w:rFonts w:ascii="StobiSerif Regular" w:hAnsi="StobiSerif Regular"/>
          <w:sz w:val="20"/>
          <w:lang w:val="mk-MK"/>
        </w:rPr>
        <w:t>Космолине-Скопје</w:t>
      </w:r>
    </w:p>
    <w:p w:rsidR="003972CE" w:rsidRPr="00B57474" w:rsidRDefault="003972CE" w:rsidP="003972CE">
      <w:pPr>
        <w:rPr>
          <w:rFonts w:ascii="StobiSerif Regular" w:eastAsiaTheme="majorEastAsia" w:hAnsi="StobiSerif Regular"/>
          <w:lang w:val="mk-MK"/>
        </w:rPr>
      </w:pPr>
      <w:r w:rsidRPr="00B57474">
        <w:rPr>
          <w:rFonts w:ascii="StobiSerif Regular" w:eastAsiaTheme="majorEastAsia" w:hAnsi="StobiSerif Regular"/>
          <w:lang w:val="mk-MK"/>
        </w:rPr>
        <w:br w:type="page"/>
      </w:r>
    </w:p>
    <w:p w:rsidR="00B57474" w:rsidRDefault="00B57474" w:rsidP="00BB6E69">
      <w:pPr>
        <w:pStyle w:val="Caption"/>
        <w:rPr>
          <w:color w:val="632423" w:themeColor="accent2" w:themeShade="80"/>
        </w:rPr>
        <w:sectPr w:rsidR="00B57474" w:rsidSect="00B57474">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num="2" w:space="708"/>
          <w:titlePg/>
          <w:docGrid w:linePitch="360"/>
        </w:sectPr>
      </w:pPr>
    </w:p>
    <w:p w:rsidR="00BE342C" w:rsidRDefault="00BE342C" w:rsidP="00BB6E69">
      <w:pPr>
        <w:pStyle w:val="Caption"/>
        <w:rPr>
          <w:color w:val="632423" w:themeColor="accent2" w:themeShade="80"/>
          <w:lang w:val="mk-MK"/>
        </w:rPr>
      </w:pPr>
    </w:p>
    <w:p w:rsidR="006668EA" w:rsidRPr="00065760" w:rsidRDefault="00BB6E69" w:rsidP="00BB6E69">
      <w:pPr>
        <w:pStyle w:val="Caption"/>
        <w:rPr>
          <w:color w:val="632423" w:themeColor="accent2" w:themeShade="80"/>
          <w:szCs w:val="22"/>
        </w:rPr>
      </w:pPr>
      <w:bookmarkStart w:id="7" w:name="_Toc327269966"/>
      <w:r w:rsidRPr="004658FB">
        <w:rPr>
          <w:color w:val="632423" w:themeColor="accent2" w:themeShade="80"/>
        </w:rPr>
        <w:t xml:space="preserve">Табела </w:t>
      </w:r>
      <w:r w:rsidR="001E0707" w:rsidRPr="004658FB">
        <w:rPr>
          <w:color w:val="632423" w:themeColor="accent2" w:themeShade="80"/>
        </w:rPr>
        <w:fldChar w:fldCharType="begin"/>
      </w:r>
      <w:r w:rsidRPr="004658FB">
        <w:rPr>
          <w:color w:val="632423" w:themeColor="accent2" w:themeShade="80"/>
        </w:rPr>
        <w:instrText xml:space="preserve"> SEQ Табела \* ARABIC </w:instrText>
      </w:r>
      <w:r w:rsidR="001E0707" w:rsidRPr="004658FB">
        <w:rPr>
          <w:color w:val="632423" w:themeColor="accent2" w:themeShade="80"/>
        </w:rPr>
        <w:fldChar w:fldCharType="separate"/>
      </w:r>
      <w:r w:rsidR="004E5FA2">
        <w:rPr>
          <w:noProof/>
          <w:color w:val="632423" w:themeColor="accent2" w:themeShade="80"/>
        </w:rPr>
        <w:t>3</w:t>
      </w:r>
      <w:r w:rsidR="001E0707" w:rsidRPr="004658FB">
        <w:rPr>
          <w:color w:val="632423" w:themeColor="accent2" w:themeShade="80"/>
        </w:rPr>
        <w:fldChar w:fldCharType="end"/>
      </w:r>
      <w:r w:rsidRPr="00065760">
        <w:rPr>
          <w:color w:val="632423" w:themeColor="accent2" w:themeShade="80"/>
          <w:szCs w:val="22"/>
          <w:lang w:val="mk-MK"/>
        </w:rPr>
        <w:t xml:space="preserve"> Индикатори- Пристап до јавна телефонска мрежа на фиксна локација и јавно достапни локални, национални и меѓународни повици на фиксна локација</w:t>
      </w:r>
      <w:bookmarkEnd w:id="7"/>
    </w:p>
    <w:p w:rsidR="00580B07" w:rsidRPr="00580B07" w:rsidRDefault="00497632" w:rsidP="00580B07">
      <w:pPr>
        <w:jc w:val="center"/>
      </w:pPr>
      <w:r w:rsidRPr="008C3EE2">
        <w:rPr>
          <w:lang w:val="mk-MK"/>
        </w:rPr>
        <w:object w:dxaOrig="7970" w:dyaOrig="15825">
          <v:shape id="_x0000_i1025" type="#_x0000_t75" style="width:391pt;height:578.5pt" o:ole="" o:bordertopcolor="this">
            <v:imagedata r:id="rId24" o:title=""/>
            <w10:bordertop type="single" width="4"/>
          </v:shape>
          <o:OLEObject Type="Embed" ProgID="Excel.Sheet.12" ShapeID="_x0000_i1025" DrawAspect="Content" ObjectID="_1401028515" r:id="rId25"/>
        </w:object>
      </w:r>
      <w:r w:rsidR="00580B07" w:rsidRPr="00580B07">
        <w:rPr>
          <w:rStyle w:val="FootnoteReference"/>
          <w:color w:val="FFFFFF" w:themeColor="background1"/>
          <w:lang w:val="mk-MK"/>
        </w:rPr>
        <w:footnoteReference w:id="1"/>
      </w:r>
    </w:p>
    <w:p w:rsidR="00097753" w:rsidRDefault="00097753" w:rsidP="00A76717">
      <w:pPr>
        <w:jc w:val="center"/>
        <w:rPr>
          <w:lang w:val="mk-MK"/>
        </w:rPr>
      </w:pPr>
    </w:p>
    <w:p w:rsidR="00097753" w:rsidRDefault="001B367E" w:rsidP="00A76717">
      <w:pPr>
        <w:jc w:val="center"/>
        <w:rPr>
          <w:lang w:val="mk-MK"/>
        </w:rPr>
      </w:pPr>
      <w:r w:rsidRPr="004E0540">
        <w:rPr>
          <w:lang w:val="mk-MK"/>
        </w:rPr>
        <w:object w:dxaOrig="8129" w:dyaOrig="6542">
          <v:shape id="_x0000_i1026" type="#_x0000_t75" style="width:402.7pt;height:307.25pt" o:ole="" o:bordertopcolor="this">
            <v:imagedata r:id="rId26" o:title=""/>
            <w10:bordertop type="single" width="4"/>
          </v:shape>
          <o:OLEObject Type="Embed" ProgID="Excel.Sheet.12" ShapeID="_x0000_i1026" DrawAspect="Content" ObjectID="_1401028516" r:id="rId27"/>
        </w:object>
      </w:r>
    </w:p>
    <w:p w:rsidR="00962402" w:rsidRDefault="00962402" w:rsidP="00344A5A">
      <w:pPr>
        <w:jc w:val="left"/>
      </w:pPr>
    </w:p>
    <w:p w:rsidR="00344A5A" w:rsidRPr="00632D3A" w:rsidRDefault="00344A5A" w:rsidP="00344A5A">
      <w:pPr>
        <w:pStyle w:val="Heading1"/>
        <w:rPr>
          <w:color w:val="632423" w:themeColor="accent2" w:themeShade="80"/>
          <w:szCs w:val="22"/>
        </w:rPr>
      </w:pPr>
      <w:bookmarkStart w:id="8" w:name="_Toc258951014"/>
      <w:r w:rsidRPr="00632D3A">
        <w:rPr>
          <w:color w:val="632423" w:themeColor="accent2" w:themeShade="80"/>
          <w:szCs w:val="22"/>
        </w:rPr>
        <w:t xml:space="preserve"> </w:t>
      </w:r>
      <w:bookmarkStart w:id="9" w:name="_Toc327269923"/>
      <w:r w:rsidR="0084417C">
        <w:rPr>
          <w:color w:val="632423" w:themeColor="accent2" w:themeShade="80"/>
          <w:szCs w:val="22"/>
          <w:lang w:val="mk-MK"/>
        </w:rPr>
        <w:t>2</w:t>
      </w:r>
      <w:r w:rsidR="001679DF" w:rsidRPr="00632D3A">
        <w:rPr>
          <w:color w:val="632423" w:themeColor="accent2" w:themeShade="80"/>
          <w:szCs w:val="22"/>
          <w:lang w:val="mk-MK"/>
        </w:rPr>
        <w:t xml:space="preserve">.1 </w:t>
      </w:r>
      <w:r w:rsidRPr="00632D3A">
        <w:rPr>
          <w:color w:val="632423" w:themeColor="accent2" w:themeShade="80"/>
          <w:szCs w:val="22"/>
        </w:rPr>
        <w:t>Вкупен број на фиксни линии</w:t>
      </w:r>
      <w:bookmarkEnd w:id="8"/>
      <w:bookmarkEnd w:id="9"/>
    </w:p>
    <w:p w:rsidR="00CA54BF" w:rsidRDefault="00CA54BF" w:rsidP="00CA54BF">
      <w:pPr>
        <w:pStyle w:val="Default"/>
        <w:spacing w:line="276" w:lineRule="auto"/>
        <w:jc w:val="both"/>
        <w:rPr>
          <w:rFonts w:ascii="StobiSerif Regular" w:hAnsi="StobiSerif Regular"/>
          <w:color w:val="FF0000"/>
          <w:sz w:val="22"/>
          <w:szCs w:val="22"/>
        </w:rPr>
      </w:pPr>
    </w:p>
    <w:p w:rsidR="00CA54BF" w:rsidRPr="004F1310" w:rsidRDefault="00CA54BF" w:rsidP="00CA54BF">
      <w:pPr>
        <w:pStyle w:val="Default"/>
        <w:spacing w:line="276" w:lineRule="auto"/>
        <w:jc w:val="both"/>
        <w:rPr>
          <w:rFonts w:ascii="StobiSerif Regular" w:hAnsi="StobiSerif Regular"/>
          <w:color w:val="auto"/>
          <w:sz w:val="22"/>
          <w:szCs w:val="22"/>
          <w:lang w:val="mk-MK"/>
        </w:rPr>
      </w:pPr>
      <w:r w:rsidRPr="004F1310">
        <w:rPr>
          <w:rFonts w:ascii="StobiSerif Regular" w:hAnsi="StobiSerif Regular"/>
          <w:color w:val="auto"/>
          <w:sz w:val="22"/>
          <w:szCs w:val="22"/>
          <w:lang w:val="mk-MK"/>
        </w:rPr>
        <w:t xml:space="preserve">Вкупниот број на фиксни линии претставени во табелата </w:t>
      </w:r>
      <w:r w:rsidRPr="004F1310">
        <w:rPr>
          <w:rFonts w:ascii="StobiSerif Regular" w:hAnsi="StobiSerif Regular"/>
          <w:color w:val="auto"/>
          <w:sz w:val="22"/>
          <w:szCs w:val="22"/>
        </w:rPr>
        <w:t>3</w:t>
      </w:r>
      <w:r w:rsidRPr="004F1310">
        <w:rPr>
          <w:rFonts w:ascii="StobiSerif Regular" w:hAnsi="StobiSerif Regular"/>
          <w:color w:val="auto"/>
          <w:sz w:val="22"/>
          <w:szCs w:val="22"/>
          <w:lang w:val="mk-MK"/>
        </w:rPr>
        <w:t xml:space="preserve"> се дадени по технологии и број на фиксни линии по вид на претплатници. Во Република Македонија процесот на конвергирање на аналогните линии во дигитални е одамна завршен. Имено, Република Македонија има целосно дигитална мрежа од 2005 година. Во табела 3 е прикажана состојбата на пазарот на фиксна телефонија според број на фиксни линии (технологии и видови на претплатници)</w:t>
      </w:r>
      <w:r w:rsidRPr="004F1310">
        <w:rPr>
          <w:rFonts w:ascii="StobiSerif Regular" w:hAnsi="StobiSerif Regular"/>
          <w:color w:val="auto"/>
          <w:sz w:val="22"/>
          <w:szCs w:val="22"/>
        </w:rPr>
        <w:t>,</w:t>
      </w:r>
      <w:r w:rsidRPr="004F1310">
        <w:rPr>
          <w:rFonts w:ascii="StobiSerif Regular" w:hAnsi="StobiSerif Regular"/>
          <w:color w:val="auto"/>
          <w:sz w:val="22"/>
          <w:szCs w:val="22"/>
          <w:lang w:val="mk-MK"/>
        </w:rPr>
        <w:t xml:space="preserve"> реализиран телефонски сообраќај во број на повици и минути и</w:t>
      </w:r>
      <w:r w:rsidRPr="004F1310">
        <w:rPr>
          <w:color w:val="auto"/>
        </w:rPr>
        <w:t xml:space="preserve"> </w:t>
      </w:r>
      <w:r w:rsidRPr="004F1310">
        <w:rPr>
          <w:rFonts w:ascii="StobiSerif Regular" w:hAnsi="StobiSerif Regular"/>
          <w:color w:val="auto"/>
          <w:sz w:val="22"/>
          <w:szCs w:val="22"/>
          <w:lang w:val="mk-MK"/>
        </w:rPr>
        <w:t>вкупен приход од реализиран телефонски сообраќај на пазарот за фиксна телефонија. Од  точка бр.1 од табелата може да се забележи дека на пазарот на пристап до јавна телефонска мрежа на фиксна локација бројот на</w:t>
      </w:r>
      <w:r w:rsidRPr="00390E18">
        <w:rPr>
          <w:rFonts w:ascii="StobiSerif Regular" w:hAnsi="StobiSerif Regular"/>
          <w:color w:val="FF0000"/>
          <w:sz w:val="22"/>
          <w:szCs w:val="22"/>
          <w:lang w:val="mk-MK"/>
        </w:rPr>
        <w:t xml:space="preserve"> </w:t>
      </w:r>
      <w:r w:rsidRPr="004F1310">
        <w:rPr>
          <w:rFonts w:ascii="StobiSerif Regular" w:hAnsi="StobiSerif Regular"/>
          <w:color w:val="auto"/>
          <w:sz w:val="22"/>
          <w:szCs w:val="22"/>
          <w:lang w:val="mk-MK"/>
        </w:rPr>
        <w:t>фиксни</w:t>
      </w:r>
      <w:r w:rsidR="002C1628">
        <w:rPr>
          <w:rFonts w:ascii="StobiSerif Regular" w:hAnsi="StobiSerif Regular"/>
          <w:color w:val="auto"/>
          <w:sz w:val="22"/>
          <w:szCs w:val="22"/>
          <w:lang w:val="mk-MK"/>
        </w:rPr>
        <w:t xml:space="preserve"> линии (сите технологии) во 201</w:t>
      </w:r>
      <w:r w:rsidR="002C1628">
        <w:rPr>
          <w:rFonts w:ascii="StobiSerif Regular" w:hAnsi="StobiSerif Regular"/>
          <w:color w:val="auto"/>
          <w:sz w:val="22"/>
          <w:szCs w:val="22"/>
        </w:rPr>
        <w:t>1</w:t>
      </w:r>
      <w:r w:rsidR="002C1628">
        <w:rPr>
          <w:rFonts w:ascii="StobiSerif Regular" w:hAnsi="StobiSerif Regular"/>
          <w:color w:val="auto"/>
          <w:sz w:val="22"/>
          <w:szCs w:val="22"/>
          <w:lang w:val="mk-MK"/>
        </w:rPr>
        <w:t xml:space="preserve"> година е зголемен за 1,67% во споредба со 2010</w:t>
      </w:r>
      <w:r w:rsidRPr="004F1310">
        <w:rPr>
          <w:rFonts w:ascii="StobiSerif Regular" w:hAnsi="StobiSerif Regular"/>
          <w:color w:val="auto"/>
          <w:sz w:val="22"/>
          <w:szCs w:val="22"/>
          <w:lang w:val="mk-MK"/>
        </w:rPr>
        <w:t xml:space="preserve"> година. Доколку се разгледуваат линии</w:t>
      </w:r>
      <w:r w:rsidR="00AF0CE2">
        <w:rPr>
          <w:rFonts w:ascii="StobiSerif Regular" w:hAnsi="StobiSerif Regular"/>
          <w:color w:val="auto"/>
          <w:sz w:val="22"/>
          <w:szCs w:val="22"/>
          <w:lang w:val="mk-MK"/>
        </w:rPr>
        <w:t xml:space="preserve">те по технологии кај бројот на </w:t>
      </w:r>
      <w:r w:rsidRPr="004F1310">
        <w:rPr>
          <w:rFonts w:ascii="StobiSerif Regular" w:hAnsi="StobiSerif Regular"/>
          <w:color w:val="auto"/>
          <w:sz w:val="22"/>
          <w:szCs w:val="22"/>
        </w:rPr>
        <w:t>PSTN-</w:t>
      </w:r>
      <w:r w:rsidRPr="004F1310">
        <w:rPr>
          <w:rFonts w:ascii="StobiSerif Regular" w:hAnsi="StobiSerif Regular"/>
          <w:color w:val="auto"/>
          <w:sz w:val="22"/>
          <w:szCs w:val="22"/>
          <w:lang w:val="mk-MK"/>
        </w:rPr>
        <w:t>линии може да се забележ</w:t>
      </w:r>
      <w:r w:rsidR="002C1628">
        <w:rPr>
          <w:rFonts w:ascii="StobiSerif Regular" w:hAnsi="StobiSerif Regular"/>
          <w:color w:val="auto"/>
          <w:sz w:val="22"/>
          <w:szCs w:val="22"/>
          <w:lang w:val="mk-MK"/>
        </w:rPr>
        <w:t>и дека вкупниот број опаѓа за 7,26</w:t>
      </w:r>
      <w:r w:rsidRPr="004F1310">
        <w:rPr>
          <w:rFonts w:ascii="StobiSerif Regular" w:hAnsi="StobiSerif Regular"/>
          <w:color w:val="auto"/>
          <w:sz w:val="22"/>
          <w:szCs w:val="22"/>
          <w:lang w:val="mk-MK"/>
        </w:rPr>
        <w:t xml:space="preserve">%, истото </w:t>
      </w:r>
      <w:r w:rsidR="004E3B7B" w:rsidRPr="004F1310">
        <w:rPr>
          <w:rFonts w:ascii="StobiSerif Regular" w:hAnsi="StobiSerif Regular"/>
          <w:color w:val="auto"/>
          <w:sz w:val="22"/>
          <w:szCs w:val="22"/>
          <w:lang w:val="mk-MK"/>
        </w:rPr>
        <w:t>може да се забележи и кај</w:t>
      </w:r>
      <w:r w:rsidRPr="004F1310">
        <w:rPr>
          <w:rFonts w:ascii="StobiSerif Regular" w:hAnsi="StobiSerif Regular"/>
          <w:color w:val="auto"/>
          <w:sz w:val="22"/>
          <w:szCs w:val="22"/>
          <w:lang w:val="mk-MK"/>
        </w:rPr>
        <w:t xml:space="preserve"> бројот на </w:t>
      </w:r>
      <w:r w:rsidRPr="004F1310">
        <w:rPr>
          <w:rFonts w:ascii="StobiSerif Regular" w:hAnsi="StobiSerif Regular"/>
          <w:color w:val="auto"/>
          <w:sz w:val="22"/>
          <w:szCs w:val="22"/>
        </w:rPr>
        <w:t>ISDN-</w:t>
      </w:r>
      <w:r w:rsidRPr="004F1310">
        <w:rPr>
          <w:rFonts w:ascii="StobiSerif Regular" w:hAnsi="StobiSerif Regular"/>
          <w:color w:val="auto"/>
          <w:sz w:val="22"/>
          <w:szCs w:val="22"/>
          <w:lang w:val="mk-MK"/>
        </w:rPr>
        <w:t xml:space="preserve">линии каде што нивниот број за </w:t>
      </w:r>
      <w:r w:rsidR="002C1628">
        <w:rPr>
          <w:rFonts w:ascii="StobiSerif Regular" w:hAnsi="StobiSerif Regular"/>
          <w:color w:val="auto"/>
          <w:sz w:val="22"/>
          <w:szCs w:val="22"/>
          <w:lang w:val="mk-MK"/>
        </w:rPr>
        <w:t>една година е намален за 5,49</w:t>
      </w:r>
      <w:r w:rsidR="00D05E36">
        <w:rPr>
          <w:rFonts w:ascii="StobiSerif Regular" w:hAnsi="StobiSerif Regular"/>
          <w:color w:val="auto"/>
          <w:sz w:val="22"/>
          <w:szCs w:val="22"/>
          <w:lang w:val="mk-MK"/>
        </w:rPr>
        <w:t>%.</w:t>
      </w:r>
    </w:p>
    <w:p w:rsidR="00CA54BF" w:rsidRPr="004F1310" w:rsidRDefault="00CA54BF" w:rsidP="00CA54BF">
      <w:pPr>
        <w:pStyle w:val="Default"/>
        <w:spacing w:line="276" w:lineRule="auto"/>
        <w:jc w:val="both"/>
        <w:rPr>
          <w:rFonts w:ascii="StobiSerif Regular" w:hAnsi="StobiSerif Regular"/>
          <w:color w:val="auto"/>
          <w:sz w:val="22"/>
          <w:szCs w:val="22"/>
          <w:lang w:val="mk-MK"/>
        </w:rPr>
      </w:pPr>
      <w:r w:rsidRPr="004F1310">
        <w:rPr>
          <w:rFonts w:ascii="StobiSerif Regular" w:hAnsi="StobiSerif Regular"/>
          <w:color w:val="auto"/>
          <w:sz w:val="22"/>
          <w:szCs w:val="22"/>
          <w:lang w:val="mk-MK"/>
        </w:rPr>
        <w:t>Алтернативните оператори кои почнаа да обезбедуваат пристап до јавна телефонска мрежа на фиксна локација и јавно достапни локални, национални и меѓународни телефонски услуги на фиксна локација за резиденцијални и деловни крајни корисници доведоа до значително зголемување на бројот на линии преку безжични технологии и преку кабелски мрежи.</w:t>
      </w:r>
    </w:p>
    <w:p w:rsidR="004E3B7B" w:rsidRPr="004F1310" w:rsidRDefault="00CA54BF" w:rsidP="00CA54BF">
      <w:pPr>
        <w:pStyle w:val="Default"/>
        <w:spacing w:line="276" w:lineRule="auto"/>
        <w:jc w:val="both"/>
        <w:rPr>
          <w:rFonts w:ascii="StobiSerif Regular" w:hAnsi="StobiSerif Regular"/>
          <w:color w:val="auto"/>
          <w:sz w:val="22"/>
          <w:szCs w:val="22"/>
          <w:lang w:val="mk-MK"/>
        </w:rPr>
      </w:pPr>
      <w:r w:rsidRPr="004F1310">
        <w:rPr>
          <w:rFonts w:ascii="StobiSerif Regular" w:hAnsi="StobiSerif Regular"/>
          <w:color w:val="auto"/>
          <w:sz w:val="22"/>
          <w:szCs w:val="22"/>
          <w:lang w:val="mk-MK"/>
        </w:rPr>
        <w:t>Како што може да се забележи од табелата бројот на линии п</w:t>
      </w:r>
      <w:r w:rsidR="002C1628">
        <w:rPr>
          <w:rFonts w:ascii="StobiSerif Regular" w:hAnsi="StobiSerif Regular"/>
          <w:color w:val="auto"/>
          <w:sz w:val="22"/>
          <w:szCs w:val="22"/>
          <w:lang w:val="mk-MK"/>
        </w:rPr>
        <w:t>реку безжични технологии во 2010 година изнесувал 50.117 додека во 2011</w:t>
      </w:r>
      <w:r w:rsidRPr="004F1310">
        <w:rPr>
          <w:rFonts w:ascii="StobiSerif Regular" w:hAnsi="StobiSerif Regular"/>
          <w:color w:val="auto"/>
          <w:sz w:val="22"/>
          <w:szCs w:val="22"/>
          <w:lang w:val="mk-MK"/>
        </w:rPr>
        <w:t xml:space="preserve"> година број</w:t>
      </w:r>
      <w:r w:rsidRPr="004F1310">
        <w:rPr>
          <w:rFonts w:ascii="StobiSerif Regular" w:hAnsi="StobiSerif Regular"/>
          <w:color w:val="auto"/>
          <w:sz w:val="22"/>
          <w:szCs w:val="22"/>
        </w:rPr>
        <w:t>o</w:t>
      </w:r>
      <w:r w:rsidR="002C1628">
        <w:rPr>
          <w:rFonts w:ascii="StobiSerif Regular" w:hAnsi="StobiSerif Regular"/>
          <w:color w:val="auto"/>
          <w:sz w:val="22"/>
          <w:szCs w:val="22"/>
          <w:lang w:val="mk-MK"/>
        </w:rPr>
        <w:t>т на линии изнесува 56.915</w:t>
      </w:r>
      <w:r w:rsidRPr="004F1310">
        <w:rPr>
          <w:rFonts w:ascii="StobiSerif Regular" w:hAnsi="StobiSerif Regular"/>
          <w:color w:val="auto"/>
          <w:sz w:val="22"/>
          <w:szCs w:val="22"/>
          <w:lang w:val="mk-MK"/>
        </w:rPr>
        <w:t xml:space="preserve"> одн</w:t>
      </w:r>
      <w:r w:rsidR="002C1628">
        <w:rPr>
          <w:rFonts w:ascii="StobiSerif Regular" w:hAnsi="StobiSerif Regular"/>
          <w:color w:val="auto"/>
          <w:sz w:val="22"/>
          <w:szCs w:val="22"/>
          <w:lang w:val="mk-MK"/>
        </w:rPr>
        <w:t>осно забележителен е растот од 13,56</w:t>
      </w:r>
      <w:r w:rsidRPr="004F1310">
        <w:rPr>
          <w:rFonts w:ascii="StobiSerif Regular" w:hAnsi="StobiSerif Regular"/>
          <w:color w:val="auto"/>
          <w:sz w:val="22"/>
          <w:szCs w:val="22"/>
          <w:lang w:val="mk-MK"/>
        </w:rPr>
        <w:t xml:space="preserve">%. </w:t>
      </w:r>
    </w:p>
    <w:p w:rsidR="00CA54BF" w:rsidRPr="004F1310" w:rsidRDefault="00CA54BF" w:rsidP="00CA54BF">
      <w:pPr>
        <w:pStyle w:val="Default"/>
        <w:spacing w:line="276" w:lineRule="auto"/>
        <w:jc w:val="both"/>
        <w:rPr>
          <w:rFonts w:ascii="StobiSerif Regular" w:hAnsi="StobiSerif Regular"/>
          <w:color w:val="auto"/>
          <w:sz w:val="22"/>
          <w:szCs w:val="22"/>
          <w:lang w:val="mk-MK"/>
        </w:rPr>
      </w:pPr>
      <w:r w:rsidRPr="004F1310">
        <w:rPr>
          <w:rFonts w:ascii="StobiSerif Regular" w:hAnsi="StobiSerif Regular"/>
          <w:color w:val="auto"/>
          <w:sz w:val="22"/>
          <w:szCs w:val="22"/>
          <w:lang w:val="mk-MK"/>
        </w:rPr>
        <w:lastRenderedPageBreak/>
        <w:t>Најголем раст во однос на претходната година може да се забележи кај бројот на линии преку</w:t>
      </w:r>
      <w:r w:rsidR="002C1628">
        <w:rPr>
          <w:rFonts w:ascii="StobiSerif Regular" w:hAnsi="StobiSerif Regular"/>
          <w:color w:val="auto"/>
          <w:sz w:val="22"/>
          <w:szCs w:val="22"/>
          <w:lang w:val="mk-MK"/>
        </w:rPr>
        <w:t xml:space="preserve"> кабелски мрежи кој изнесува 95,88</w:t>
      </w:r>
      <w:r w:rsidRPr="004F1310">
        <w:rPr>
          <w:rFonts w:ascii="StobiSerif Regular" w:hAnsi="StobiSerif Regular"/>
          <w:color w:val="auto"/>
          <w:sz w:val="22"/>
          <w:szCs w:val="22"/>
          <w:lang w:val="mk-MK"/>
        </w:rPr>
        <w:t xml:space="preserve">% односно од </w:t>
      </w:r>
      <w:r w:rsidR="002C1628" w:rsidRPr="004F1310">
        <w:rPr>
          <w:rFonts w:ascii="StobiSerif Regular" w:hAnsi="StobiSerif Regular"/>
          <w:color w:val="auto"/>
          <w:sz w:val="22"/>
          <w:szCs w:val="22"/>
          <w:lang w:val="mk-MK"/>
        </w:rPr>
        <w:t xml:space="preserve">23.575 </w:t>
      </w:r>
      <w:r w:rsidR="002C1628">
        <w:rPr>
          <w:rFonts w:ascii="StobiSerif Regular" w:hAnsi="StobiSerif Regular"/>
          <w:color w:val="auto"/>
          <w:sz w:val="22"/>
          <w:szCs w:val="22"/>
          <w:lang w:val="mk-MK"/>
        </w:rPr>
        <w:t>линии во 2010</w:t>
      </w:r>
      <w:r w:rsidRPr="004F1310">
        <w:rPr>
          <w:rFonts w:ascii="StobiSerif Regular" w:hAnsi="StobiSerif Regular"/>
          <w:color w:val="auto"/>
          <w:sz w:val="22"/>
          <w:szCs w:val="22"/>
          <w:lang w:val="mk-MK"/>
        </w:rPr>
        <w:t xml:space="preserve"> година до</w:t>
      </w:r>
      <w:r w:rsidR="002C1628">
        <w:rPr>
          <w:rFonts w:ascii="StobiSerif Regular" w:hAnsi="StobiSerif Regular"/>
          <w:color w:val="auto"/>
          <w:sz w:val="22"/>
          <w:szCs w:val="22"/>
          <w:lang w:val="mk-MK"/>
        </w:rPr>
        <w:t xml:space="preserve"> 46.179</w:t>
      </w:r>
      <w:r w:rsidRPr="004F1310">
        <w:rPr>
          <w:rFonts w:ascii="StobiSerif Regular" w:hAnsi="StobiSerif Regular"/>
          <w:color w:val="auto"/>
          <w:sz w:val="22"/>
          <w:szCs w:val="22"/>
          <w:lang w:val="mk-MK"/>
        </w:rPr>
        <w:t xml:space="preserve"> </w:t>
      </w:r>
      <w:r w:rsidR="002C1628">
        <w:rPr>
          <w:rFonts w:ascii="StobiSerif Regular" w:hAnsi="StobiSerif Regular"/>
          <w:color w:val="auto"/>
          <w:sz w:val="22"/>
          <w:szCs w:val="22"/>
          <w:lang w:val="mk-MK"/>
        </w:rPr>
        <w:t>линии во 2011</w:t>
      </w:r>
      <w:r w:rsidRPr="004F1310">
        <w:rPr>
          <w:rFonts w:ascii="StobiSerif Regular" w:hAnsi="StobiSerif Regular"/>
          <w:color w:val="auto"/>
          <w:sz w:val="22"/>
          <w:szCs w:val="22"/>
          <w:lang w:val="mk-MK"/>
        </w:rPr>
        <w:t xml:space="preserve"> година.</w:t>
      </w:r>
    </w:p>
    <w:p w:rsidR="00CA54BF" w:rsidRPr="004F1310" w:rsidRDefault="00CA54BF" w:rsidP="00CA54BF">
      <w:pPr>
        <w:pStyle w:val="Default"/>
        <w:spacing w:line="276" w:lineRule="auto"/>
        <w:jc w:val="both"/>
        <w:rPr>
          <w:rFonts w:ascii="StobiSerif Regular" w:hAnsi="StobiSerif Regular"/>
          <w:color w:val="auto"/>
          <w:sz w:val="22"/>
          <w:szCs w:val="22"/>
          <w:lang w:val="mk-MK"/>
        </w:rPr>
      </w:pPr>
      <w:r w:rsidRPr="004F1310">
        <w:rPr>
          <w:rFonts w:ascii="StobiSerif Regular" w:hAnsi="StobiSerif Regular"/>
          <w:color w:val="auto"/>
          <w:sz w:val="22"/>
          <w:szCs w:val="22"/>
          <w:lang w:val="mk-MK"/>
        </w:rPr>
        <w:t xml:space="preserve">Три оператори обезбедуваат </w:t>
      </w:r>
      <w:r w:rsidRPr="004F1310">
        <w:rPr>
          <w:rFonts w:ascii="StobiSerif Regular" w:hAnsi="StobiSerif Regular"/>
          <w:color w:val="auto"/>
          <w:sz w:val="22"/>
          <w:szCs w:val="22"/>
        </w:rPr>
        <w:t xml:space="preserve">пристап </w:t>
      </w:r>
      <w:r w:rsidRPr="004F1310">
        <w:rPr>
          <w:rFonts w:ascii="StobiSerif Regular" w:hAnsi="StobiSerif Regular"/>
          <w:color w:val="auto"/>
          <w:sz w:val="22"/>
          <w:szCs w:val="22"/>
          <w:lang w:val="mk-MK"/>
        </w:rPr>
        <w:t xml:space="preserve">до јавна телефонска мрежа на фиксна локација </w:t>
      </w:r>
      <w:r w:rsidRPr="004F1310">
        <w:rPr>
          <w:rFonts w:ascii="StobiSerif Regular" w:hAnsi="StobiSerif Regular"/>
          <w:color w:val="auto"/>
          <w:sz w:val="22"/>
          <w:szCs w:val="22"/>
        </w:rPr>
        <w:t>преку коаксијален кабел преку кабелските мрежи за дистрибуција на радио- телевизиски програми</w:t>
      </w:r>
      <w:r w:rsidRPr="004F1310">
        <w:rPr>
          <w:rFonts w:ascii="StobiSerif Regular" w:hAnsi="StobiSerif Regular"/>
          <w:color w:val="auto"/>
          <w:sz w:val="22"/>
          <w:szCs w:val="22"/>
          <w:lang w:val="mk-MK"/>
        </w:rPr>
        <w:t>. Голем дел од кабелските оператори ја изнајмуваат својата мрежа на нотифицираните оператори кои се активни на пазарот на фиксна телефонија и ја обезбедуваат услугата на пристап до јавна телефонска мрежа на фиксна локација. Така на операторот Неотел неколку кабелски оператори кои дејствуваат на определени подрачја во Република Македонија му ја изнајмуваат својата мрежа како на пример:Кабел Нет- Прилеп, Канал 16- Ресен, Г-КТВ- Струга, Спајдер- Гевгелија, Винсат- Виница, То-ми- Радовиш, Пирамида- Делчево, Вива Нет- Берово, Роби- Штип, Инел Техник- Кавадарци и други.</w:t>
      </w:r>
    </w:p>
    <w:p w:rsidR="003809CF" w:rsidRDefault="00CA54BF" w:rsidP="00CA54BF">
      <w:pPr>
        <w:pStyle w:val="Default"/>
        <w:spacing w:line="276" w:lineRule="auto"/>
        <w:jc w:val="both"/>
        <w:rPr>
          <w:rFonts w:asciiTheme="minorHAnsi" w:hAnsiTheme="minorHAnsi"/>
          <w:color w:val="auto"/>
          <w:sz w:val="22"/>
          <w:szCs w:val="22"/>
          <w:lang w:val="mk-MK"/>
        </w:rPr>
      </w:pPr>
      <w:r w:rsidRPr="004F1310">
        <w:rPr>
          <w:rFonts w:asciiTheme="minorHAnsi" w:hAnsiTheme="minorHAnsi"/>
          <w:color w:val="auto"/>
          <w:sz w:val="22"/>
          <w:szCs w:val="22"/>
          <w:lang w:val="mk-MK"/>
        </w:rPr>
        <w:t>Т-Мобиле им понуди на своите претплатници пакети кои содржат пристап до мрежа на фиксна локација и јавно достапни телефонски услуги на фиксна локација</w:t>
      </w:r>
      <w:r w:rsidRPr="004F1310">
        <w:rPr>
          <w:rFonts w:asciiTheme="minorHAnsi" w:eastAsia="Times New Roman" w:hAnsiTheme="minorHAnsi"/>
          <w:color w:val="auto"/>
          <w:sz w:val="22"/>
          <w:szCs w:val="22"/>
          <w:lang w:eastAsia="en-US"/>
        </w:rPr>
        <w:t>.</w:t>
      </w:r>
      <w:r w:rsidRPr="004F1310">
        <w:rPr>
          <w:rFonts w:asciiTheme="minorHAnsi" w:eastAsia="Times New Roman" w:hAnsiTheme="minorHAnsi"/>
          <w:color w:val="auto"/>
          <w:sz w:val="22"/>
          <w:szCs w:val="22"/>
          <w:lang w:val="mk-MK"/>
        </w:rPr>
        <w:t xml:space="preserve"> Пристапот до мрежа на фиксна локација Т-Мобиле го нуди користејќи ја услугата предизбор на оператор.</w:t>
      </w:r>
      <w:r w:rsidR="00D05E36">
        <w:rPr>
          <w:rFonts w:asciiTheme="minorHAnsi" w:eastAsia="Times New Roman" w:hAnsiTheme="minorHAnsi"/>
          <w:color w:val="auto"/>
          <w:sz w:val="22"/>
          <w:szCs w:val="22"/>
          <w:lang w:val="mk-MK"/>
        </w:rPr>
        <w:t xml:space="preserve"> </w:t>
      </w:r>
      <w:r w:rsidR="003809CF">
        <w:rPr>
          <w:rFonts w:asciiTheme="minorHAnsi" w:hAnsiTheme="minorHAnsi"/>
          <w:color w:val="auto"/>
          <w:sz w:val="22"/>
          <w:szCs w:val="22"/>
          <w:lang w:val="mk-MK"/>
        </w:rPr>
        <w:t>Во 2011</w:t>
      </w:r>
      <w:r w:rsidR="00192C8B" w:rsidRPr="004F1310">
        <w:rPr>
          <w:rFonts w:asciiTheme="minorHAnsi" w:hAnsiTheme="minorHAnsi"/>
          <w:color w:val="auto"/>
          <w:sz w:val="22"/>
          <w:szCs w:val="22"/>
          <w:lang w:val="mk-MK"/>
        </w:rPr>
        <w:t xml:space="preserve">  година 750  претплатници</w:t>
      </w:r>
      <w:r w:rsidRPr="004F1310">
        <w:rPr>
          <w:rFonts w:asciiTheme="minorHAnsi" w:hAnsiTheme="minorHAnsi"/>
          <w:color w:val="auto"/>
          <w:sz w:val="22"/>
          <w:szCs w:val="22"/>
          <w:lang w:val="mk-MK"/>
        </w:rPr>
        <w:t xml:space="preserve"> ја користат услугата предизбор на операто</w:t>
      </w:r>
      <w:r w:rsidR="00192C8B" w:rsidRPr="004F1310">
        <w:rPr>
          <w:rFonts w:asciiTheme="minorHAnsi" w:hAnsiTheme="minorHAnsi"/>
          <w:color w:val="auto"/>
          <w:sz w:val="22"/>
          <w:szCs w:val="22"/>
          <w:lang w:val="mk-MK"/>
        </w:rPr>
        <w:t>р.</w:t>
      </w:r>
    </w:p>
    <w:p w:rsidR="003809CF" w:rsidRPr="003809CF" w:rsidRDefault="003809CF" w:rsidP="003809CF">
      <w:pPr>
        <w:pStyle w:val="Default"/>
        <w:spacing w:line="276" w:lineRule="auto"/>
        <w:jc w:val="both"/>
        <w:rPr>
          <w:rFonts w:ascii="StobiSerif Regular" w:hAnsi="StobiSerif Regular"/>
          <w:sz w:val="22"/>
          <w:szCs w:val="22"/>
          <w:lang w:val="mk-MK"/>
        </w:rPr>
      </w:pPr>
      <w:r w:rsidRPr="003809CF">
        <w:rPr>
          <w:rFonts w:ascii="StobiSerif Regular" w:hAnsi="StobiSerif Regular"/>
          <w:sz w:val="22"/>
          <w:szCs w:val="22"/>
          <w:lang w:val="mk-MK"/>
        </w:rPr>
        <w:t xml:space="preserve">Бројот на </w:t>
      </w:r>
      <w:r>
        <w:rPr>
          <w:rFonts w:ascii="StobiSerif Regular" w:hAnsi="StobiSerif Regular"/>
          <w:sz w:val="22"/>
          <w:szCs w:val="22"/>
          <w:lang w:val="mk-MK"/>
        </w:rPr>
        <w:t>корисници</w:t>
      </w:r>
      <w:r w:rsidRPr="003809CF">
        <w:rPr>
          <w:rFonts w:ascii="StobiSerif Regular" w:hAnsi="StobiSerif Regular"/>
          <w:sz w:val="22"/>
          <w:szCs w:val="22"/>
          <w:lang w:val="mk-MK"/>
        </w:rPr>
        <w:t xml:space="preserve"> кои ја користат услугата </w:t>
      </w:r>
      <w:r>
        <w:rPr>
          <w:rFonts w:ascii="StobiSerif Regular" w:hAnsi="StobiSerif Regular"/>
          <w:sz w:val="22"/>
          <w:szCs w:val="22"/>
          <w:lang w:val="mk-MK"/>
        </w:rPr>
        <w:t>избор на оператор во 2011 година изнесува 3.981 при што може да се забележи пад од 3,65% во однос на претходната година, додека пак бројот на корисници</w:t>
      </w:r>
      <w:r w:rsidRPr="003809CF">
        <w:rPr>
          <w:rFonts w:ascii="StobiSerif Regular" w:hAnsi="StobiSerif Regular"/>
          <w:sz w:val="22"/>
          <w:szCs w:val="22"/>
          <w:lang w:val="mk-MK"/>
        </w:rPr>
        <w:t xml:space="preserve"> </w:t>
      </w:r>
      <w:r>
        <w:rPr>
          <w:rFonts w:ascii="StobiSerif Regular" w:hAnsi="StobiSerif Regular"/>
          <w:sz w:val="22"/>
          <w:szCs w:val="22"/>
          <w:lang w:val="mk-MK"/>
        </w:rPr>
        <w:t xml:space="preserve">на услугата </w:t>
      </w:r>
      <w:r w:rsidRPr="003809CF">
        <w:rPr>
          <w:rFonts w:ascii="StobiSerif Regular" w:hAnsi="StobiSerif Regular"/>
          <w:sz w:val="22"/>
          <w:szCs w:val="22"/>
          <w:lang w:val="mk-MK"/>
        </w:rPr>
        <w:t>предизбор на оператор изнесува 20.492</w:t>
      </w:r>
      <w:r w:rsidR="0047014A">
        <w:rPr>
          <w:rFonts w:ascii="StobiSerif Regular" w:hAnsi="StobiSerif Regular"/>
          <w:sz w:val="22"/>
          <w:szCs w:val="22"/>
          <w:lang w:val="mk-MK"/>
        </w:rPr>
        <w:t xml:space="preserve"> и во однос на </w:t>
      </w:r>
      <w:r w:rsidRPr="003809CF">
        <w:rPr>
          <w:rFonts w:ascii="StobiSerif Regular" w:hAnsi="StobiSerif Regular"/>
          <w:sz w:val="22"/>
          <w:szCs w:val="22"/>
          <w:lang w:val="mk-MK"/>
        </w:rPr>
        <w:t>2011</w:t>
      </w:r>
      <w:r w:rsidR="0047014A">
        <w:rPr>
          <w:rFonts w:ascii="StobiSerif Regular" w:hAnsi="StobiSerif Regular"/>
          <w:sz w:val="22"/>
          <w:szCs w:val="22"/>
          <w:lang w:val="mk-MK"/>
        </w:rPr>
        <w:t xml:space="preserve"> година може да се забележи раст од 32,46%</w:t>
      </w:r>
      <w:r w:rsidR="00E46710">
        <w:rPr>
          <w:rFonts w:ascii="StobiSerif Regular" w:hAnsi="StobiSerif Regular"/>
          <w:sz w:val="22"/>
          <w:szCs w:val="22"/>
          <w:lang w:val="mk-MK"/>
        </w:rPr>
        <w:t>.</w:t>
      </w:r>
    </w:p>
    <w:p w:rsidR="00CA54BF" w:rsidRPr="003809CF" w:rsidRDefault="00CA54BF" w:rsidP="00CA54BF">
      <w:pPr>
        <w:pStyle w:val="Default"/>
        <w:spacing w:line="276" w:lineRule="auto"/>
        <w:jc w:val="both"/>
        <w:rPr>
          <w:rFonts w:ascii="StobiSerif Regular" w:eastAsia="Times New Roman" w:hAnsi="StobiSerif Regular"/>
          <w:color w:val="auto"/>
          <w:sz w:val="22"/>
          <w:szCs w:val="22"/>
          <w:lang w:val="mk-MK"/>
        </w:rPr>
      </w:pPr>
      <w:r w:rsidRPr="003809CF">
        <w:rPr>
          <w:rFonts w:ascii="StobiSerif Regular" w:hAnsi="StobiSerif Regular"/>
          <w:color w:val="auto"/>
          <w:sz w:val="22"/>
          <w:szCs w:val="22"/>
          <w:lang w:val="mk-MK"/>
        </w:rPr>
        <w:t xml:space="preserve"> </w:t>
      </w:r>
    </w:p>
    <w:p w:rsidR="00DF6691" w:rsidRPr="0000674C" w:rsidRDefault="0084417C" w:rsidP="001679DF">
      <w:pPr>
        <w:pStyle w:val="Heading1"/>
        <w:rPr>
          <w:color w:val="632423" w:themeColor="accent2" w:themeShade="80"/>
          <w:szCs w:val="22"/>
        </w:rPr>
      </w:pPr>
      <w:bookmarkStart w:id="10" w:name="_Toc327269924"/>
      <w:r>
        <w:rPr>
          <w:color w:val="632423" w:themeColor="accent2" w:themeShade="80"/>
          <w:szCs w:val="22"/>
          <w:lang w:val="mk-MK"/>
        </w:rPr>
        <w:t>2</w:t>
      </w:r>
      <w:r w:rsidR="001679DF" w:rsidRPr="0000674C">
        <w:rPr>
          <w:color w:val="632423" w:themeColor="accent2" w:themeShade="80"/>
          <w:szCs w:val="22"/>
        </w:rPr>
        <w:t xml:space="preserve">.2 </w:t>
      </w:r>
      <w:r w:rsidR="00DF6691" w:rsidRPr="0000674C">
        <w:rPr>
          <w:color w:val="632423" w:themeColor="accent2" w:themeShade="80"/>
          <w:szCs w:val="22"/>
        </w:rPr>
        <w:t>Вкупен појдовен телефонски сообраќај (минути)</w:t>
      </w:r>
      <w:bookmarkEnd w:id="10"/>
    </w:p>
    <w:p w:rsidR="00FA641F" w:rsidRPr="00905F63" w:rsidRDefault="00FA641F" w:rsidP="00FA641F">
      <w:pPr>
        <w:pStyle w:val="Heading1"/>
        <w:rPr>
          <w:szCs w:val="22"/>
          <w:lang w:val="mk-MK"/>
        </w:rPr>
      </w:pPr>
    </w:p>
    <w:p w:rsidR="00613EE6" w:rsidRPr="004E5FA2" w:rsidRDefault="00261075" w:rsidP="00B53363">
      <w:pPr>
        <w:pStyle w:val="Default"/>
        <w:spacing w:line="276" w:lineRule="auto"/>
        <w:jc w:val="both"/>
        <w:rPr>
          <w:rFonts w:ascii="StobiSerif Regular" w:hAnsi="StobiSerif Regular"/>
          <w:color w:val="auto"/>
          <w:sz w:val="22"/>
          <w:szCs w:val="22"/>
          <w:lang w:val="mk-MK"/>
        </w:rPr>
      </w:pPr>
      <w:r w:rsidRPr="00905F63">
        <w:rPr>
          <w:rFonts w:ascii="StobiSerif Regular" w:hAnsi="StobiSerif Regular"/>
          <w:sz w:val="22"/>
          <w:szCs w:val="22"/>
          <w:lang w:val="mk-MK"/>
        </w:rPr>
        <w:t>Во точка бр.</w:t>
      </w:r>
      <w:r w:rsidR="00FA641F" w:rsidRPr="00905F63">
        <w:rPr>
          <w:rFonts w:ascii="StobiSerif Regular" w:hAnsi="StobiSerif Regular"/>
          <w:sz w:val="22"/>
          <w:szCs w:val="22"/>
          <w:lang w:val="mk-MK"/>
        </w:rPr>
        <w:t>5 од табелата е даден целокупниот појдовен сообраќај во минути</w:t>
      </w:r>
      <w:r w:rsidR="00DF6691" w:rsidRPr="00905F63">
        <w:rPr>
          <w:rFonts w:ascii="StobiSerif Regular" w:hAnsi="StobiSerif Regular"/>
          <w:sz w:val="22"/>
          <w:szCs w:val="22"/>
          <w:lang w:val="mk-MK"/>
        </w:rPr>
        <w:t xml:space="preserve"> н</w:t>
      </w:r>
      <w:r w:rsidR="00F72183" w:rsidRPr="00905F63">
        <w:rPr>
          <w:rFonts w:ascii="StobiSerif Regular" w:hAnsi="StobiSerif Regular"/>
          <w:sz w:val="22"/>
          <w:szCs w:val="22"/>
          <w:lang w:val="mk-MK"/>
        </w:rPr>
        <w:t xml:space="preserve">а пазарот на фиксна телефонија. </w:t>
      </w:r>
      <w:r w:rsidR="00B53363">
        <w:rPr>
          <w:rFonts w:ascii="StobiSerif Regular" w:hAnsi="StobiSerif Regular"/>
          <w:sz w:val="22"/>
          <w:szCs w:val="22"/>
          <w:lang w:val="mk-MK"/>
        </w:rPr>
        <w:t>Имено, и покрај тоа што на пазарот понудата се зголемува односно работат повеќе оператори кои нудат различни услуги до крајнит корисници</w:t>
      </w:r>
      <w:r w:rsidR="0041485F">
        <w:rPr>
          <w:rFonts w:ascii="StobiSerif Regular" w:hAnsi="StobiSerif Regular"/>
          <w:sz w:val="22"/>
          <w:szCs w:val="22"/>
          <w:lang w:val="mk-MK"/>
        </w:rPr>
        <w:t>, цел</w:t>
      </w:r>
      <w:r w:rsidR="00B53363">
        <w:rPr>
          <w:rFonts w:ascii="StobiSerif Regular" w:hAnsi="StobiSerif Regular"/>
          <w:sz w:val="22"/>
          <w:szCs w:val="22"/>
          <w:lang w:val="mk-MK"/>
        </w:rPr>
        <w:t>ок</w:t>
      </w:r>
      <w:r w:rsidR="00E44544">
        <w:rPr>
          <w:rFonts w:ascii="StobiSerif Regular" w:hAnsi="StobiSerif Regular"/>
          <w:sz w:val="22"/>
          <w:szCs w:val="22"/>
          <w:lang w:val="mk-MK"/>
        </w:rPr>
        <w:t>упниот обем на сообраќај во 20</w:t>
      </w:r>
      <w:r w:rsidR="003B0535">
        <w:rPr>
          <w:rFonts w:ascii="StobiSerif Regular" w:hAnsi="StobiSerif Regular"/>
          <w:sz w:val="22"/>
          <w:szCs w:val="22"/>
        </w:rPr>
        <w:t>1</w:t>
      </w:r>
      <w:r w:rsidR="003B0535">
        <w:rPr>
          <w:rFonts w:ascii="StobiSerif Regular" w:hAnsi="StobiSerif Regular"/>
          <w:sz w:val="22"/>
          <w:szCs w:val="22"/>
          <w:lang w:val="mk-MK"/>
        </w:rPr>
        <w:t>1 година во однос на 2010</w:t>
      </w:r>
      <w:r w:rsidR="00E44544">
        <w:rPr>
          <w:rFonts w:ascii="StobiSerif Regular" w:hAnsi="StobiSerif Regular"/>
          <w:sz w:val="22"/>
          <w:szCs w:val="22"/>
          <w:lang w:val="mk-MK"/>
        </w:rPr>
        <w:t xml:space="preserve"> година бележи опаѓање за </w:t>
      </w:r>
      <w:r w:rsidR="003B0535">
        <w:rPr>
          <w:rFonts w:ascii="StobiSerif Regular" w:hAnsi="StobiSerif Regular"/>
          <w:sz w:val="22"/>
          <w:szCs w:val="22"/>
          <w:lang w:val="mk-MK"/>
        </w:rPr>
        <w:t>12</w:t>
      </w:r>
      <w:r w:rsidR="003B0535">
        <w:rPr>
          <w:rFonts w:ascii="StobiSerif Regular" w:hAnsi="StobiSerif Regular"/>
          <w:sz w:val="22"/>
          <w:szCs w:val="22"/>
        </w:rPr>
        <w:t>.</w:t>
      </w:r>
      <w:r w:rsidR="003B0535">
        <w:rPr>
          <w:rFonts w:ascii="StobiSerif Regular" w:hAnsi="StobiSerif Regular"/>
          <w:sz w:val="22"/>
          <w:szCs w:val="22"/>
          <w:lang w:val="mk-MK"/>
        </w:rPr>
        <w:t>50</w:t>
      </w:r>
      <w:r w:rsidR="009E1512">
        <w:rPr>
          <w:rFonts w:ascii="StobiSerif Regular" w:hAnsi="StobiSerif Regular"/>
          <w:sz w:val="22"/>
          <w:szCs w:val="22"/>
          <w:lang w:val="mk-MK"/>
        </w:rPr>
        <w:t>%. Од табелата може да се забележи дека појдовниот сообраќај бележи опаѓање како во сопствена мрежа така и кон други фиксни мрежи</w:t>
      </w:r>
      <w:r w:rsidR="002F4D22">
        <w:rPr>
          <w:rFonts w:ascii="StobiSerif Regular" w:hAnsi="StobiSerif Regular"/>
          <w:sz w:val="22"/>
          <w:szCs w:val="22"/>
          <w:lang w:val="mk-MK"/>
        </w:rPr>
        <w:t>, кон мобилни мрежи и кон мрежи во странски држави, при што најголем пад</w:t>
      </w:r>
      <w:r w:rsidR="004E5FA2">
        <w:rPr>
          <w:rFonts w:ascii="StobiSerif Regular" w:hAnsi="StobiSerif Regular"/>
          <w:sz w:val="22"/>
          <w:szCs w:val="22"/>
          <w:lang w:val="mk-MK"/>
        </w:rPr>
        <w:t xml:space="preserve"> се забележува на сообраќајот кон мобилни мрежи во РМ кој изнесува 15,16</w:t>
      </w:r>
      <w:r w:rsidR="002F4D22">
        <w:rPr>
          <w:rFonts w:ascii="StobiSerif Regular" w:hAnsi="StobiSerif Regular"/>
          <w:sz w:val="22"/>
          <w:szCs w:val="22"/>
          <w:lang w:val="mk-MK"/>
        </w:rPr>
        <w:t>%</w:t>
      </w:r>
      <w:r w:rsidR="009E1512">
        <w:rPr>
          <w:rFonts w:ascii="StobiSerif Regular" w:hAnsi="StobiSerif Regular"/>
          <w:sz w:val="22"/>
          <w:szCs w:val="22"/>
          <w:lang w:val="mk-MK"/>
        </w:rPr>
        <w:t>.</w:t>
      </w:r>
      <w:r w:rsidR="00B53363">
        <w:rPr>
          <w:rFonts w:ascii="StobiSerif Regular" w:hAnsi="StobiSerif Regular"/>
          <w:sz w:val="22"/>
          <w:szCs w:val="22"/>
          <w:lang w:val="mk-MK"/>
        </w:rPr>
        <w:t xml:space="preserve"> </w:t>
      </w:r>
      <w:r w:rsidR="00B53363" w:rsidRPr="004E5FA2">
        <w:rPr>
          <w:rFonts w:ascii="StobiSerif Regular" w:hAnsi="StobiSerif Regular"/>
          <w:color w:val="auto"/>
          <w:sz w:val="22"/>
          <w:szCs w:val="22"/>
          <w:lang w:val="mk-MK"/>
        </w:rPr>
        <w:t>Истото се забележува и во однос на приходите од реализиран телефонски сообраќај.</w:t>
      </w:r>
    </w:p>
    <w:p w:rsidR="000C28F0" w:rsidRPr="0000674C" w:rsidRDefault="0084417C" w:rsidP="001679DF">
      <w:pPr>
        <w:pStyle w:val="Heading1"/>
        <w:rPr>
          <w:color w:val="632423" w:themeColor="accent2" w:themeShade="80"/>
        </w:rPr>
      </w:pPr>
      <w:bookmarkStart w:id="11" w:name="_Toc327269925"/>
      <w:r>
        <w:rPr>
          <w:color w:val="632423" w:themeColor="accent2" w:themeShade="80"/>
          <w:lang w:val="mk-MK"/>
        </w:rPr>
        <w:t>2</w:t>
      </w:r>
      <w:r w:rsidR="001679DF" w:rsidRPr="0000674C">
        <w:rPr>
          <w:color w:val="632423" w:themeColor="accent2" w:themeShade="80"/>
        </w:rPr>
        <w:t xml:space="preserve">.3 </w:t>
      </w:r>
      <w:r w:rsidR="001B5638" w:rsidRPr="0000674C">
        <w:rPr>
          <w:color w:val="632423" w:themeColor="accent2" w:themeShade="80"/>
        </w:rPr>
        <w:t xml:space="preserve">Приходи од </w:t>
      </w:r>
      <w:r w:rsidR="00B53363" w:rsidRPr="0000674C">
        <w:rPr>
          <w:color w:val="632423" w:themeColor="accent2" w:themeShade="80"/>
          <w:lang w:val="mk-MK"/>
        </w:rPr>
        <w:t>реализиран телефонски сообраќај</w:t>
      </w:r>
      <w:r w:rsidR="001B5638" w:rsidRPr="0000674C">
        <w:rPr>
          <w:color w:val="632423" w:themeColor="accent2" w:themeShade="80"/>
        </w:rPr>
        <w:t xml:space="preserve"> на пазарот за фиксна телефонија</w:t>
      </w:r>
      <w:bookmarkEnd w:id="11"/>
      <w:r w:rsidR="00900614" w:rsidRPr="0000674C">
        <w:rPr>
          <w:color w:val="632423" w:themeColor="accent2" w:themeShade="80"/>
        </w:rPr>
        <w:t xml:space="preserve"> </w:t>
      </w:r>
    </w:p>
    <w:p w:rsidR="001B5638" w:rsidRDefault="001B5638" w:rsidP="00344A5A">
      <w:pPr>
        <w:pStyle w:val="Default"/>
        <w:jc w:val="both"/>
        <w:rPr>
          <w:rFonts w:ascii="StobiSerif Regular" w:hAnsi="StobiSerif Regular"/>
          <w:lang w:val="mk-MK"/>
        </w:rPr>
      </w:pPr>
    </w:p>
    <w:p w:rsidR="00E61285" w:rsidRPr="001B367E" w:rsidRDefault="001B5638" w:rsidP="00B53363">
      <w:pPr>
        <w:pStyle w:val="Default"/>
        <w:spacing w:line="276" w:lineRule="auto"/>
        <w:jc w:val="both"/>
        <w:rPr>
          <w:rFonts w:ascii="StobiSerif Regular" w:hAnsi="StobiSerif Regular"/>
          <w:color w:val="auto"/>
          <w:sz w:val="22"/>
          <w:szCs w:val="22"/>
          <w:lang w:val="mk-MK"/>
        </w:rPr>
      </w:pPr>
      <w:r w:rsidRPr="001B367E">
        <w:rPr>
          <w:rFonts w:ascii="StobiSerif Regular" w:hAnsi="StobiSerif Regular"/>
          <w:color w:val="auto"/>
          <w:sz w:val="22"/>
          <w:szCs w:val="22"/>
          <w:lang w:val="mk-MK"/>
        </w:rPr>
        <w:t>На пазарот на фиксна телефонија</w:t>
      </w:r>
      <w:r w:rsidR="00B53363" w:rsidRPr="001B367E">
        <w:rPr>
          <w:rFonts w:ascii="StobiSerif Regular" w:hAnsi="StobiSerif Regular"/>
          <w:color w:val="auto"/>
          <w:sz w:val="22"/>
          <w:szCs w:val="22"/>
          <w:lang w:val="mk-MK"/>
        </w:rPr>
        <w:t>, поточно на пазарот на јавно достапни локални, национални и меѓународни повици на фиксна локација</w:t>
      </w:r>
      <w:r w:rsidRPr="001B367E">
        <w:rPr>
          <w:rFonts w:ascii="StobiSerif Regular" w:hAnsi="StobiSerif Regular"/>
          <w:color w:val="auto"/>
          <w:sz w:val="22"/>
          <w:szCs w:val="22"/>
          <w:lang w:val="mk-MK"/>
        </w:rPr>
        <w:t xml:space="preserve"> </w:t>
      </w:r>
      <w:r w:rsidR="00B53363" w:rsidRPr="001B367E">
        <w:rPr>
          <w:rFonts w:ascii="StobiSerif Regular" w:hAnsi="StobiSerif Regular"/>
          <w:color w:val="auto"/>
          <w:sz w:val="22"/>
          <w:szCs w:val="22"/>
          <w:lang w:val="mk-MK"/>
        </w:rPr>
        <w:t>во</w:t>
      </w:r>
      <w:r w:rsidR="004E5FA2" w:rsidRPr="001B367E">
        <w:rPr>
          <w:rFonts w:ascii="StobiSerif Regular" w:hAnsi="StobiSerif Regular"/>
          <w:color w:val="auto"/>
          <w:sz w:val="22"/>
          <w:szCs w:val="22"/>
          <w:lang w:val="mk-MK"/>
        </w:rPr>
        <w:t xml:space="preserve"> 2011</w:t>
      </w:r>
      <w:r w:rsidRPr="001B367E">
        <w:rPr>
          <w:rFonts w:ascii="StobiSerif Regular" w:hAnsi="StobiSerif Regular"/>
          <w:color w:val="auto"/>
          <w:sz w:val="22"/>
          <w:szCs w:val="22"/>
          <w:lang w:val="mk-MK"/>
        </w:rPr>
        <w:t xml:space="preserve"> година реализиран</w:t>
      </w:r>
      <w:r w:rsidR="007F3697" w:rsidRPr="001B367E">
        <w:rPr>
          <w:rFonts w:ascii="StobiSerif Regular" w:hAnsi="StobiSerif Regular"/>
          <w:color w:val="auto"/>
          <w:sz w:val="22"/>
          <w:szCs w:val="22"/>
          <w:lang w:val="mk-MK"/>
        </w:rPr>
        <w:t>и</w:t>
      </w:r>
      <w:r w:rsidRPr="001B367E">
        <w:rPr>
          <w:rFonts w:ascii="StobiSerif Regular" w:hAnsi="StobiSerif Regular"/>
          <w:color w:val="auto"/>
          <w:sz w:val="22"/>
          <w:szCs w:val="22"/>
          <w:lang w:val="mk-MK"/>
        </w:rPr>
        <w:t xml:space="preserve"> </w:t>
      </w:r>
      <w:r w:rsidR="007F3697" w:rsidRPr="001B367E">
        <w:rPr>
          <w:rFonts w:ascii="StobiSerif Regular" w:hAnsi="StobiSerif Regular"/>
          <w:color w:val="auto"/>
          <w:sz w:val="22"/>
          <w:szCs w:val="22"/>
          <w:lang w:val="mk-MK"/>
        </w:rPr>
        <w:t>с</w:t>
      </w:r>
      <w:r w:rsidRPr="001B367E">
        <w:rPr>
          <w:rFonts w:ascii="StobiSerif Regular" w:hAnsi="StobiSerif Regular"/>
          <w:color w:val="auto"/>
          <w:sz w:val="22"/>
          <w:szCs w:val="22"/>
          <w:lang w:val="mk-MK"/>
        </w:rPr>
        <w:t>е вкуп</w:t>
      </w:r>
      <w:r w:rsidR="007F3697" w:rsidRPr="001B367E">
        <w:rPr>
          <w:rFonts w:ascii="StobiSerif Regular" w:hAnsi="StobiSerif Regular"/>
          <w:color w:val="auto"/>
          <w:sz w:val="22"/>
          <w:szCs w:val="22"/>
          <w:lang w:val="mk-MK"/>
        </w:rPr>
        <w:t>ни</w:t>
      </w:r>
      <w:r w:rsidRPr="001B367E">
        <w:rPr>
          <w:rFonts w:ascii="StobiSerif Regular" w:hAnsi="StobiSerif Regular"/>
          <w:color w:val="auto"/>
          <w:sz w:val="22"/>
          <w:szCs w:val="22"/>
          <w:lang w:val="mk-MK"/>
        </w:rPr>
        <w:t xml:space="preserve"> приход</w:t>
      </w:r>
      <w:r w:rsidR="007F3697" w:rsidRPr="001B367E">
        <w:rPr>
          <w:rFonts w:ascii="StobiSerif Regular" w:hAnsi="StobiSerif Regular"/>
          <w:color w:val="auto"/>
          <w:sz w:val="22"/>
          <w:szCs w:val="22"/>
          <w:lang w:val="mk-MK"/>
        </w:rPr>
        <w:t>и</w:t>
      </w:r>
      <w:r w:rsidRPr="001B367E">
        <w:rPr>
          <w:rFonts w:ascii="StobiSerif Regular" w:hAnsi="StobiSerif Regular"/>
          <w:color w:val="auto"/>
          <w:sz w:val="22"/>
          <w:szCs w:val="22"/>
          <w:lang w:val="mk-MK"/>
        </w:rPr>
        <w:t xml:space="preserve"> од </w:t>
      </w:r>
      <w:r w:rsidR="004E5FA2" w:rsidRPr="001B367E">
        <w:rPr>
          <w:rFonts w:ascii="StobiSerif Regular" w:hAnsi="StobiSerif Regular"/>
          <w:color w:val="auto"/>
          <w:sz w:val="22"/>
          <w:szCs w:val="22"/>
          <w:lang w:val="mk-MK"/>
        </w:rPr>
        <w:t>1.648</w:t>
      </w:r>
      <w:r w:rsidR="001B367E" w:rsidRPr="001B367E">
        <w:rPr>
          <w:rFonts w:ascii="StobiSerif Regular" w:hAnsi="StobiSerif Regular"/>
          <w:color w:val="auto"/>
          <w:sz w:val="22"/>
          <w:szCs w:val="22"/>
          <w:lang w:val="mk-MK"/>
        </w:rPr>
        <w:t>.096.180</w:t>
      </w:r>
      <w:r w:rsidR="007F3697" w:rsidRPr="001B367E">
        <w:rPr>
          <w:rFonts w:ascii="StobiSerif Regular" w:hAnsi="StobiSerif Regular"/>
          <w:color w:val="auto"/>
          <w:sz w:val="22"/>
          <w:szCs w:val="22"/>
          <w:lang w:val="mk-MK"/>
        </w:rPr>
        <w:t xml:space="preserve"> денари. Овие приходи преставуваат сума од приходи остварени од појдовен сообраќај во сопствена мрежа,</w:t>
      </w:r>
      <w:r w:rsidR="00CC2443" w:rsidRPr="001B367E">
        <w:rPr>
          <w:rFonts w:ascii="StobiSerif Regular" w:hAnsi="StobiSerif Regular"/>
          <w:color w:val="auto"/>
          <w:sz w:val="22"/>
          <w:szCs w:val="22"/>
          <w:lang w:val="mk-MK"/>
        </w:rPr>
        <w:t xml:space="preserve"> </w:t>
      </w:r>
      <w:r w:rsidR="007F3697" w:rsidRPr="001B367E">
        <w:rPr>
          <w:rFonts w:ascii="StobiSerif Regular" w:hAnsi="StobiSerif Regular"/>
          <w:color w:val="auto"/>
          <w:sz w:val="22"/>
          <w:szCs w:val="22"/>
          <w:lang w:val="mk-MK"/>
        </w:rPr>
        <w:t>кон други фиксни</w:t>
      </w:r>
      <w:r w:rsidR="00DE620D" w:rsidRPr="001B367E">
        <w:rPr>
          <w:rFonts w:ascii="StobiSerif Regular" w:hAnsi="StobiSerif Regular"/>
          <w:color w:val="auto"/>
          <w:sz w:val="22"/>
          <w:szCs w:val="22"/>
          <w:lang w:val="mk-MK"/>
        </w:rPr>
        <w:t xml:space="preserve"> мрежи во РМ, кон мобилни мрежи и кон мрежи во странски држави.</w:t>
      </w:r>
      <w:r w:rsidR="007F3697" w:rsidRPr="001B367E">
        <w:rPr>
          <w:rFonts w:ascii="StobiSerif Regular" w:hAnsi="StobiSerif Regular"/>
          <w:color w:val="auto"/>
          <w:sz w:val="22"/>
          <w:szCs w:val="22"/>
          <w:lang w:val="mk-MK"/>
        </w:rPr>
        <w:t xml:space="preserve"> </w:t>
      </w:r>
    </w:p>
    <w:p w:rsidR="001B5638" w:rsidRPr="001B367E" w:rsidRDefault="00E61285" w:rsidP="00344A5A">
      <w:pPr>
        <w:pStyle w:val="Default"/>
        <w:jc w:val="both"/>
        <w:rPr>
          <w:rFonts w:ascii="StobiSerif Regular" w:hAnsi="StobiSerif Regular"/>
          <w:color w:val="auto"/>
          <w:sz w:val="22"/>
          <w:szCs w:val="22"/>
          <w:lang w:val="mk-MK"/>
        </w:rPr>
      </w:pPr>
      <w:r w:rsidRPr="001B367E">
        <w:rPr>
          <w:rFonts w:ascii="StobiSerif Regular" w:hAnsi="StobiSerif Regular"/>
          <w:color w:val="auto"/>
          <w:sz w:val="22"/>
          <w:szCs w:val="22"/>
          <w:lang w:val="mk-MK"/>
        </w:rPr>
        <w:t xml:space="preserve">Споредено со </w:t>
      </w:r>
      <w:r w:rsidR="00CC2443" w:rsidRPr="001B367E">
        <w:rPr>
          <w:rFonts w:ascii="StobiSerif Regular" w:hAnsi="StobiSerif Regular"/>
          <w:color w:val="auto"/>
          <w:sz w:val="22"/>
          <w:szCs w:val="22"/>
          <w:lang w:val="mk-MK"/>
        </w:rPr>
        <w:t>2</w:t>
      </w:r>
      <w:r w:rsidR="001B367E" w:rsidRPr="001B367E">
        <w:rPr>
          <w:rFonts w:ascii="StobiSerif Regular" w:hAnsi="StobiSerif Regular"/>
          <w:color w:val="auto"/>
          <w:sz w:val="22"/>
          <w:szCs w:val="22"/>
          <w:lang w:val="mk-MK"/>
        </w:rPr>
        <w:t>010</w:t>
      </w:r>
      <w:r w:rsidR="00CC2443" w:rsidRPr="001B367E">
        <w:rPr>
          <w:rFonts w:ascii="StobiSerif Regular" w:hAnsi="StobiSerif Regular"/>
          <w:color w:val="auto"/>
          <w:sz w:val="22"/>
          <w:szCs w:val="22"/>
          <w:lang w:val="mk-MK"/>
        </w:rPr>
        <w:t xml:space="preserve"> година, вкупно остварените</w:t>
      </w:r>
      <w:r w:rsidRPr="001B367E">
        <w:rPr>
          <w:rFonts w:ascii="StobiSerif Regular" w:hAnsi="StobiSerif Regular"/>
          <w:color w:val="auto"/>
          <w:sz w:val="22"/>
          <w:szCs w:val="22"/>
          <w:lang w:val="mk-MK"/>
        </w:rPr>
        <w:t xml:space="preserve"> приходи од </w:t>
      </w:r>
      <w:r w:rsidR="00CC2443" w:rsidRPr="001B367E">
        <w:rPr>
          <w:rFonts w:ascii="StobiSerif Regular" w:hAnsi="StobiSerif Regular"/>
          <w:color w:val="auto"/>
          <w:sz w:val="22"/>
          <w:szCs w:val="22"/>
          <w:lang w:val="mk-MK"/>
        </w:rPr>
        <w:t>појдовен сообраќај</w:t>
      </w:r>
      <w:r w:rsidR="001B367E" w:rsidRPr="001B367E">
        <w:rPr>
          <w:rFonts w:ascii="StobiSerif Regular" w:hAnsi="StobiSerif Regular"/>
          <w:color w:val="auto"/>
          <w:sz w:val="22"/>
          <w:szCs w:val="22"/>
          <w:lang w:val="mk-MK"/>
        </w:rPr>
        <w:t xml:space="preserve"> за 2011</w:t>
      </w:r>
      <w:r w:rsidRPr="001B367E">
        <w:rPr>
          <w:rFonts w:ascii="StobiSerif Regular" w:hAnsi="StobiSerif Regular"/>
          <w:color w:val="auto"/>
          <w:sz w:val="22"/>
          <w:szCs w:val="22"/>
          <w:lang w:val="mk-MK"/>
        </w:rPr>
        <w:t xml:space="preserve"> го</w:t>
      </w:r>
      <w:r w:rsidR="001B367E" w:rsidRPr="001B367E">
        <w:rPr>
          <w:rFonts w:ascii="StobiSerif Regular" w:hAnsi="StobiSerif Regular"/>
          <w:color w:val="auto"/>
          <w:sz w:val="22"/>
          <w:szCs w:val="22"/>
          <w:lang w:val="mk-MK"/>
        </w:rPr>
        <w:t>дина бележат опаѓање за 17</w:t>
      </w:r>
      <w:r w:rsidRPr="001B367E">
        <w:rPr>
          <w:rFonts w:ascii="StobiSerif Regular" w:hAnsi="StobiSerif Regular"/>
          <w:color w:val="auto"/>
          <w:sz w:val="22"/>
          <w:szCs w:val="22"/>
          <w:lang w:val="mk-MK"/>
        </w:rPr>
        <w:t>,</w:t>
      </w:r>
      <w:r w:rsidR="001B367E" w:rsidRPr="001B367E">
        <w:rPr>
          <w:rFonts w:ascii="StobiSerif Regular" w:hAnsi="StobiSerif Regular"/>
          <w:color w:val="auto"/>
          <w:sz w:val="22"/>
          <w:szCs w:val="22"/>
          <w:lang w:val="mk-MK"/>
        </w:rPr>
        <w:t>48</w:t>
      </w:r>
      <w:r w:rsidRPr="001B367E">
        <w:rPr>
          <w:rFonts w:ascii="StobiSerif Regular" w:hAnsi="StobiSerif Regular"/>
          <w:color w:val="auto"/>
          <w:sz w:val="22"/>
          <w:szCs w:val="22"/>
          <w:lang w:val="mk-MK"/>
        </w:rPr>
        <w:t xml:space="preserve">%. </w:t>
      </w:r>
      <w:r w:rsidR="007F3697" w:rsidRPr="001B367E">
        <w:rPr>
          <w:rFonts w:ascii="StobiSerif Regular" w:hAnsi="StobiSerif Regular"/>
          <w:color w:val="auto"/>
          <w:sz w:val="22"/>
          <w:szCs w:val="22"/>
          <w:lang w:val="mk-MK"/>
        </w:rPr>
        <w:t xml:space="preserve"> </w:t>
      </w:r>
    </w:p>
    <w:p w:rsidR="00E467E1" w:rsidRPr="00D73041" w:rsidRDefault="00E467E1" w:rsidP="00344A5A">
      <w:pPr>
        <w:pStyle w:val="Default"/>
        <w:jc w:val="both"/>
        <w:rPr>
          <w:rFonts w:ascii="StobiSerif Regular" w:hAnsi="StobiSerif Regular"/>
          <w:color w:val="FF0000"/>
          <w:sz w:val="22"/>
          <w:szCs w:val="22"/>
          <w:lang w:val="mk-MK"/>
        </w:rPr>
      </w:pPr>
    </w:p>
    <w:p w:rsidR="000C318D" w:rsidRDefault="00E467E1" w:rsidP="00E467E1">
      <w:pPr>
        <w:jc w:val="center"/>
        <w:rPr>
          <w:color w:val="FF0000"/>
          <w:lang w:val="mk-MK"/>
        </w:rPr>
      </w:pPr>
      <w:r w:rsidRPr="00E467E1">
        <w:rPr>
          <w:noProof/>
          <w:color w:val="FF0000"/>
          <w:lang w:val="mk-MK" w:eastAsia="mk-MK" w:bidi="ar-SA"/>
        </w:rPr>
        <w:lastRenderedPageBreak/>
        <w:drawing>
          <wp:inline distT="0" distB="0" distL="0" distR="0">
            <wp:extent cx="5343525" cy="4095750"/>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2F1B" w:rsidRPr="00142C86" w:rsidRDefault="00C52F1B" w:rsidP="00C52F1B">
      <w:pPr>
        <w:pStyle w:val="Caption"/>
        <w:rPr>
          <w:color w:val="632423" w:themeColor="accent2" w:themeShade="80"/>
          <w:lang w:val="mk-MK"/>
        </w:rPr>
      </w:pPr>
      <w:bookmarkStart w:id="12" w:name="_Toc327269939"/>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3</w:t>
      </w:r>
      <w:r w:rsidR="001E0707" w:rsidRPr="00C52F1B">
        <w:rPr>
          <w:color w:val="632423" w:themeColor="accent2" w:themeShade="80"/>
        </w:rPr>
        <w:fldChar w:fldCharType="end"/>
      </w:r>
      <w:r>
        <w:rPr>
          <w:color w:val="632423" w:themeColor="accent2" w:themeShade="80"/>
          <w:lang w:val="mk-MK"/>
        </w:rPr>
        <w:t xml:space="preserve"> </w:t>
      </w:r>
      <w:r w:rsidRPr="00C52F1B">
        <w:rPr>
          <w:color w:val="632423" w:themeColor="accent2" w:themeShade="80"/>
        </w:rPr>
        <w:t xml:space="preserve">Број на </w:t>
      </w:r>
      <w:r w:rsidRPr="00C52F1B">
        <w:rPr>
          <w:color w:val="632423" w:themeColor="accent2" w:themeShade="80"/>
          <w:lang w:val="mk-MK"/>
        </w:rPr>
        <w:t>фиксни</w:t>
      </w:r>
      <w:r w:rsidRPr="00142C86">
        <w:rPr>
          <w:color w:val="632423" w:themeColor="accent2" w:themeShade="80"/>
        </w:rPr>
        <w:t xml:space="preserve"> линии </w:t>
      </w:r>
      <w:r w:rsidR="00BB1722">
        <w:rPr>
          <w:color w:val="632423" w:themeColor="accent2" w:themeShade="80"/>
          <w:lang w:val="mk-MK"/>
        </w:rPr>
        <w:t>по квартали во 2011</w:t>
      </w:r>
      <w:r w:rsidRPr="00142C86">
        <w:rPr>
          <w:color w:val="632423" w:themeColor="accent2" w:themeShade="80"/>
          <w:lang w:val="mk-MK"/>
        </w:rPr>
        <w:t xml:space="preserve"> година и промена на индикаторот број на фиксни линии според по</w:t>
      </w:r>
      <w:r w:rsidR="00BB1722">
        <w:rPr>
          <w:color w:val="632423" w:themeColor="accent2" w:themeShade="80"/>
          <w:lang w:val="mk-MK"/>
        </w:rPr>
        <w:t>пулација 100 по квартали во 2011</w:t>
      </w:r>
      <w:r w:rsidRPr="00142C86">
        <w:rPr>
          <w:color w:val="632423" w:themeColor="accent2" w:themeShade="80"/>
          <w:lang w:val="mk-MK"/>
        </w:rPr>
        <w:t xml:space="preserve"> година</w:t>
      </w:r>
      <w:bookmarkEnd w:id="12"/>
    </w:p>
    <w:p w:rsidR="00E467E1" w:rsidRDefault="00E467E1" w:rsidP="00E467E1">
      <w:pPr>
        <w:rPr>
          <w:rFonts w:ascii="StobiSerif Regular" w:hAnsi="StobiSerif Regular"/>
          <w:lang w:val="mk-MK"/>
        </w:rPr>
      </w:pPr>
      <w:r w:rsidRPr="00026B69">
        <w:rPr>
          <w:lang w:val="mk-MK"/>
        </w:rPr>
        <w:t xml:space="preserve">Во </w:t>
      </w:r>
      <w:r w:rsidRPr="00D74731">
        <w:rPr>
          <w:lang w:val="mk-MK"/>
        </w:rPr>
        <w:t xml:space="preserve">графиконот </w:t>
      </w:r>
      <w:r w:rsidR="00C52F1B">
        <w:rPr>
          <w:lang w:val="mk-MK"/>
        </w:rPr>
        <w:t>бр.3</w:t>
      </w:r>
      <w:r w:rsidRPr="00D74731">
        <w:rPr>
          <w:lang w:val="mk-MK"/>
        </w:rPr>
        <w:t xml:space="preserve"> се</w:t>
      </w:r>
      <w:r w:rsidRPr="00026B69">
        <w:rPr>
          <w:lang w:val="mk-MK"/>
        </w:rPr>
        <w:t xml:space="preserve"> прикажани бројот на </w:t>
      </w:r>
      <w:r>
        <w:rPr>
          <w:lang w:val="mk-MK"/>
        </w:rPr>
        <w:t xml:space="preserve">фиксни </w:t>
      </w:r>
      <w:r w:rsidRPr="00026B69">
        <w:rPr>
          <w:lang w:val="mk-MK"/>
        </w:rPr>
        <w:t>линии и промена на индикатор број на фиксни линии според популација 100 на пазарот на пристап до јавна телефонска мрежа на фиксна локација</w:t>
      </w:r>
      <w:r>
        <w:rPr>
          <w:lang w:val="mk-MK"/>
        </w:rPr>
        <w:t xml:space="preserve"> во текот на сите </w:t>
      </w:r>
      <w:r w:rsidR="00BB1722">
        <w:rPr>
          <w:lang w:val="mk-MK"/>
        </w:rPr>
        <w:t>квартал од 2011</w:t>
      </w:r>
      <w:r>
        <w:rPr>
          <w:lang w:val="mk-MK"/>
        </w:rPr>
        <w:t xml:space="preserve"> година. </w:t>
      </w:r>
      <w:r w:rsidR="00497632">
        <w:rPr>
          <w:lang w:val="mk-MK"/>
        </w:rPr>
        <w:t>Во текот на цела 2011 година</w:t>
      </w:r>
      <w:r w:rsidR="00BB1722" w:rsidRPr="00BB1722">
        <w:rPr>
          <w:rFonts w:ascii="Cambria" w:hAnsi="Cambria"/>
          <w:lang w:val="mk-MK"/>
        </w:rPr>
        <w:t xml:space="preserve"> </w:t>
      </w:r>
      <w:r w:rsidR="00BB1722">
        <w:rPr>
          <w:rFonts w:ascii="StobiSerif Regular" w:hAnsi="StobiSerif Regular"/>
          <w:lang w:val="mk-MK"/>
        </w:rPr>
        <w:t>в</w:t>
      </w:r>
      <w:r w:rsidR="00BB1722" w:rsidRPr="00BB1722">
        <w:rPr>
          <w:rFonts w:ascii="StobiSerif Regular" w:hAnsi="StobiSerif Regular"/>
          <w:lang w:val="mk-MK"/>
        </w:rPr>
        <w:t>оочлива е осцилацијата на бројот на фиксни линии</w:t>
      </w:r>
      <w:r w:rsidR="00497632">
        <w:rPr>
          <w:rFonts w:ascii="StobiSerif Regular" w:hAnsi="StobiSerif Regular"/>
          <w:lang w:val="mk-MK"/>
        </w:rPr>
        <w:t xml:space="preserve">, при што во вториот квартал се забележува раст на бројот на фиксни линии, во третиот квартал е забележителен пад, додека во четвртиот квартал повторно се забележува раст на бројот на фиксни линии кој е најголем во текот на 2011 година. </w:t>
      </w:r>
      <w:r w:rsidRPr="000E620F">
        <w:rPr>
          <w:rFonts w:ascii="StobiSerif Regular" w:hAnsi="StobiSerif Regular"/>
          <w:lang w:val="mk-MK"/>
        </w:rPr>
        <w:t xml:space="preserve">Вредноста на </w:t>
      </w:r>
      <w:r>
        <w:rPr>
          <w:rFonts w:ascii="StobiSerif Regular" w:hAnsi="StobiSerif Regular"/>
          <w:lang w:val="mk-MK"/>
        </w:rPr>
        <w:t xml:space="preserve">индикаторот број на фиксни линии според популација 100 </w:t>
      </w:r>
      <w:r w:rsidRPr="000E620F">
        <w:rPr>
          <w:rFonts w:ascii="StobiSerif Regular" w:hAnsi="StobiSerif Regular"/>
          <w:lang w:val="mk-MK"/>
        </w:rPr>
        <w:t>за</w:t>
      </w:r>
      <w:r>
        <w:rPr>
          <w:rFonts w:ascii="StobiSerif Regular" w:hAnsi="StobiSerif Regular"/>
          <w:lang w:val="mk-MK"/>
        </w:rPr>
        <w:t xml:space="preserve"> </w:t>
      </w:r>
      <w:r w:rsidR="00497632">
        <w:rPr>
          <w:rFonts w:ascii="StobiSerif Regular" w:hAnsi="StobiSerif Regular"/>
          <w:lang w:val="mk-MK"/>
        </w:rPr>
        <w:t>2011</w:t>
      </w:r>
      <w:r>
        <w:rPr>
          <w:rFonts w:ascii="StobiSerif Regular" w:hAnsi="StobiSerif Regular"/>
          <w:lang w:val="mk-MK"/>
        </w:rPr>
        <w:t xml:space="preserve"> година е пресметан</w:t>
      </w:r>
      <w:r w:rsidRPr="005377CF">
        <w:rPr>
          <w:rFonts w:ascii="StobiSerif Regular" w:hAnsi="StobiSerif Regular"/>
          <w:lang w:val="mk-MK"/>
        </w:rPr>
        <w:t xml:space="preserve"> </w:t>
      </w:r>
      <w:r w:rsidRPr="000E620F">
        <w:rPr>
          <w:rFonts w:ascii="StobiSerif Regular" w:hAnsi="StobiSerif Regular"/>
          <w:lang w:val="mk-MK"/>
        </w:rPr>
        <w:t>врз основа на проценката за бројот на населе</w:t>
      </w:r>
      <w:r>
        <w:rPr>
          <w:rFonts w:ascii="StobiSerif Regular" w:hAnsi="StobiSerif Regular"/>
          <w:lang w:val="mk-MK"/>
        </w:rPr>
        <w:t>ние (2.052.722</w:t>
      </w:r>
      <w:r w:rsidRPr="000E620F">
        <w:rPr>
          <w:rFonts w:ascii="StobiSerif Regular" w:hAnsi="StobiSerif Regular"/>
          <w:lang w:val="mk-MK"/>
        </w:rPr>
        <w:t>) согласно податоците од Завод на статистика</w:t>
      </w:r>
      <w:r>
        <w:rPr>
          <w:rFonts w:ascii="StobiSerif Regular" w:hAnsi="StobiSerif Regular"/>
          <w:lang w:val="mk-MK"/>
        </w:rPr>
        <w:t xml:space="preserve"> со референтна дата 31.12.2009</w:t>
      </w:r>
      <w:r w:rsidRPr="000E620F">
        <w:rPr>
          <w:rFonts w:ascii="StobiSerif Regular" w:hAnsi="StobiSerif Regular"/>
          <w:lang w:val="mk-MK"/>
        </w:rPr>
        <w:t xml:space="preserve"> година</w:t>
      </w:r>
      <w:r w:rsidR="00497632">
        <w:rPr>
          <w:rFonts w:ascii="StobiSerif Regular" w:hAnsi="StobiSerif Regular"/>
          <w:lang w:val="mk-MK"/>
        </w:rPr>
        <w:t>.</w:t>
      </w:r>
    </w:p>
    <w:p w:rsidR="00E467E1" w:rsidRDefault="00E467E1" w:rsidP="00E467E1">
      <w:pPr>
        <w:rPr>
          <w:lang w:val="mk-MK"/>
        </w:rPr>
      </w:pPr>
    </w:p>
    <w:p w:rsidR="00E467E1" w:rsidRDefault="00E467E1" w:rsidP="00E467E1">
      <w:pPr>
        <w:jc w:val="center"/>
        <w:rPr>
          <w:color w:val="FF0000"/>
          <w:lang w:val="mk-MK"/>
        </w:rPr>
      </w:pPr>
      <w:r w:rsidRPr="00E467E1">
        <w:rPr>
          <w:noProof/>
          <w:color w:val="FF0000"/>
          <w:lang w:val="mk-MK" w:eastAsia="mk-MK" w:bidi="ar-SA"/>
        </w:rPr>
        <w:lastRenderedPageBreak/>
        <w:drawing>
          <wp:inline distT="0" distB="0" distL="0" distR="0">
            <wp:extent cx="6147834" cy="3803280"/>
            <wp:effectExtent l="19050" t="0" r="24366" b="672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2F1B" w:rsidRDefault="00C52F1B" w:rsidP="00C52F1B">
      <w:pPr>
        <w:pStyle w:val="Caption"/>
      </w:pPr>
      <w:bookmarkStart w:id="13" w:name="_Toc327269940"/>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4</w:t>
      </w:r>
      <w:r w:rsidR="001E0707" w:rsidRPr="00C52F1B">
        <w:rPr>
          <w:color w:val="632423" w:themeColor="accent2" w:themeShade="80"/>
        </w:rPr>
        <w:fldChar w:fldCharType="end"/>
      </w:r>
      <w:r w:rsidRPr="00C52F1B">
        <w:rPr>
          <w:color w:val="632423" w:themeColor="accent2" w:themeShade="80"/>
          <w:lang w:val="mk-MK"/>
        </w:rPr>
        <w:t xml:space="preserve"> Удел</w:t>
      </w:r>
      <w:r w:rsidRPr="00330B9E">
        <w:rPr>
          <w:color w:val="632423" w:themeColor="accent2" w:themeShade="80"/>
          <w:lang w:val="mk-MK"/>
        </w:rPr>
        <w:t xml:space="preserve"> во проценти на фиксни линии според технологии</w:t>
      </w:r>
      <w:r w:rsidRPr="00330B9E">
        <w:rPr>
          <w:color w:val="632423" w:themeColor="accent2" w:themeShade="80"/>
        </w:rPr>
        <w:t xml:space="preserve"> </w:t>
      </w:r>
      <w:r w:rsidR="00787968">
        <w:rPr>
          <w:color w:val="632423" w:themeColor="accent2" w:themeShade="80"/>
          <w:lang w:val="mk-MK"/>
        </w:rPr>
        <w:t>во 2010 и 2011</w:t>
      </w:r>
      <w:r w:rsidRPr="00330B9E">
        <w:rPr>
          <w:color w:val="632423" w:themeColor="accent2" w:themeShade="80"/>
          <w:lang w:val="mk-MK"/>
        </w:rPr>
        <w:t xml:space="preserve"> година</w:t>
      </w:r>
      <w:r w:rsidR="00E0376F">
        <w:rPr>
          <w:rStyle w:val="FootnoteReference"/>
          <w:color w:val="632423" w:themeColor="accent2" w:themeShade="80"/>
          <w:lang w:val="mk-MK"/>
        </w:rPr>
        <w:footnoteReference w:id="2"/>
      </w:r>
      <w:bookmarkEnd w:id="13"/>
    </w:p>
    <w:p w:rsidR="00E467E1" w:rsidRPr="00330B9E" w:rsidRDefault="00E467E1" w:rsidP="00E467E1">
      <w:pPr>
        <w:rPr>
          <w:lang w:val="mk-MK"/>
        </w:rPr>
      </w:pPr>
      <w:r w:rsidRPr="00933E62">
        <w:rPr>
          <w:lang w:val="mk-MK"/>
        </w:rPr>
        <w:t xml:space="preserve">Во графикон </w:t>
      </w:r>
      <w:r w:rsidR="00C52F1B">
        <w:rPr>
          <w:lang w:val="mk-MK"/>
        </w:rPr>
        <w:t>бр.4</w:t>
      </w:r>
      <w:r w:rsidRPr="00933E62">
        <w:rPr>
          <w:lang w:val="mk-MK"/>
        </w:rPr>
        <w:t xml:space="preserve"> е даден уделот на фиксни линии во проценти по технологии. Како што може да се забележи најголем удел имаат </w:t>
      </w:r>
      <w:r w:rsidRPr="00933E62">
        <w:t>PSTN-</w:t>
      </w:r>
      <w:r w:rsidR="00FE5B48">
        <w:rPr>
          <w:lang w:val="mk-MK"/>
        </w:rPr>
        <w:t>линиите кои учествуваат со 71,98</w:t>
      </w:r>
      <w:r w:rsidRPr="00933E62">
        <w:rPr>
          <w:lang w:val="mk-MK"/>
        </w:rPr>
        <w:t xml:space="preserve">%, следуваат линиите преку безжични технологии со </w:t>
      </w:r>
      <w:r w:rsidR="00FE5B48">
        <w:rPr>
          <w:lang w:val="mk-MK"/>
        </w:rPr>
        <w:t>13,48</w:t>
      </w:r>
      <w:r w:rsidRPr="00933E62">
        <w:rPr>
          <w:lang w:val="mk-MK"/>
        </w:rPr>
        <w:t xml:space="preserve">% додека најмал удел имаат </w:t>
      </w:r>
      <w:r w:rsidRPr="00933E62">
        <w:t>ISDN</w:t>
      </w:r>
      <w:r>
        <w:rPr>
          <w:lang w:val="mk-MK"/>
        </w:rPr>
        <w:t xml:space="preserve"> </w:t>
      </w:r>
      <w:r>
        <w:t>PRA</w:t>
      </w:r>
      <w:r w:rsidRPr="00933E62">
        <w:t>-</w:t>
      </w:r>
      <w:r w:rsidR="00FE5B48">
        <w:rPr>
          <w:lang w:val="mk-MK"/>
        </w:rPr>
        <w:t>линиите со  0,08</w:t>
      </w:r>
      <w:r w:rsidRPr="00933E62">
        <w:rPr>
          <w:lang w:val="mk-MK"/>
        </w:rPr>
        <w:t>%.</w:t>
      </w:r>
      <w:r w:rsidR="00D05E36">
        <w:rPr>
          <w:lang w:val="mk-MK"/>
        </w:rPr>
        <w:t xml:space="preserve"> </w:t>
      </w:r>
      <w:r>
        <w:rPr>
          <w:lang w:val="mk-MK"/>
        </w:rPr>
        <w:t>Од графиконот исто така може да се забележи дека споредено со 2009 година најколем раст се забележува кај л</w:t>
      </w:r>
      <w:r w:rsidR="00FE5B48">
        <w:rPr>
          <w:lang w:val="mk-MK"/>
        </w:rPr>
        <w:t>иниите преку кабелски мрежи од 5,23</w:t>
      </w:r>
      <w:r>
        <w:rPr>
          <w:lang w:val="mk-MK"/>
        </w:rPr>
        <w:t xml:space="preserve"> процентуални поени, потоа следуваат линиите преку безжични технологии кои како удел во вкупниот број н</w:t>
      </w:r>
      <w:r w:rsidR="00FE5B48">
        <w:rPr>
          <w:lang w:val="mk-MK"/>
        </w:rPr>
        <w:t>а линии прикажуваат раст од 1,35</w:t>
      </w:r>
      <w:r>
        <w:rPr>
          <w:lang w:val="mk-MK"/>
        </w:rPr>
        <w:t xml:space="preserve"> процентуален поен</w:t>
      </w:r>
      <w:r w:rsidR="00D12340">
        <w:rPr>
          <w:lang w:val="mk-MK"/>
        </w:rPr>
        <w:t xml:space="preserve">, раст прикажуваат и </w:t>
      </w:r>
      <w:r w:rsidR="00D12340">
        <w:t>FTTH-</w:t>
      </w:r>
      <w:r w:rsidR="00D12340">
        <w:rPr>
          <w:lang w:val="mk-MK"/>
        </w:rPr>
        <w:t>линиите од 0,46 процентуални поени</w:t>
      </w:r>
      <w:r>
        <w:rPr>
          <w:lang w:val="mk-MK"/>
        </w:rPr>
        <w:t xml:space="preserve">. Опаѓање се забележува кај </w:t>
      </w:r>
      <w:r w:rsidRPr="00933E62">
        <w:t>PSTN-</w:t>
      </w:r>
      <w:r>
        <w:rPr>
          <w:lang w:val="mk-MK"/>
        </w:rPr>
        <w:t>линиите</w:t>
      </w:r>
      <w:r w:rsidR="00E0376F">
        <w:rPr>
          <w:lang w:val="mk-MK"/>
        </w:rPr>
        <w:t xml:space="preserve"> од 7,32 процентуални поени </w:t>
      </w:r>
      <w:r>
        <w:rPr>
          <w:lang w:val="mk-MK"/>
        </w:rPr>
        <w:t xml:space="preserve"> и </w:t>
      </w:r>
      <w:r w:rsidR="00E0376F">
        <w:rPr>
          <w:lang w:val="mk-MK"/>
        </w:rPr>
        <w:t xml:space="preserve">кај </w:t>
      </w:r>
      <w:r w:rsidRPr="00933E62">
        <w:t>ISDN</w:t>
      </w:r>
      <w:r>
        <w:rPr>
          <w:lang w:val="mk-MK"/>
        </w:rPr>
        <w:t xml:space="preserve"> </w:t>
      </w:r>
      <w:r>
        <w:t>BRA</w:t>
      </w:r>
      <w:r w:rsidR="00E0376F">
        <w:rPr>
          <w:lang w:val="mk-MK"/>
        </w:rPr>
        <w:t xml:space="preserve"> и </w:t>
      </w:r>
      <w:r w:rsidR="00E0376F">
        <w:t>ISDN PRA</w:t>
      </w:r>
      <w:r w:rsidRPr="00933E62">
        <w:t>-</w:t>
      </w:r>
      <w:r w:rsidRPr="00933E62">
        <w:rPr>
          <w:lang w:val="mk-MK"/>
        </w:rPr>
        <w:t>линиите</w:t>
      </w:r>
      <w:r w:rsidR="00E0376F">
        <w:rPr>
          <w:lang w:val="mk-MK"/>
        </w:rPr>
        <w:t xml:space="preserve"> од </w:t>
      </w:r>
      <w:r w:rsidR="00E0376F">
        <w:t xml:space="preserve">0.20 </w:t>
      </w:r>
      <w:r w:rsidR="00E0376F">
        <w:rPr>
          <w:lang w:val="mk-MK"/>
        </w:rPr>
        <w:t>односно 0,</w:t>
      </w:r>
      <w:r w:rsidR="00E0376F">
        <w:t>01</w:t>
      </w:r>
      <w:r w:rsidRPr="00330B9E">
        <w:rPr>
          <w:lang w:val="mk-MK"/>
        </w:rPr>
        <w:t xml:space="preserve"> </w:t>
      </w:r>
      <w:r w:rsidR="00D05E36">
        <w:rPr>
          <w:lang w:val="mk-MK"/>
        </w:rPr>
        <w:t xml:space="preserve">процентуални поени. </w:t>
      </w:r>
    </w:p>
    <w:p w:rsidR="00E467E1" w:rsidRDefault="00E467E1" w:rsidP="00E467E1">
      <w:pPr>
        <w:jc w:val="center"/>
        <w:rPr>
          <w:color w:val="FF0000"/>
          <w:lang w:val="mk-MK"/>
        </w:rPr>
      </w:pPr>
      <w:r w:rsidRPr="00E467E1">
        <w:rPr>
          <w:noProof/>
          <w:color w:val="FF0000"/>
          <w:lang w:val="mk-MK" w:eastAsia="mk-MK" w:bidi="ar-SA"/>
        </w:rPr>
        <w:lastRenderedPageBreak/>
        <w:drawing>
          <wp:inline distT="0" distB="0" distL="0" distR="0">
            <wp:extent cx="5788841" cy="3412672"/>
            <wp:effectExtent l="19050" t="0" r="21409"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2F1B" w:rsidRPr="00BB6E69" w:rsidRDefault="00C52F1B" w:rsidP="00C52F1B">
      <w:pPr>
        <w:pStyle w:val="Caption"/>
        <w:keepNext/>
        <w:jc w:val="center"/>
        <w:rPr>
          <w:color w:val="632423" w:themeColor="accent2" w:themeShade="80"/>
          <w:sz w:val="24"/>
          <w:szCs w:val="24"/>
          <w:lang w:val="mk-MK"/>
        </w:rPr>
      </w:pPr>
      <w:bookmarkStart w:id="14" w:name="_Toc327269941"/>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5</w:t>
      </w:r>
      <w:r w:rsidR="001E0707" w:rsidRPr="00C52F1B">
        <w:rPr>
          <w:color w:val="632423" w:themeColor="accent2" w:themeShade="80"/>
        </w:rPr>
        <w:fldChar w:fldCharType="end"/>
      </w:r>
      <w:r w:rsidRPr="00C52F1B">
        <w:rPr>
          <w:color w:val="632423" w:themeColor="accent2" w:themeShade="80"/>
          <w:lang w:val="mk-MK"/>
        </w:rPr>
        <w:t xml:space="preserve"> Удел на</w:t>
      </w:r>
      <w:r w:rsidRPr="00BB6E69">
        <w:rPr>
          <w:color w:val="632423" w:themeColor="accent2" w:themeShade="80"/>
          <w:lang w:val="mk-MK"/>
        </w:rPr>
        <w:t xml:space="preserve"> алтерантивните оператори/даватели на услуги според фиксни линии (состојба 31.12.20</w:t>
      </w:r>
      <w:r w:rsidR="00304191">
        <w:rPr>
          <w:color w:val="632423" w:themeColor="accent2" w:themeShade="80"/>
        </w:rPr>
        <w:t>1</w:t>
      </w:r>
      <w:r w:rsidR="00304191">
        <w:rPr>
          <w:color w:val="632423" w:themeColor="accent2" w:themeShade="80"/>
          <w:lang w:val="mk-MK"/>
        </w:rPr>
        <w:t>1</w:t>
      </w:r>
      <w:r w:rsidRPr="00BB6E69">
        <w:rPr>
          <w:color w:val="632423" w:themeColor="accent2" w:themeShade="80"/>
          <w:lang w:val="mk-MK"/>
        </w:rPr>
        <w:t xml:space="preserve"> година)</w:t>
      </w:r>
      <w:bookmarkEnd w:id="14"/>
    </w:p>
    <w:p w:rsidR="00C52F1B" w:rsidRDefault="00C52F1B" w:rsidP="00C52F1B">
      <w:pPr>
        <w:pStyle w:val="Caption"/>
        <w:jc w:val="center"/>
      </w:pPr>
    </w:p>
    <w:p w:rsidR="00E467E1" w:rsidRPr="006F47C8" w:rsidRDefault="00C52F1B" w:rsidP="00E467E1">
      <w:pPr>
        <w:rPr>
          <w:lang w:val="mk-MK"/>
        </w:rPr>
      </w:pPr>
      <w:r>
        <w:rPr>
          <w:lang w:val="mk-MK"/>
        </w:rPr>
        <w:t>Во Графиконот бр 5</w:t>
      </w:r>
      <w:r w:rsidR="00E467E1" w:rsidRPr="007271BC">
        <w:rPr>
          <w:lang w:val="mk-MK"/>
        </w:rPr>
        <w:t xml:space="preserve"> е даден</w:t>
      </w:r>
      <w:r w:rsidR="00E467E1" w:rsidRPr="006F47C8">
        <w:rPr>
          <w:lang w:val="mk-MK"/>
        </w:rPr>
        <w:t xml:space="preserve"> уделот на операторите/даватели на услуги според фиксни линии во</w:t>
      </w:r>
      <w:r w:rsidR="00E467E1">
        <w:rPr>
          <w:lang w:val="mk-MK"/>
        </w:rPr>
        <w:t xml:space="preserve"> </w:t>
      </w:r>
      <w:r w:rsidR="00A063E1">
        <w:rPr>
          <w:lang w:val="mk-MK"/>
        </w:rPr>
        <w:t>2011</w:t>
      </w:r>
      <w:r w:rsidR="00E467E1" w:rsidRPr="006F47C8">
        <w:rPr>
          <w:lang w:val="mk-MK"/>
        </w:rPr>
        <w:t xml:space="preserve"> година.</w:t>
      </w:r>
      <w:r w:rsidR="00E467E1">
        <w:rPr>
          <w:lang w:val="mk-MK"/>
        </w:rPr>
        <w:t xml:space="preserve"> </w:t>
      </w:r>
      <w:r w:rsidR="00E467E1" w:rsidRPr="006F47C8">
        <w:rPr>
          <w:lang w:val="mk-MK"/>
        </w:rPr>
        <w:t>Во</w:t>
      </w:r>
      <w:r w:rsidR="00E467E1">
        <w:rPr>
          <w:lang w:val="mk-MK"/>
        </w:rPr>
        <w:t xml:space="preserve"> </w:t>
      </w:r>
      <w:r w:rsidR="00E467E1" w:rsidRPr="006F47C8">
        <w:rPr>
          <w:lang w:val="mk-MK"/>
        </w:rPr>
        <w:t xml:space="preserve"> вкупниот број</w:t>
      </w:r>
      <w:r w:rsidR="00E467E1">
        <w:rPr>
          <w:lang w:val="mk-MK"/>
        </w:rPr>
        <w:t xml:space="preserve"> </w:t>
      </w:r>
      <w:r w:rsidR="00E467E1" w:rsidRPr="006F47C8">
        <w:rPr>
          <w:lang w:val="mk-MK"/>
        </w:rPr>
        <w:t xml:space="preserve"> на фиксни линии</w:t>
      </w:r>
      <w:r w:rsidR="00E467E1">
        <w:rPr>
          <w:lang w:val="mk-MK"/>
        </w:rPr>
        <w:t xml:space="preserve"> </w:t>
      </w:r>
      <w:r w:rsidR="00E467E1" w:rsidRPr="006F47C8">
        <w:rPr>
          <w:lang w:val="mk-MK"/>
        </w:rPr>
        <w:t xml:space="preserve"> учеството </w:t>
      </w:r>
      <w:r w:rsidR="00E467E1">
        <w:rPr>
          <w:lang w:val="mk-MK"/>
        </w:rPr>
        <w:t xml:space="preserve"> </w:t>
      </w:r>
      <w:r w:rsidR="00E467E1" w:rsidRPr="006F47C8">
        <w:rPr>
          <w:lang w:val="mk-MK"/>
        </w:rPr>
        <w:t>на Македонски Телеком (СМП Операторот)</w:t>
      </w:r>
      <w:r w:rsidR="00E1622D">
        <w:rPr>
          <w:lang w:val="mk-MK"/>
        </w:rPr>
        <w:t xml:space="preserve"> е 69,05</w:t>
      </w:r>
      <w:r w:rsidR="00E467E1" w:rsidRPr="006F47C8">
        <w:rPr>
          <w:lang w:val="mk-MK"/>
        </w:rPr>
        <w:t>%</w:t>
      </w:r>
      <w:r w:rsidR="00E467E1">
        <w:rPr>
          <w:lang w:val="mk-MK"/>
        </w:rPr>
        <w:t>, додека од алтернативните оператори/ даватели на услуги најголемо учество има ОНЕ Оператор со 1</w:t>
      </w:r>
      <w:r w:rsidR="00E1622D">
        <w:rPr>
          <w:lang w:val="mk-MK"/>
        </w:rPr>
        <w:t>5</w:t>
      </w:r>
      <w:r w:rsidR="00E1622D">
        <w:t>,</w:t>
      </w:r>
      <w:r w:rsidR="00E1622D">
        <w:rPr>
          <w:lang w:val="mk-MK"/>
        </w:rPr>
        <w:t>62%, понатаму следуваат: Близу (6,47%), Неотел (4,04%),</w:t>
      </w:r>
      <w:r w:rsidR="002A69AC">
        <w:rPr>
          <w:lang w:val="mk-MK"/>
        </w:rPr>
        <w:t>Аикол (3,81%)</w:t>
      </w:r>
      <w:r w:rsidR="00E467E1">
        <w:rPr>
          <w:lang w:val="mk-MK"/>
        </w:rPr>
        <w:t xml:space="preserve"> Инфел </w:t>
      </w:r>
      <w:r w:rsidR="002A69AC">
        <w:rPr>
          <w:lang w:val="mk-MK"/>
        </w:rPr>
        <w:t>Нет Плус (0,54%), Т-Мобиле (0,29</w:t>
      </w:r>
      <w:r w:rsidR="00E467E1">
        <w:rPr>
          <w:lang w:val="mk-MK"/>
        </w:rPr>
        <w:t>%</w:t>
      </w:r>
      <w:r w:rsidR="002A69AC">
        <w:rPr>
          <w:lang w:val="mk-MK"/>
        </w:rPr>
        <w:t>)</w:t>
      </w:r>
      <w:r w:rsidR="00E467E1">
        <w:rPr>
          <w:lang w:val="mk-MK"/>
        </w:rPr>
        <w:t>.</w:t>
      </w:r>
    </w:p>
    <w:p w:rsidR="00E467E1" w:rsidRDefault="00A1326A" w:rsidP="00E467E1">
      <w:pPr>
        <w:jc w:val="center"/>
        <w:rPr>
          <w:color w:val="FF0000"/>
          <w:lang w:val="mk-MK"/>
        </w:rPr>
      </w:pPr>
      <w:r w:rsidRPr="00A1326A">
        <w:rPr>
          <w:noProof/>
          <w:color w:val="FF0000"/>
          <w:lang w:val="mk-MK" w:eastAsia="mk-MK" w:bidi="ar-SA"/>
        </w:rPr>
        <w:lastRenderedPageBreak/>
        <w:drawing>
          <wp:inline distT="0" distB="0" distL="0" distR="0">
            <wp:extent cx="5913918" cy="4944139"/>
            <wp:effectExtent l="19050" t="0" r="10632" b="8861"/>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326A" w:rsidRDefault="00C52F1B" w:rsidP="00C52F1B">
      <w:pPr>
        <w:pStyle w:val="Caption"/>
        <w:jc w:val="center"/>
      </w:pPr>
      <w:bookmarkStart w:id="15" w:name="_Toc327269942"/>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6</w:t>
      </w:r>
      <w:r w:rsidR="001E0707" w:rsidRPr="00C52F1B">
        <w:rPr>
          <w:color w:val="632423" w:themeColor="accent2" w:themeShade="80"/>
        </w:rPr>
        <w:fldChar w:fldCharType="end"/>
      </w:r>
      <w:r w:rsidRPr="00C52F1B">
        <w:rPr>
          <w:color w:val="632423" w:themeColor="accent2" w:themeShade="80"/>
          <w:lang w:val="mk-MK"/>
        </w:rPr>
        <w:t xml:space="preserve"> Удел на алтерн</w:t>
      </w:r>
      <w:r w:rsidRPr="00C52F1B">
        <w:rPr>
          <w:color w:val="632423" w:themeColor="accent2" w:themeShade="80"/>
        </w:rPr>
        <w:t>a</w:t>
      </w:r>
      <w:r w:rsidRPr="00C52F1B">
        <w:rPr>
          <w:color w:val="632423" w:themeColor="accent2" w:themeShade="80"/>
          <w:lang w:val="mk-MK"/>
        </w:rPr>
        <w:t>тивните оператори/ даватели на услуги според фиксни линии и приходи од</w:t>
      </w:r>
      <w:r w:rsidRPr="00142C86">
        <w:rPr>
          <w:color w:val="632423" w:themeColor="accent2" w:themeShade="80"/>
        </w:rPr>
        <w:t xml:space="preserve"> </w:t>
      </w:r>
      <w:r w:rsidRPr="00142C86">
        <w:rPr>
          <w:color w:val="632423" w:themeColor="accent2" w:themeShade="80"/>
          <w:lang w:val="mk-MK"/>
        </w:rPr>
        <w:t>обезбедување на пристап до мрежа на фиксна локација и јавно достапни телефонски у</w:t>
      </w:r>
      <w:r w:rsidR="006A55E7">
        <w:rPr>
          <w:color w:val="632423" w:themeColor="accent2" w:themeShade="80"/>
          <w:lang w:val="mk-MK"/>
        </w:rPr>
        <w:t>слуги на фиксна локација за 201</w:t>
      </w:r>
      <w:r w:rsidR="006A55E7">
        <w:rPr>
          <w:color w:val="632423" w:themeColor="accent2" w:themeShade="80"/>
        </w:rPr>
        <w:t>1</w:t>
      </w:r>
      <w:r w:rsidRPr="00142C86">
        <w:rPr>
          <w:color w:val="632423" w:themeColor="accent2" w:themeShade="80"/>
          <w:lang w:val="mk-MK"/>
        </w:rPr>
        <w:t xml:space="preserve"> година</w:t>
      </w:r>
      <w:bookmarkEnd w:id="15"/>
    </w:p>
    <w:p w:rsidR="00A1326A" w:rsidRDefault="00C52F1B" w:rsidP="00A1326A">
      <w:pPr>
        <w:rPr>
          <w:rFonts w:ascii="StobiSerif Regular" w:hAnsi="StobiSerif Regular"/>
          <w:lang w:val="mk-MK"/>
        </w:rPr>
      </w:pPr>
      <w:r>
        <w:rPr>
          <w:lang w:val="mk-MK"/>
        </w:rPr>
        <w:t>Во графиконот бр.6</w:t>
      </w:r>
      <w:r w:rsidR="00A1326A" w:rsidRPr="00905F63">
        <w:rPr>
          <w:lang w:val="mk-MK"/>
        </w:rPr>
        <w:t xml:space="preserve"> е прикажан уделот на алтернативните оператори/даватели на услуги според фиксни линии и приходи од </w:t>
      </w:r>
      <w:r w:rsidR="00A1326A" w:rsidRPr="002A0974">
        <w:rPr>
          <w:lang w:val="mk-MK"/>
        </w:rPr>
        <w:t xml:space="preserve">обезбедување на пристап до мрежа на фиксна локација и јавно достапни телефонски услуги на фиксна локација </w:t>
      </w:r>
      <w:r w:rsidR="00A1326A">
        <w:rPr>
          <w:lang w:val="mk-MK"/>
        </w:rPr>
        <w:t>по квартали за 20</w:t>
      </w:r>
      <w:r w:rsidR="006A55E7">
        <w:t>11</w:t>
      </w:r>
      <w:r w:rsidR="00A1326A" w:rsidRPr="00905F63">
        <w:rPr>
          <w:lang w:val="mk-MK"/>
        </w:rPr>
        <w:t xml:space="preserve"> година.</w:t>
      </w:r>
      <w:r w:rsidR="00A1326A" w:rsidRPr="00905F63">
        <w:rPr>
          <w:rFonts w:ascii="StobiSerif Regular" w:hAnsi="StobiSerif Regular"/>
          <w:lang w:val="mk-MK"/>
        </w:rPr>
        <w:t xml:space="preserve"> Почнувајќи од вториот квартал во 2008 година на пазарот влегуваат најголем дел од алтернативните оператори/даватели на услуги кои со текот на времето го зголемуваат своето учество (според приходи и сообраќај)  на пазарот на фиксна телефон</w:t>
      </w:r>
      <w:r w:rsidR="00A1326A">
        <w:rPr>
          <w:rFonts w:ascii="StobiSerif Regular" w:hAnsi="StobiSerif Regular"/>
          <w:lang w:val="mk-MK"/>
        </w:rPr>
        <w:t>ија, што не е исклучок и за 20</w:t>
      </w:r>
      <w:r w:rsidR="006A55E7">
        <w:rPr>
          <w:rFonts w:ascii="StobiSerif Regular" w:hAnsi="StobiSerif Regular"/>
        </w:rPr>
        <w:t>11</w:t>
      </w:r>
      <w:r w:rsidR="00A1326A">
        <w:rPr>
          <w:rFonts w:ascii="StobiSerif Regular" w:hAnsi="StobiSerif Regular"/>
          <w:lang w:val="mk-MK"/>
        </w:rPr>
        <w:t xml:space="preserve"> година. Во текот на 20</w:t>
      </w:r>
      <w:r w:rsidR="006A55E7">
        <w:rPr>
          <w:rFonts w:ascii="StobiSerif Regular" w:hAnsi="StobiSerif Regular"/>
        </w:rPr>
        <w:t>11</w:t>
      </w:r>
      <w:r w:rsidR="00A1326A" w:rsidRPr="00905F63">
        <w:rPr>
          <w:rFonts w:ascii="StobiSerif Regular" w:hAnsi="StobiSerif Regular"/>
          <w:lang w:val="mk-MK"/>
        </w:rPr>
        <w:t xml:space="preserve"> година уделот на алтернативните оператори/даватели на услуги според број на фиксни линии константно расте во сите чети</w:t>
      </w:r>
      <w:r w:rsidR="00A1326A">
        <w:rPr>
          <w:rFonts w:ascii="StobiSerif Regular" w:hAnsi="StobiSerif Regular"/>
          <w:lang w:val="mk-MK"/>
        </w:rPr>
        <w:t xml:space="preserve">ри квартали и се движи од </w:t>
      </w:r>
      <w:r w:rsidR="006A55E7">
        <w:rPr>
          <w:rFonts w:ascii="StobiSerif Regular" w:hAnsi="StobiSerif Regular"/>
        </w:rPr>
        <w:t>24,78</w:t>
      </w:r>
      <w:r w:rsidR="00A1326A">
        <w:rPr>
          <w:rFonts w:ascii="StobiSerif Regular" w:hAnsi="StobiSerif Regular"/>
          <w:lang w:val="mk-MK"/>
        </w:rPr>
        <w:t xml:space="preserve">% до </w:t>
      </w:r>
      <w:r w:rsidR="006A55E7">
        <w:rPr>
          <w:rFonts w:ascii="StobiSerif Regular" w:hAnsi="StobiSerif Regular"/>
        </w:rPr>
        <w:t>30</w:t>
      </w:r>
      <w:r w:rsidR="00A1326A">
        <w:rPr>
          <w:rFonts w:ascii="StobiSerif Regular" w:hAnsi="StobiSerif Regular"/>
        </w:rPr>
        <w:t>,</w:t>
      </w:r>
      <w:r w:rsidR="006A55E7">
        <w:rPr>
          <w:rFonts w:ascii="StobiSerif Regular" w:hAnsi="StobiSerif Regular"/>
        </w:rPr>
        <w:t>95</w:t>
      </w:r>
      <w:r w:rsidR="00A1326A" w:rsidRPr="00905F63">
        <w:rPr>
          <w:rFonts w:ascii="StobiSerif Regular" w:hAnsi="StobiSerif Regular"/>
          <w:lang w:val="mk-MK"/>
        </w:rPr>
        <w:t xml:space="preserve">%, </w:t>
      </w:r>
      <w:r w:rsidR="00A1326A">
        <w:rPr>
          <w:rFonts w:ascii="StobiSerif Regular" w:hAnsi="StobiSerif Regular"/>
          <w:lang w:val="mk-MK"/>
        </w:rPr>
        <w:t>додека пак</w:t>
      </w:r>
      <w:r w:rsidR="00A1326A" w:rsidRPr="00905F63">
        <w:rPr>
          <w:rFonts w:ascii="StobiSerif Regular" w:hAnsi="StobiSerif Regular"/>
          <w:lang w:val="mk-MK"/>
        </w:rPr>
        <w:t xml:space="preserve"> при</w:t>
      </w:r>
      <w:r w:rsidR="006A55E7">
        <w:rPr>
          <w:rFonts w:ascii="StobiSerif Regular" w:hAnsi="StobiSerif Regular"/>
          <w:lang w:val="mk-MK"/>
        </w:rPr>
        <w:t>ходите се движат од 1</w:t>
      </w:r>
      <w:r w:rsidR="006A55E7">
        <w:rPr>
          <w:rFonts w:ascii="StobiSerif Regular" w:hAnsi="StobiSerif Regular"/>
        </w:rPr>
        <w:t>2</w:t>
      </w:r>
      <w:r w:rsidR="00A1326A">
        <w:rPr>
          <w:rFonts w:ascii="StobiSerif Regular" w:hAnsi="StobiSerif Regular"/>
          <w:lang w:val="mk-MK"/>
        </w:rPr>
        <w:t>,</w:t>
      </w:r>
      <w:r w:rsidR="006A55E7">
        <w:rPr>
          <w:rFonts w:ascii="StobiSerif Regular" w:hAnsi="StobiSerif Regular"/>
        </w:rPr>
        <w:t>9</w:t>
      </w:r>
      <w:r w:rsidR="006A55E7">
        <w:rPr>
          <w:rFonts w:ascii="StobiSerif Regular" w:hAnsi="StobiSerif Regular"/>
          <w:lang w:val="mk-MK"/>
        </w:rPr>
        <w:t>3% до 1</w:t>
      </w:r>
      <w:r w:rsidR="006A55E7">
        <w:rPr>
          <w:rFonts w:ascii="StobiSerif Regular" w:hAnsi="StobiSerif Regular"/>
        </w:rPr>
        <w:t>6</w:t>
      </w:r>
      <w:r w:rsidR="006A55E7">
        <w:rPr>
          <w:rFonts w:ascii="StobiSerif Regular" w:hAnsi="StobiSerif Regular"/>
          <w:lang w:val="mk-MK"/>
        </w:rPr>
        <w:t>,</w:t>
      </w:r>
      <w:r w:rsidR="00A1326A">
        <w:rPr>
          <w:rFonts w:ascii="StobiSerif Regular" w:hAnsi="StobiSerif Regular"/>
          <w:lang w:val="mk-MK"/>
        </w:rPr>
        <w:t>4</w:t>
      </w:r>
      <w:r w:rsidR="006A55E7">
        <w:rPr>
          <w:rFonts w:ascii="StobiSerif Regular" w:hAnsi="StobiSerif Regular"/>
        </w:rPr>
        <w:t>1</w:t>
      </w:r>
      <w:r w:rsidR="00A1326A" w:rsidRPr="00905F63">
        <w:rPr>
          <w:rFonts w:ascii="StobiSerif Regular" w:hAnsi="StobiSerif Regular"/>
          <w:lang w:val="mk-MK"/>
        </w:rPr>
        <w:t>%</w:t>
      </w:r>
      <w:r w:rsidR="00A1326A">
        <w:rPr>
          <w:rFonts w:ascii="StobiSerif Regular" w:hAnsi="StobiSerif Regular"/>
          <w:lang w:val="mk-MK"/>
        </w:rPr>
        <w:t>.</w:t>
      </w:r>
    </w:p>
    <w:p w:rsidR="00A1326A" w:rsidRPr="003E775F" w:rsidRDefault="00A1326A" w:rsidP="00A1326A">
      <w:pPr>
        <w:rPr>
          <w:rFonts w:ascii="StobiSerif Regular" w:hAnsi="StobiSerif Regular"/>
          <w:lang w:val="mk-MK"/>
        </w:rPr>
      </w:pPr>
      <w:r>
        <w:rPr>
          <w:rFonts w:ascii="StobiSerif Regular" w:hAnsi="StobiSerif Regular"/>
          <w:lang w:val="mk-MK"/>
        </w:rPr>
        <w:t>Во</w:t>
      </w:r>
      <w:r>
        <w:rPr>
          <w:lang w:val="mk-MK"/>
        </w:rPr>
        <w:t xml:space="preserve"> приходи се вклучени приходите од: почетно приклучување, месечниот надомест, </w:t>
      </w:r>
      <w:r w:rsidRPr="005C37BD">
        <w:rPr>
          <w:lang w:val="mk-MK"/>
        </w:rPr>
        <w:t>реализиран</w:t>
      </w:r>
      <w:r>
        <w:rPr>
          <w:lang w:val="mk-MK"/>
        </w:rPr>
        <w:t>иот</w:t>
      </w:r>
      <w:r w:rsidR="009611F6">
        <w:rPr>
          <w:lang w:val="mk-MK"/>
        </w:rPr>
        <w:t xml:space="preserve"> телефонски сообраќај и </w:t>
      </w:r>
      <w:r>
        <w:rPr>
          <w:lang w:val="mk-MK"/>
        </w:rPr>
        <w:t>останати приходи (</w:t>
      </w:r>
      <w:r w:rsidRPr="005C37BD">
        <w:rPr>
          <w:lang w:val="mk-MK"/>
        </w:rPr>
        <w:t xml:space="preserve">приходи од привремено исклучување, повторно вклучување, приходи од обезбедување дополнителни услуги поврзани со услугата пристап, дополнителни телекомуникациски инсталации и уреди, пренесени </w:t>
      </w:r>
      <w:r>
        <w:rPr>
          <w:lang w:val="mk-MK"/>
        </w:rPr>
        <w:t>броеви, јавни говорници и друго)</w:t>
      </w:r>
    </w:p>
    <w:p w:rsidR="00A1326A" w:rsidRPr="00D73041" w:rsidRDefault="00A1326A" w:rsidP="00E467E1">
      <w:pPr>
        <w:jc w:val="center"/>
        <w:rPr>
          <w:color w:val="FF0000"/>
          <w:lang w:val="mk-MK"/>
        </w:rPr>
      </w:pPr>
    </w:p>
    <w:p w:rsidR="000C318D" w:rsidRDefault="000C318D" w:rsidP="00A76717">
      <w:pPr>
        <w:jc w:val="center"/>
      </w:pPr>
      <w:r w:rsidRPr="00632D3A">
        <w:rPr>
          <w:noProof/>
          <w:bdr w:val="single" w:sz="4" w:space="0" w:color="auto"/>
          <w:lang w:val="mk-MK" w:eastAsia="mk-MK" w:bidi="ar-SA"/>
        </w:rPr>
        <w:lastRenderedPageBreak/>
        <w:drawing>
          <wp:inline distT="0" distB="0" distL="0" distR="0">
            <wp:extent cx="5858540" cy="4954772"/>
            <wp:effectExtent l="19050" t="0" r="2791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5F63" w:rsidRDefault="00905F63" w:rsidP="003972CE">
      <w:pPr>
        <w:pStyle w:val="Caption"/>
        <w:rPr>
          <w:lang w:val="mk-MK"/>
        </w:rPr>
      </w:pPr>
    </w:p>
    <w:p w:rsidR="00C52F1B" w:rsidRPr="00632D3A" w:rsidRDefault="00C52F1B" w:rsidP="00C52F1B">
      <w:pPr>
        <w:pStyle w:val="Caption"/>
        <w:keepNext/>
        <w:jc w:val="center"/>
        <w:rPr>
          <w:color w:val="632423" w:themeColor="accent2" w:themeShade="80"/>
          <w:lang w:val="mk-MK"/>
        </w:rPr>
      </w:pPr>
      <w:bookmarkStart w:id="16" w:name="_Toc327269943"/>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7</w:t>
      </w:r>
      <w:r w:rsidR="001E0707" w:rsidRPr="00C52F1B">
        <w:rPr>
          <w:color w:val="632423" w:themeColor="accent2" w:themeShade="80"/>
        </w:rPr>
        <w:fldChar w:fldCharType="end"/>
      </w:r>
      <w:r w:rsidRPr="00C52F1B">
        <w:rPr>
          <w:color w:val="632423" w:themeColor="accent2" w:themeShade="80"/>
          <w:lang w:val="mk-MK"/>
        </w:rPr>
        <w:t xml:space="preserve"> Вкупен</w:t>
      </w:r>
      <w:r w:rsidRPr="00632D3A">
        <w:rPr>
          <w:color w:val="632423" w:themeColor="accent2" w:themeShade="80"/>
          <w:lang w:val="mk-MK"/>
        </w:rPr>
        <w:t xml:space="preserve"> обем на појдовен сообраќај инициран од јавни телефонски мрежи на фиксна лок</w:t>
      </w:r>
      <w:r w:rsidR="006A55E7">
        <w:rPr>
          <w:color w:val="632423" w:themeColor="accent2" w:themeShade="80"/>
          <w:lang w:val="mk-MK"/>
        </w:rPr>
        <w:t>ација (во илјади минути) во 201</w:t>
      </w:r>
      <w:r w:rsidR="006A55E7">
        <w:rPr>
          <w:color w:val="632423" w:themeColor="accent2" w:themeShade="80"/>
        </w:rPr>
        <w:t>1</w:t>
      </w:r>
      <w:r w:rsidRPr="00632D3A">
        <w:rPr>
          <w:color w:val="632423" w:themeColor="accent2" w:themeShade="80"/>
          <w:lang w:val="mk-MK"/>
        </w:rPr>
        <w:t xml:space="preserve"> година</w:t>
      </w:r>
      <w:bookmarkEnd w:id="16"/>
    </w:p>
    <w:p w:rsidR="0003624C" w:rsidRDefault="0003624C" w:rsidP="00C52F1B">
      <w:pPr>
        <w:pStyle w:val="Caption"/>
        <w:rPr>
          <w:sz w:val="24"/>
          <w:szCs w:val="24"/>
          <w:lang w:val="mk-MK"/>
        </w:rPr>
      </w:pPr>
    </w:p>
    <w:p w:rsidR="00EC32C6" w:rsidRPr="005E3073" w:rsidRDefault="00261075" w:rsidP="005E3073">
      <w:pPr>
        <w:rPr>
          <w:lang w:val="mk-MK"/>
        </w:rPr>
      </w:pPr>
      <w:r w:rsidRPr="00905F63">
        <w:rPr>
          <w:lang w:val="mk-MK"/>
        </w:rPr>
        <w:t xml:space="preserve">Во графиконот </w:t>
      </w:r>
      <w:r w:rsidR="00C52F1B">
        <w:rPr>
          <w:lang w:val="mk-MK"/>
        </w:rPr>
        <w:t>бр.7</w:t>
      </w:r>
      <w:r w:rsidR="00320904" w:rsidRPr="00905F63">
        <w:rPr>
          <w:lang w:val="mk-MK"/>
        </w:rPr>
        <w:t xml:space="preserve"> е прикажан обемот на појдовен сообраќај иниц</w:t>
      </w:r>
      <w:r w:rsidR="00CC2443" w:rsidRPr="00905F63">
        <w:rPr>
          <w:lang w:val="mk-MK"/>
        </w:rPr>
        <w:t xml:space="preserve">иран од јавни телефонски мрежи </w:t>
      </w:r>
      <w:r w:rsidR="00320904" w:rsidRPr="00905F63">
        <w:rPr>
          <w:lang w:val="mk-MK"/>
        </w:rPr>
        <w:t>на фиксна лок</w:t>
      </w:r>
      <w:r w:rsidR="00B664C1">
        <w:rPr>
          <w:lang w:val="mk-MK"/>
        </w:rPr>
        <w:t>ација (во илјади минути)</w:t>
      </w:r>
      <w:r w:rsidR="0052467C">
        <w:rPr>
          <w:lang w:val="mk-MK"/>
        </w:rPr>
        <w:t xml:space="preserve"> за 201</w:t>
      </w:r>
      <w:r w:rsidR="0052467C">
        <w:t>1</w:t>
      </w:r>
      <w:r w:rsidR="00320904" w:rsidRPr="00905F63">
        <w:rPr>
          <w:lang w:val="mk-MK"/>
        </w:rPr>
        <w:t xml:space="preserve"> година.</w:t>
      </w:r>
      <w:r w:rsidR="00CC2443" w:rsidRPr="00905F63">
        <w:rPr>
          <w:lang w:val="mk-MK"/>
        </w:rPr>
        <w:t xml:space="preserve"> </w:t>
      </w:r>
      <w:r w:rsidR="00320904" w:rsidRPr="00905F63">
        <w:rPr>
          <w:lang w:val="mk-MK"/>
        </w:rPr>
        <w:t xml:space="preserve">Од самиот графикон може да се забележи дека најголем дел од вкупниот обем на појдовен сообраќај </w:t>
      </w:r>
      <w:r w:rsidR="00054AF6" w:rsidRPr="00905F63">
        <w:rPr>
          <w:lang w:val="mk-MK"/>
        </w:rPr>
        <w:t xml:space="preserve">се остварува во сопствена мрежа и </w:t>
      </w:r>
      <w:r w:rsidR="00CC2443" w:rsidRPr="00905F63">
        <w:rPr>
          <w:lang w:val="mk-MK"/>
        </w:rPr>
        <w:t>во</w:t>
      </w:r>
      <w:r w:rsidR="0052467C">
        <w:rPr>
          <w:lang w:val="mk-MK"/>
        </w:rPr>
        <w:t xml:space="preserve"> 201</w:t>
      </w:r>
      <w:r w:rsidR="0052467C">
        <w:t>1</w:t>
      </w:r>
      <w:r w:rsidR="00054AF6" w:rsidRPr="00905F63">
        <w:rPr>
          <w:lang w:val="mk-MK"/>
        </w:rPr>
        <w:t xml:space="preserve"> година</w:t>
      </w:r>
      <w:r w:rsidR="00CC2443" w:rsidRPr="00905F63">
        <w:rPr>
          <w:lang w:val="mk-MK"/>
        </w:rPr>
        <w:t xml:space="preserve"> по квартали</w:t>
      </w:r>
      <w:r w:rsidR="0052467C">
        <w:rPr>
          <w:lang w:val="mk-MK"/>
        </w:rPr>
        <w:t xml:space="preserve"> се движи од 1</w:t>
      </w:r>
      <w:r w:rsidR="0052467C">
        <w:t>3</w:t>
      </w:r>
      <w:r w:rsidR="0052467C">
        <w:rPr>
          <w:lang w:val="mk-MK"/>
        </w:rPr>
        <w:t>0.</w:t>
      </w:r>
      <w:r w:rsidR="0052467C">
        <w:t>549</w:t>
      </w:r>
      <w:r w:rsidR="0003624C">
        <w:rPr>
          <w:lang w:val="mk-MK"/>
        </w:rPr>
        <w:t>,3</w:t>
      </w:r>
      <w:r w:rsidR="0052467C">
        <w:rPr>
          <w:lang w:val="mk-MK"/>
        </w:rPr>
        <w:t xml:space="preserve"> до 1</w:t>
      </w:r>
      <w:r w:rsidR="0052467C">
        <w:t>49</w:t>
      </w:r>
      <w:r w:rsidR="0052467C">
        <w:rPr>
          <w:lang w:val="mk-MK"/>
        </w:rPr>
        <w:t>.</w:t>
      </w:r>
      <w:r w:rsidR="0052467C">
        <w:t>712</w:t>
      </w:r>
      <w:r w:rsidR="0052467C">
        <w:rPr>
          <w:lang w:val="mk-MK"/>
        </w:rPr>
        <w:t>,</w:t>
      </w:r>
      <w:r w:rsidR="0052467C">
        <w:t>0</w:t>
      </w:r>
      <w:r w:rsidR="00054AF6" w:rsidRPr="00905F63">
        <w:rPr>
          <w:lang w:val="mk-MK"/>
        </w:rPr>
        <w:t xml:space="preserve"> минути (во илјади). Сообраќајот кон други фиксни мрежи е значително помал и </w:t>
      </w:r>
      <w:r w:rsidR="00CC2443" w:rsidRPr="00905F63">
        <w:rPr>
          <w:lang w:val="mk-MK"/>
        </w:rPr>
        <w:t xml:space="preserve">во кварталите </w:t>
      </w:r>
      <w:r w:rsidR="00054AF6" w:rsidRPr="00905F63">
        <w:rPr>
          <w:lang w:val="mk-MK"/>
        </w:rPr>
        <w:t xml:space="preserve">се движи од </w:t>
      </w:r>
      <w:r w:rsidR="0052467C">
        <w:t>43</w:t>
      </w:r>
      <w:r w:rsidR="0052467C">
        <w:rPr>
          <w:lang w:val="mk-MK"/>
        </w:rPr>
        <w:t>.</w:t>
      </w:r>
      <w:r w:rsidR="0052467C">
        <w:t>682</w:t>
      </w:r>
      <w:r w:rsidR="0052467C">
        <w:rPr>
          <w:lang w:val="mk-MK"/>
        </w:rPr>
        <w:t>,</w:t>
      </w:r>
      <w:r w:rsidR="0052467C">
        <w:t>6</w:t>
      </w:r>
      <w:r w:rsidR="0052467C">
        <w:rPr>
          <w:lang w:val="mk-MK"/>
        </w:rPr>
        <w:t xml:space="preserve"> до 4</w:t>
      </w:r>
      <w:r w:rsidR="0052467C">
        <w:t>6</w:t>
      </w:r>
      <w:r w:rsidR="0052467C">
        <w:rPr>
          <w:lang w:val="mk-MK"/>
        </w:rPr>
        <w:t>.</w:t>
      </w:r>
      <w:r w:rsidR="0052467C">
        <w:t>654</w:t>
      </w:r>
      <w:r w:rsidR="00C6148A">
        <w:rPr>
          <w:lang w:val="mk-MK"/>
        </w:rPr>
        <w:t>,9</w:t>
      </w:r>
      <w:r w:rsidR="009611F6">
        <w:rPr>
          <w:lang w:val="mk-MK"/>
        </w:rPr>
        <w:t xml:space="preserve"> минути (во илјади). </w:t>
      </w:r>
      <w:r w:rsidR="00CC2443" w:rsidRPr="00905F63">
        <w:rPr>
          <w:lang w:val="mk-MK"/>
        </w:rPr>
        <w:t>За појдов</w:t>
      </w:r>
      <w:r w:rsidR="00606061" w:rsidRPr="00905F63">
        <w:rPr>
          <w:lang w:val="mk-MK"/>
        </w:rPr>
        <w:t>ниот сообраќај</w:t>
      </w:r>
      <w:r w:rsidR="00C6148A">
        <w:rPr>
          <w:lang w:val="mk-MK"/>
        </w:rPr>
        <w:t xml:space="preserve"> кон м</w:t>
      </w:r>
      <w:r w:rsidR="00054AF6" w:rsidRPr="00905F63">
        <w:rPr>
          <w:lang w:val="mk-MK"/>
        </w:rPr>
        <w:t>обилни мре</w:t>
      </w:r>
      <w:r w:rsidR="005907A3" w:rsidRPr="00905F63">
        <w:rPr>
          <w:lang w:val="mk-MK"/>
        </w:rPr>
        <w:t>жи во РМ и кон мрежи во странски држави</w:t>
      </w:r>
      <w:r w:rsidR="00CC2443" w:rsidRPr="00905F63">
        <w:rPr>
          <w:lang w:val="mk-MK"/>
        </w:rPr>
        <w:t xml:space="preserve"> може да</w:t>
      </w:r>
      <w:r w:rsidR="0003733D" w:rsidRPr="00905F63">
        <w:rPr>
          <w:lang w:val="mk-MK"/>
        </w:rPr>
        <w:t xml:space="preserve"> се воочи дека не бележ</w:t>
      </w:r>
      <w:r w:rsidR="0043516B" w:rsidRPr="00905F63">
        <w:rPr>
          <w:lang w:val="mk-MK"/>
        </w:rPr>
        <w:t>и</w:t>
      </w:r>
      <w:r w:rsidR="0003733D" w:rsidRPr="00905F63">
        <w:rPr>
          <w:lang w:val="mk-MK"/>
        </w:rPr>
        <w:t xml:space="preserve"> големи промени</w:t>
      </w:r>
      <w:r w:rsidR="0052467C">
        <w:rPr>
          <w:lang w:val="mk-MK"/>
        </w:rPr>
        <w:t xml:space="preserve"> низ кварталите во текот на 201</w:t>
      </w:r>
      <w:r w:rsidR="0052467C">
        <w:t>1</w:t>
      </w:r>
      <w:r w:rsidR="0003733D" w:rsidRPr="00905F63">
        <w:rPr>
          <w:lang w:val="mk-MK"/>
        </w:rPr>
        <w:t xml:space="preserve"> година меѓутоа нивн</w:t>
      </w:r>
      <w:r w:rsidR="0043516B" w:rsidRPr="00905F63">
        <w:rPr>
          <w:lang w:val="mk-MK"/>
        </w:rPr>
        <w:t>иот</w:t>
      </w:r>
      <w:r w:rsidR="0003733D" w:rsidRPr="00905F63">
        <w:rPr>
          <w:lang w:val="mk-MK"/>
        </w:rPr>
        <w:t xml:space="preserve"> у</w:t>
      </w:r>
      <w:r w:rsidR="0043516B" w:rsidRPr="00905F63">
        <w:rPr>
          <w:lang w:val="mk-MK"/>
        </w:rPr>
        <w:t>дел</w:t>
      </w:r>
      <w:r w:rsidR="0003733D" w:rsidRPr="00905F63">
        <w:rPr>
          <w:lang w:val="mk-MK"/>
        </w:rPr>
        <w:t xml:space="preserve"> во вкупниот обем на појдовен сообраќај е значително мал</w:t>
      </w:r>
      <w:r w:rsidR="0043516B" w:rsidRPr="00905F63">
        <w:rPr>
          <w:lang w:val="mk-MK"/>
        </w:rPr>
        <w:t>.</w:t>
      </w:r>
      <w:r w:rsidR="0003733D" w:rsidRPr="00905F63">
        <w:rPr>
          <w:lang w:val="mk-MK"/>
        </w:rPr>
        <w:t xml:space="preserve"> </w:t>
      </w:r>
    </w:p>
    <w:p w:rsidR="0043516B" w:rsidRDefault="00790C7E" w:rsidP="0043516B">
      <w:pPr>
        <w:pStyle w:val="Default"/>
        <w:jc w:val="center"/>
        <w:rPr>
          <w:rFonts w:ascii="StobiSerif Regular" w:hAnsi="StobiSerif Regular"/>
          <w:color w:val="auto"/>
          <w:lang w:val="mk-MK"/>
        </w:rPr>
      </w:pPr>
      <w:r>
        <w:rPr>
          <w:rFonts w:ascii="StobiSerif Regular" w:hAnsi="StobiSerif Regular"/>
          <w:noProof/>
          <w:color w:val="auto"/>
          <w:lang w:val="mk-MK" w:eastAsia="mk-MK"/>
        </w:rPr>
        <w:lastRenderedPageBreak/>
        <w:drawing>
          <wp:inline distT="0" distB="0" distL="0" distR="0">
            <wp:extent cx="5787272" cy="4061638"/>
            <wp:effectExtent l="19050" t="0" r="22978"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37F9" w:rsidRDefault="004437F9" w:rsidP="0043516B">
      <w:pPr>
        <w:pStyle w:val="Default"/>
        <w:jc w:val="center"/>
        <w:rPr>
          <w:rFonts w:ascii="StobiSerif Regular" w:hAnsi="StobiSerif Regular"/>
          <w:color w:val="auto"/>
          <w:lang w:val="mk-MK"/>
        </w:rPr>
      </w:pPr>
    </w:p>
    <w:p w:rsidR="004437F9" w:rsidRDefault="004437F9" w:rsidP="0043516B">
      <w:pPr>
        <w:pStyle w:val="Default"/>
        <w:jc w:val="center"/>
        <w:rPr>
          <w:rFonts w:ascii="StobiSerif Regular" w:hAnsi="StobiSerif Regular"/>
          <w:color w:val="auto"/>
          <w:lang w:val="mk-MK"/>
        </w:rPr>
      </w:pPr>
    </w:p>
    <w:p w:rsidR="00BB6E69" w:rsidRPr="00BB6E69" w:rsidRDefault="00C52F1B" w:rsidP="00C52F1B">
      <w:pPr>
        <w:pStyle w:val="Caption"/>
        <w:jc w:val="center"/>
        <w:rPr>
          <w:lang w:val="mk-MK"/>
        </w:rPr>
      </w:pPr>
      <w:bookmarkStart w:id="17" w:name="_Toc327269944"/>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8</w:t>
      </w:r>
      <w:r w:rsidR="001E0707" w:rsidRPr="00C52F1B">
        <w:rPr>
          <w:color w:val="632423" w:themeColor="accent2" w:themeShade="80"/>
        </w:rPr>
        <w:fldChar w:fldCharType="end"/>
      </w:r>
      <w:r w:rsidRPr="00C52F1B">
        <w:rPr>
          <w:color w:val="632423" w:themeColor="accent2" w:themeShade="80"/>
          <w:szCs w:val="22"/>
          <w:lang w:val="mk-MK"/>
        </w:rPr>
        <w:t xml:space="preserve"> Просечен</w:t>
      </w:r>
      <w:r w:rsidRPr="00BB6E69">
        <w:rPr>
          <w:color w:val="632423" w:themeColor="accent2" w:themeShade="80"/>
          <w:szCs w:val="22"/>
          <w:lang w:val="mk-MK"/>
        </w:rPr>
        <w:t xml:space="preserve"> обем на појдовен сообраќај (во минути месечно) по претплатник инициран од јавна телефонска мрежа на фиксна локација за 20</w:t>
      </w:r>
      <w:r w:rsidR="0052467C">
        <w:rPr>
          <w:color w:val="632423" w:themeColor="accent2" w:themeShade="80"/>
          <w:szCs w:val="22"/>
          <w:lang w:val="mk-MK"/>
        </w:rPr>
        <w:t>1</w:t>
      </w:r>
      <w:r w:rsidR="0052467C">
        <w:rPr>
          <w:color w:val="632423" w:themeColor="accent2" w:themeShade="80"/>
          <w:szCs w:val="22"/>
        </w:rPr>
        <w:t>1</w:t>
      </w:r>
      <w:r w:rsidR="0052467C">
        <w:rPr>
          <w:color w:val="632423" w:themeColor="accent2" w:themeShade="80"/>
          <w:szCs w:val="22"/>
          <w:lang w:val="mk-MK"/>
        </w:rPr>
        <w:t xml:space="preserve"> и 20</w:t>
      </w:r>
      <w:r w:rsidR="0052467C">
        <w:rPr>
          <w:color w:val="632423" w:themeColor="accent2" w:themeShade="80"/>
          <w:szCs w:val="22"/>
        </w:rPr>
        <w:t>10</w:t>
      </w:r>
      <w:r w:rsidRPr="00BB6E69">
        <w:rPr>
          <w:color w:val="632423" w:themeColor="accent2" w:themeShade="80"/>
          <w:szCs w:val="22"/>
          <w:lang w:val="mk-MK"/>
        </w:rPr>
        <w:t xml:space="preserve"> година</w:t>
      </w:r>
      <w:bookmarkEnd w:id="17"/>
    </w:p>
    <w:p w:rsidR="00EC32C6" w:rsidRPr="00EC32C6" w:rsidRDefault="00EC32C6" w:rsidP="00EC32C6">
      <w:pPr>
        <w:pStyle w:val="Default"/>
        <w:spacing w:line="276" w:lineRule="auto"/>
        <w:jc w:val="both"/>
        <w:rPr>
          <w:rFonts w:ascii="StobiSerif Regular" w:hAnsi="StobiSerif Regular"/>
          <w:color w:val="auto"/>
          <w:sz w:val="22"/>
          <w:szCs w:val="22"/>
          <w:lang w:val="mk-MK"/>
        </w:rPr>
      </w:pPr>
      <w:r w:rsidRPr="00905F63">
        <w:rPr>
          <w:rFonts w:ascii="StobiSerif Regular" w:hAnsi="StobiSerif Regular"/>
          <w:color w:val="auto"/>
          <w:sz w:val="22"/>
          <w:szCs w:val="22"/>
          <w:lang w:val="mk-MK"/>
        </w:rPr>
        <w:t>Како што м</w:t>
      </w:r>
      <w:r w:rsidR="004658FB">
        <w:rPr>
          <w:rFonts w:ascii="StobiSerif Regular" w:hAnsi="StobiSerif Regular"/>
          <w:color w:val="auto"/>
          <w:sz w:val="22"/>
          <w:szCs w:val="22"/>
          <w:lang w:val="mk-MK"/>
        </w:rPr>
        <w:t>оже</w:t>
      </w:r>
      <w:r w:rsidR="00893C7A">
        <w:rPr>
          <w:rFonts w:ascii="StobiSerif Regular" w:hAnsi="StobiSerif Regular"/>
          <w:color w:val="auto"/>
          <w:sz w:val="22"/>
          <w:szCs w:val="22"/>
          <w:lang w:val="mk-MK"/>
        </w:rPr>
        <w:t xml:space="preserve"> да се забележи од График</w:t>
      </w:r>
      <w:r w:rsidR="00C52F1B">
        <w:rPr>
          <w:rFonts w:ascii="StobiSerif Regular" w:hAnsi="StobiSerif Regular"/>
          <w:color w:val="auto"/>
          <w:sz w:val="22"/>
          <w:szCs w:val="22"/>
          <w:lang w:val="mk-MK"/>
        </w:rPr>
        <w:t>он бр.8</w:t>
      </w:r>
      <w:r w:rsidRPr="00905F63">
        <w:rPr>
          <w:rFonts w:ascii="StobiSerif Regular" w:hAnsi="StobiSerif Regular"/>
          <w:color w:val="auto"/>
          <w:sz w:val="22"/>
          <w:szCs w:val="22"/>
          <w:lang w:val="mk-MK"/>
        </w:rPr>
        <w:t xml:space="preserve"> од просечниот обем на сообраќај инициран од јавни телефонски мрежи на фиксна локација месечно по претплатник (изразено во минути) во </w:t>
      </w:r>
      <w:r w:rsidR="006072D9">
        <w:rPr>
          <w:rFonts w:ascii="StobiSerif Regular" w:hAnsi="StobiSerif Regular"/>
          <w:color w:val="auto"/>
          <w:sz w:val="22"/>
          <w:szCs w:val="22"/>
          <w:lang w:val="mk-MK"/>
        </w:rPr>
        <w:t>2011</w:t>
      </w:r>
      <w:r w:rsidRPr="00905F63">
        <w:rPr>
          <w:rFonts w:ascii="StobiSerif Regular" w:hAnsi="StobiSerif Regular"/>
          <w:color w:val="auto"/>
          <w:sz w:val="22"/>
          <w:szCs w:val="22"/>
          <w:lang w:val="mk-MK"/>
        </w:rPr>
        <w:t xml:space="preserve"> година претплатниците просечно зборуваат </w:t>
      </w:r>
      <w:r w:rsidR="006072D9">
        <w:rPr>
          <w:rFonts w:ascii="StobiSerif Regular" w:hAnsi="StobiSerif Regular"/>
          <w:color w:val="auto"/>
          <w:sz w:val="22"/>
          <w:szCs w:val="22"/>
          <w:lang w:val="mk-MK"/>
        </w:rPr>
        <w:t>161,42</w:t>
      </w:r>
      <w:r w:rsidRPr="00905F63">
        <w:rPr>
          <w:rFonts w:ascii="StobiSerif Regular" w:hAnsi="StobiSerif Regular"/>
          <w:color w:val="auto"/>
          <w:sz w:val="22"/>
          <w:szCs w:val="22"/>
          <w:lang w:val="mk-MK"/>
        </w:rPr>
        <w:t xml:space="preserve"> минути. Најголем дел се остварува во с</w:t>
      </w:r>
      <w:r w:rsidR="006072D9">
        <w:rPr>
          <w:rFonts w:ascii="StobiSerif Regular" w:hAnsi="StobiSerif Regular"/>
          <w:color w:val="auto"/>
          <w:sz w:val="22"/>
          <w:szCs w:val="22"/>
          <w:lang w:val="mk-MK"/>
        </w:rPr>
        <w:t>опствена мрежа и изнесува 109,64</w:t>
      </w:r>
      <w:r w:rsidRPr="00905F63">
        <w:rPr>
          <w:rFonts w:ascii="StobiSerif Regular" w:hAnsi="StobiSerif Regular"/>
          <w:color w:val="auto"/>
          <w:sz w:val="22"/>
          <w:szCs w:val="22"/>
          <w:lang w:val="mk-MK"/>
        </w:rPr>
        <w:t xml:space="preserve"> минути</w:t>
      </w:r>
      <w:r w:rsidR="006072D9">
        <w:rPr>
          <w:rFonts w:ascii="StobiSerif Regular" w:hAnsi="StobiSerif Regular"/>
          <w:color w:val="auto"/>
          <w:sz w:val="22"/>
          <w:szCs w:val="22"/>
          <w:lang w:val="mk-MK"/>
        </w:rPr>
        <w:t xml:space="preserve"> или изразено во проценти 67,92</w:t>
      </w:r>
      <w:r w:rsidRPr="00905F63">
        <w:rPr>
          <w:rFonts w:ascii="StobiSerif Regular" w:hAnsi="StobiSerif Regular"/>
          <w:color w:val="auto"/>
          <w:sz w:val="22"/>
          <w:szCs w:val="22"/>
          <w:lang w:val="mk-MK"/>
        </w:rPr>
        <w:t>%. Сообраќајот кон други фиксни мрежи во РМ е значително</w:t>
      </w:r>
      <w:r w:rsidR="006072D9">
        <w:rPr>
          <w:rFonts w:ascii="StobiSerif Regular" w:hAnsi="StobiSerif Regular"/>
          <w:color w:val="auto"/>
          <w:sz w:val="22"/>
          <w:szCs w:val="22"/>
          <w:lang w:val="mk-MK"/>
        </w:rPr>
        <w:t xml:space="preserve"> помал и изнесува 36,18 минути односно 22,41</w:t>
      </w:r>
      <w:r w:rsidRPr="00905F63">
        <w:rPr>
          <w:rFonts w:ascii="StobiSerif Regular" w:hAnsi="StobiSerif Regular"/>
          <w:color w:val="auto"/>
          <w:sz w:val="22"/>
          <w:szCs w:val="22"/>
          <w:lang w:val="mk-MK"/>
        </w:rPr>
        <w:t>% од вкупниот сообраќај што просечно го остварува преплатникот во месецот. Додека пак сообраќајот кон мобилни мрежи во РМ и кон мрежи во</w:t>
      </w:r>
      <w:r w:rsidR="006072D9">
        <w:rPr>
          <w:rFonts w:ascii="StobiSerif Regular" w:hAnsi="StobiSerif Regular"/>
          <w:color w:val="auto"/>
          <w:sz w:val="22"/>
          <w:szCs w:val="22"/>
          <w:lang w:val="mk-MK"/>
        </w:rPr>
        <w:t xml:space="preserve"> странски држави  изнесува 11,25 минути (6,97%) односно 4,36 минути (2,70</w:t>
      </w:r>
      <w:r w:rsidRPr="00905F63">
        <w:rPr>
          <w:rFonts w:ascii="StobiSerif Regular" w:hAnsi="StobiSerif Regular"/>
          <w:color w:val="auto"/>
          <w:sz w:val="22"/>
          <w:szCs w:val="22"/>
          <w:lang w:val="mk-MK"/>
        </w:rPr>
        <w:t>%).</w:t>
      </w:r>
      <w:r w:rsidR="009611F6">
        <w:rPr>
          <w:rFonts w:ascii="StobiSerif Regular" w:hAnsi="StobiSerif Regular"/>
          <w:color w:val="auto"/>
          <w:sz w:val="22"/>
          <w:szCs w:val="22"/>
          <w:lang w:val="mk-MK"/>
        </w:rPr>
        <w:t xml:space="preserve"> </w:t>
      </w:r>
      <w:r>
        <w:rPr>
          <w:rFonts w:ascii="StobiSerif Regular" w:hAnsi="StobiSerif Regular"/>
          <w:color w:val="auto"/>
          <w:sz w:val="22"/>
          <w:szCs w:val="22"/>
          <w:lang w:val="mk-MK"/>
        </w:rPr>
        <w:t>Исто така од графиконот може да</w:t>
      </w:r>
      <w:r w:rsidR="004F1588">
        <w:rPr>
          <w:rFonts w:ascii="StobiSerif Regular" w:hAnsi="StobiSerif Regular"/>
          <w:color w:val="auto"/>
          <w:sz w:val="22"/>
          <w:szCs w:val="22"/>
          <w:lang w:val="mk-MK"/>
        </w:rPr>
        <w:t xml:space="preserve"> </w:t>
      </w:r>
      <w:r>
        <w:rPr>
          <w:rFonts w:ascii="StobiSerif Regular" w:hAnsi="StobiSerif Regular"/>
          <w:color w:val="auto"/>
          <w:sz w:val="22"/>
          <w:szCs w:val="22"/>
          <w:lang w:val="mk-MK"/>
        </w:rPr>
        <w:t>с</w:t>
      </w:r>
      <w:r w:rsidR="006072D9">
        <w:rPr>
          <w:rFonts w:ascii="StobiSerif Regular" w:hAnsi="StobiSerif Regular"/>
          <w:color w:val="auto"/>
          <w:sz w:val="22"/>
          <w:szCs w:val="22"/>
          <w:lang w:val="mk-MK"/>
        </w:rPr>
        <w:t>е забележи дека во однос на 2010</w:t>
      </w:r>
      <w:r>
        <w:rPr>
          <w:rFonts w:ascii="StobiSerif Regular" w:hAnsi="StobiSerif Regular"/>
          <w:color w:val="auto"/>
          <w:sz w:val="22"/>
          <w:szCs w:val="22"/>
          <w:lang w:val="mk-MK"/>
        </w:rPr>
        <w:t xml:space="preserve"> година обемот на појдовниот сообраќај по претплатник е намален </w:t>
      </w:r>
      <w:r w:rsidR="006D0839">
        <w:rPr>
          <w:rFonts w:ascii="StobiSerif Regular" w:hAnsi="StobiSerif Regular"/>
          <w:color w:val="auto"/>
          <w:sz w:val="22"/>
          <w:szCs w:val="22"/>
          <w:lang w:val="mk-MK"/>
        </w:rPr>
        <w:t>за 23,42</w:t>
      </w:r>
      <w:r w:rsidR="005E3073">
        <w:rPr>
          <w:rFonts w:ascii="StobiSerif Regular" w:hAnsi="StobiSerif Regular"/>
          <w:color w:val="auto"/>
          <w:sz w:val="22"/>
          <w:szCs w:val="22"/>
          <w:lang w:val="mk-MK"/>
        </w:rPr>
        <w:t xml:space="preserve"> минути, </w:t>
      </w:r>
      <w:r w:rsidR="006D0839">
        <w:rPr>
          <w:rFonts w:ascii="StobiSerif Regular" w:hAnsi="StobiSerif Regular"/>
          <w:color w:val="auto"/>
          <w:sz w:val="22"/>
          <w:szCs w:val="22"/>
          <w:lang w:val="mk-MK"/>
        </w:rPr>
        <w:t>додека споредувано по дестинации</w:t>
      </w:r>
      <w:r w:rsidR="005E3073">
        <w:rPr>
          <w:rFonts w:ascii="StobiSerif Regular" w:hAnsi="StobiSerif Regular"/>
          <w:color w:val="auto"/>
          <w:sz w:val="22"/>
          <w:szCs w:val="22"/>
          <w:lang w:val="mk-MK"/>
        </w:rPr>
        <w:t xml:space="preserve"> сообраќајот во со</w:t>
      </w:r>
      <w:r w:rsidR="006D0839">
        <w:rPr>
          <w:rFonts w:ascii="StobiSerif Regular" w:hAnsi="StobiSerif Regular"/>
          <w:color w:val="auto"/>
          <w:sz w:val="22"/>
          <w:szCs w:val="22"/>
          <w:lang w:val="mk-MK"/>
        </w:rPr>
        <w:t>пствена мрежа е намален за 19,34 минути,</w:t>
      </w:r>
      <w:r w:rsidR="005E3073">
        <w:rPr>
          <w:rFonts w:ascii="StobiSerif Regular" w:hAnsi="StobiSerif Regular"/>
          <w:color w:val="auto"/>
          <w:sz w:val="22"/>
          <w:szCs w:val="22"/>
          <w:lang w:val="mk-MK"/>
        </w:rPr>
        <w:t xml:space="preserve"> сообраќајот к</w:t>
      </w:r>
      <w:r w:rsidR="006D0839">
        <w:rPr>
          <w:rFonts w:ascii="StobiSerif Regular" w:hAnsi="StobiSerif Regular"/>
          <w:color w:val="auto"/>
          <w:sz w:val="22"/>
          <w:szCs w:val="22"/>
          <w:lang w:val="mk-MK"/>
        </w:rPr>
        <w:t>он други фиксни мрежи е намален за 1,64</w:t>
      </w:r>
      <w:r w:rsidR="005E3073">
        <w:rPr>
          <w:rFonts w:ascii="StobiSerif Regular" w:hAnsi="StobiSerif Regular"/>
          <w:color w:val="auto"/>
          <w:sz w:val="22"/>
          <w:szCs w:val="22"/>
          <w:lang w:val="mk-MK"/>
        </w:rPr>
        <w:t xml:space="preserve"> минути. </w:t>
      </w:r>
      <w:r w:rsidR="006D0839">
        <w:rPr>
          <w:rFonts w:ascii="StobiSerif Regular" w:hAnsi="StobiSerif Regular"/>
          <w:color w:val="auto"/>
          <w:sz w:val="22"/>
          <w:szCs w:val="22"/>
          <w:lang w:val="mk-MK"/>
        </w:rPr>
        <w:t>Додека с</w:t>
      </w:r>
      <w:r w:rsidR="005E3073">
        <w:rPr>
          <w:rFonts w:ascii="StobiSerif Regular" w:hAnsi="StobiSerif Regular"/>
          <w:color w:val="auto"/>
          <w:sz w:val="22"/>
          <w:szCs w:val="22"/>
          <w:lang w:val="mk-MK"/>
        </w:rPr>
        <w:t xml:space="preserve">ообраќајот кон мобилни мрежи во РМ и кон мрежи во странски држави </w:t>
      </w:r>
      <w:r w:rsidR="006D0839">
        <w:rPr>
          <w:rFonts w:ascii="StobiSerif Regular" w:hAnsi="StobiSerif Regular"/>
          <w:color w:val="auto"/>
          <w:sz w:val="22"/>
          <w:szCs w:val="22"/>
          <w:lang w:val="mk-MK"/>
        </w:rPr>
        <w:t>е намелен за  2,05 односно 0,38 минути.</w:t>
      </w:r>
    </w:p>
    <w:p w:rsidR="00FE4051" w:rsidRPr="00F03BF7" w:rsidRDefault="00FE4051" w:rsidP="00F03BF7">
      <w:pPr>
        <w:rPr>
          <w:lang w:val="mk-MK"/>
        </w:rPr>
      </w:pPr>
    </w:p>
    <w:p w:rsidR="00B64FA3" w:rsidRDefault="00294EB4" w:rsidP="0019593E">
      <w:pPr>
        <w:jc w:val="center"/>
      </w:pPr>
      <w:r>
        <w:rPr>
          <w:noProof/>
          <w:lang w:val="mk-MK" w:eastAsia="mk-MK" w:bidi="ar-SA"/>
        </w:rPr>
        <w:lastRenderedPageBreak/>
        <w:drawing>
          <wp:inline distT="0" distB="0" distL="0" distR="0">
            <wp:extent cx="6315075" cy="3667125"/>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2F1B" w:rsidRPr="00C52F1B" w:rsidRDefault="00C52F1B" w:rsidP="00C52F1B">
      <w:pPr>
        <w:pStyle w:val="Caption"/>
        <w:keepNext/>
        <w:jc w:val="center"/>
        <w:rPr>
          <w:color w:val="632423" w:themeColor="accent2" w:themeShade="80"/>
          <w:lang w:val="mk-MK"/>
        </w:rPr>
      </w:pPr>
      <w:bookmarkStart w:id="18" w:name="_Toc327269945"/>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9</w:t>
      </w:r>
      <w:r w:rsidR="001E0707" w:rsidRPr="00C52F1B">
        <w:rPr>
          <w:color w:val="632423" w:themeColor="accent2" w:themeShade="80"/>
        </w:rPr>
        <w:fldChar w:fldCharType="end"/>
      </w:r>
      <w:r w:rsidRPr="00C52F1B">
        <w:rPr>
          <w:color w:val="632423" w:themeColor="accent2" w:themeShade="80"/>
          <w:lang w:val="mk-MK"/>
        </w:rPr>
        <w:t xml:space="preserve"> У</w:t>
      </w:r>
      <w:r w:rsidRPr="00C52F1B">
        <w:rPr>
          <w:color w:val="632423" w:themeColor="accent2" w:themeShade="80"/>
        </w:rPr>
        <w:t>дел</w:t>
      </w:r>
      <w:r w:rsidRPr="00BB6E69">
        <w:rPr>
          <w:color w:val="632423" w:themeColor="accent2" w:themeShade="80"/>
        </w:rPr>
        <w:t xml:space="preserve"> на</w:t>
      </w:r>
      <w:r w:rsidRPr="00B50096">
        <w:rPr>
          <w:color w:val="632423" w:themeColor="accent2" w:themeShade="80"/>
        </w:rPr>
        <w:t xml:space="preserve"> алтернативните оператори</w:t>
      </w:r>
      <w:r w:rsidRPr="00B50096">
        <w:rPr>
          <w:color w:val="632423" w:themeColor="accent2" w:themeShade="80"/>
          <w:lang w:val="mk-MK"/>
        </w:rPr>
        <w:t xml:space="preserve"> според реализиран појдовен телефонски сообраќај (во минути) по квартали во 20</w:t>
      </w:r>
      <w:r w:rsidR="00316B42">
        <w:rPr>
          <w:color w:val="632423" w:themeColor="accent2" w:themeShade="80"/>
        </w:rPr>
        <w:t>1</w:t>
      </w:r>
      <w:r w:rsidR="00316B42">
        <w:rPr>
          <w:color w:val="632423" w:themeColor="accent2" w:themeShade="80"/>
          <w:lang w:val="mk-MK"/>
        </w:rPr>
        <w:t>1</w:t>
      </w:r>
      <w:r w:rsidRPr="00B50096">
        <w:rPr>
          <w:color w:val="632423" w:themeColor="accent2" w:themeShade="80"/>
          <w:lang w:val="mk-MK"/>
        </w:rPr>
        <w:t xml:space="preserve"> година</w:t>
      </w:r>
      <w:bookmarkEnd w:id="18"/>
    </w:p>
    <w:p w:rsidR="00294EB4" w:rsidRPr="00A1326A" w:rsidRDefault="004734B6" w:rsidP="00A1326A">
      <w:pPr>
        <w:pStyle w:val="Caption"/>
        <w:spacing w:line="276" w:lineRule="auto"/>
        <w:rPr>
          <w:b w:val="0"/>
          <w:szCs w:val="22"/>
          <w:lang w:val="mk-MK"/>
        </w:rPr>
      </w:pPr>
      <w:r w:rsidRPr="00BD6D6F">
        <w:rPr>
          <w:b w:val="0"/>
          <w:szCs w:val="22"/>
          <w:lang w:val="mk-MK"/>
        </w:rPr>
        <w:t xml:space="preserve">Во графикон </w:t>
      </w:r>
      <w:r w:rsidR="004658FB">
        <w:rPr>
          <w:b w:val="0"/>
          <w:szCs w:val="22"/>
          <w:lang w:val="mk-MK"/>
        </w:rPr>
        <w:t>бр.</w:t>
      </w:r>
      <w:r w:rsidR="00C52F1B">
        <w:rPr>
          <w:b w:val="0"/>
          <w:szCs w:val="22"/>
          <w:lang w:val="mk-MK"/>
        </w:rPr>
        <w:t>9</w:t>
      </w:r>
      <w:r w:rsidR="001F241E" w:rsidRPr="00BD6D6F">
        <w:rPr>
          <w:b w:val="0"/>
          <w:szCs w:val="22"/>
          <w:lang w:val="mk-MK"/>
        </w:rPr>
        <w:t xml:space="preserve"> се прикажани уделите на алтернативните оператори/дав</w:t>
      </w:r>
      <w:r w:rsidRPr="00BD6D6F">
        <w:rPr>
          <w:b w:val="0"/>
          <w:szCs w:val="22"/>
          <w:lang w:val="mk-MK"/>
        </w:rPr>
        <w:t>а</w:t>
      </w:r>
      <w:r w:rsidR="001F241E" w:rsidRPr="00BD6D6F">
        <w:rPr>
          <w:b w:val="0"/>
          <w:szCs w:val="22"/>
          <w:lang w:val="mk-MK"/>
        </w:rPr>
        <w:t>тели на услуги според реализир</w:t>
      </w:r>
      <w:r w:rsidRPr="00BD6D6F">
        <w:rPr>
          <w:b w:val="0"/>
          <w:szCs w:val="22"/>
          <w:lang w:val="mk-MK"/>
        </w:rPr>
        <w:t>ан појдовен телефонски сообраќај пре</w:t>
      </w:r>
      <w:r w:rsidR="009611F6">
        <w:rPr>
          <w:b w:val="0"/>
          <w:szCs w:val="22"/>
          <w:lang w:val="mk-MK"/>
        </w:rPr>
        <w:t>т</w:t>
      </w:r>
      <w:r w:rsidRPr="00BD6D6F">
        <w:rPr>
          <w:b w:val="0"/>
          <w:szCs w:val="22"/>
          <w:lang w:val="mk-MK"/>
        </w:rPr>
        <w:t>ставен во минути</w:t>
      </w:r>
      <w:r w:rsidR="001F241E" w:rsidRPr="00BD6D6F">
        <w:rPr>
          <w:b w:val="0"/>
          <w:szCs w:val="22"/>
          <w:lang w:val="mk-MK"/>
        </w:rPr>
        <w:t>.</w:t>
      </w:r>
      <w:r w:rsidRPr="00BD6D6F">
        <w:rPr>
          <w:b w:val="0"/>
          <w:szCs w:val="22"/>
          <w:lang w:val="mk-MK"/>
        </w:rPr>
        <w:t xml:space="preserve"> </w:t>
      </w:r>
      <w:r w:rsidR="001F241E" w:rsidRPr="00BD6D6F">
        <w:rPr>
          <w:b w:val="0"/>
          <w:szCs w:val="22"/>
          <w:lang w:val="mk-MK"/>
        </w:rPr>
        <w:t xml:space="preserve">Како што може да се забележи </w:t>
      </w:r>
      <w:r w:rsidRPr="00BD6D6F">
        <w:rPr>
          <w:b w:val="0"/>
          <w:szCs w:val="22"/>
          <w:lang w:val="mk-MK"/>
        </w:rPr>
        <w:t xml:space="preserve">алтерантивните оператори имаат </w:t>
      </w:r>
      <w:r w:rsidR="001F241E" w:rsidRPr="00BD6D6F">
        <w:rPr>
          <w:b w:val="0"/>
          <w:szCs w:val="22"/>
          <w:lang w:val="mk-MK"/>
        </w:rPr>
        <w:t xml:space="preserve">најголем удел </w:t>
      </w:r>
      <w:r w:rsidRPr="00BD6D6F">
        <w:rPr>
          <w:b w:val="0"/>
          <w:szCs w:val="22"/>
          <w:lang w:val="mk-MK"/>
        </w:rPr>
        <w:t xml:space="preserve">во однос на </w:t>
      </w:r>
      <w:r w:rsidR="001F241E" w:rsidRPr="00BD6D6F">
        <w:rPr>
          <w:b w:val="0"/>
          <w:szCs w:val="22"/>
          <w:lang w:val="mk-MK"/>
        </w:rPr>
        <w:t xml:space="preserve"> сообраќајот кон други</w:t>
      </w:r>
      <w:r w:rsidR="00F66A02" w:rsidRPr="00BD6D6F">
        <w:rPr>
          <w:b w:val="0"/>
          <w:szCs w:val="22"/>
          <w:lang w:val="mk-MK"/>
        </w:rPr>
        <w:t xml:space="preserve"> </w:t>
      </w:r>
      <w:r w:rsidR="001F241E" w:rsidRPr="00BD6D6F">
        <w:rPr>
          <w:b w:val="0"/>
          <w:szCs w:val="22"/>
          <w:lang w:val="mk-MK"/>
        </w:rPr>
        <w:t>фиксни мрежи а најмал удел</w:t>
      </w:r>
      <w:r w:rsidRPr="00BD6D6F">
        <w:rPr>
          <w:b w:val="0"/>
          <w:szCs w:val="22"/>
          <w:lang w:val="mk-MK"/>
        </w:rPr>
        <w:t xml:space="preserve"> во однос на </w:t>
      </w:r>
      <w:r w:rsidR="00F66A02" w:rsidRPr="00BD6D6F">
        <w:rPr>
          <w:b w:val="0"/>
          <w:szCs w:val="22"/>
          <w:lang w:val="mk-MK"/>
        </w:rPr>
        <w:t>сообракајот во сопствена мрежа што се објаснува со релативно малиот број на линии на секој од алтернативните оператори/даватели на услуги поединечно.</w:t>
      </w:r>
      <w:r w:rsidR="00033B2C">
        <w:rPr>
          <w:b w:val="0"/>
          <w:szCs w:val="22"/>
          <w:lang w:val="mk-MK"/>
        </w:rPr>
        <w:t xml:space="preserve"> Но исто така од графиконот може да се забележи дека и поктај тоа што алтернативните оператори</w:t>
      </w:r>
      <w:r w:rsidR="00033B2C" w:rsidRPr="00BD6D6F">
        <w:rPr>
          <w:b w:val="0"/>
          <w:szCs w:val="22"/>
          <w:lang w:val="mk-MK"/>
        </w:rPr>
        <w:t>/даватели на услуги</w:t>
      </w:r>
      <w:r w:rsidR="00033B2C">
        <w:rPr>
          <w:b w:val="0"/>
          <w:szCs w:val="22"/>
          <w:lang w:val="mk-MK"/>
        </w:rPr>
        <w:t xml:space="preserve"> имаат најмал удел во вкупниот остварениот сообраќај во сопствена мрежа нивниот удел се зголемува константо од квартал во квартал и за период од една година може да се забележи раст од 2,04 процентуални поени</w:t>
      </w:r>
      <w:r w:rsidR="00793E3A">
        <w:rPr>
          <w:b w:val="0"/>
          <w:szCs w:val="22"/>
          <w:lang w:val="mk-MK"/>
        </w:rPr>
        <w:t>. Уделот кај другите Уделот во вкупниот с</w:t>
      </w:r>
      <w:r w:rsidR="00950911" w:rsidRPr="00BD6D6F">
        <w:rPr>
          <w:b w:val="0"/>
          <w:szCs w:val="22"/>
          <w:lang w:val="mk-MK"/>
        </w:rPr>
        <w:t xml:space="preserve">ообраќајот кон мрежи во странски држави </w:t>
      </w:r>
      <w:r w:rsidR="00793E3A">
        <w:rPr>
          <w:b w:val="0"/>
          <w:szCs w:val="22"/>
          <w:lang w:val="mk-MK"/>
        </w:rPr>
        <w:t>на алтернативните оператори</w:t>
      </w:r>
      <w:r w:rsidR="00793E3A" w:rsidRPr="00BD6D6F">
        <w:rPr>
          <w:b w:val="0"/>
          <w:szCs w:val="22"/>
          <w:lang w:val="mk-MK"/>
        </w:rPr>
        <w:t>/даватели на услуги</w:t>
      </w:r>
      <w:r w:rsidR="00793E3A">
        <w:rPr>
          <w:b w:val="0"/>
          <w:szCs w:val="22"/>
          <w:lang w:val="mk-MK"/>
        </w:rPr>
        <w:t xml:space="preserve"> е</w:t>
      </w:r>
      <w:r w:rsidR="00950911" w:rsidRPr="00BD6D6F">
        <w:rPr>
          <w:b w:val="0"/>
          <w:szCs w:val="22"/>
          <w:lang w:val="mk-MK"/>
        </w:rPr>
        <w:t xml:space="preserve"> релативно висок бидејќи</w:t>
      </w:r>
      <w:r w:rsidR="00591B94" w:rsidRPr="00BD6D6F">
        <w:rPr>
          <w:b w:val="0"/>
          <w:szCs w:val="22"/>
          <w:lang w:val="mk-MK"/>
        </w:rPr>
        <w:t xml:space="preserve"> во него е  вклучен и сообраќајот од давателите на </w:t>
      </w:r>
      <w:r w:rsidR="00591B94" w:rsidRPr="00BD6D6F">
        <w:rPr>
          <w:b w:val="0"/>
          <w:szCs w:val="22"/>
        </w:rPr>
        <w:t xml:space="preserve">VoIP </w:t>
      </w:r>
      <w:r w:rsidR="00591B94" w:rsidRPr="00BD6D6F">
        <w:rPr>
          <w:b w:val="0"/>
          <w:szCs w:val="22"/>
          <w:lang w:val="mk-MK"/>
        </w:rPr>
        <w:t>услуги</w:t>
      </w:r>
      <w:r w:rsidR="00CD4F61" w:rsidRPr="00BD6D6F">
        <w:rPr>
          <w:b w:val="0"/>
          <w:szCs w:val="22"/>
          <w:lang w:val="mk-MK"/>
        </w:rPr>
        <w:t>.</w:t>
      </w:r>
    </w:p>
    <w:p w:rsidR="00B64FA3" w:rsidRPr="00F553D3" w:rsidRDefault="00B64FA3" w:rsidP="00B64FA3">
      <w:pPr>
        <w:tabs>
          <w:tab w:val="left" w:pos="5430"/>
        </w:tabs>
        <w:rPr>
          <w:lang w:val="mk-MK"/>
        </w:rPr>
      </w:pPr>
    </w:p>
    <w:p w:rsidR="00D271E5" w:rsidRDefault="00B64FA3" w:rsidP="00B64FA3">
      <w:pPr>
        <w:tabs>
          <w:tab w:val="left" w:pos="5430"/>
        </w:tabs>
        <w:jc w:val="center"/>
        <w:rPr>
          <w:lang w:val="mk-MK"/>
        </w:rPr>
      </w:pPr>
      <w:r>
        <w:rPr>
          <w:noProof/>
          <w:lang w:val="mk-MK" w:eastAsia="mk-MK" w:bidi="ar-SA"/>
        </w:rPr>
        <w:lastRenderedPageBreak/>
        <w:drawing>
          <wp:inline distT="0" distB="0" distL="0" distR="0">
            <wp:extent cx="5753100" cy="38862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71E5" w:rsidRPr="00C52F1B" w:rsidRDefault="00C52F1B" w:rsidP="00C52F1B">
      <w:pPr>
        <w:pStyle w:val="Caption"/>
        <w:keepNext/>
        <w:rPr>
          <w:color w:val="632423" w:themeColor="accent2" w:themeShade="80"/>
          <w:lang w:val="mk-MK"/>
        </w:rPr>
      </w:pPr>
      <w:bookmarkStart w:id="19" w:name="_Toc327269946"/>
      <w:r w:rsidRPr="00C52F1B">
        <w:rPr>
          <w:color w:val="632423" w:themeColor="accent2" w:themeShade="80"/>
        </w:rPr>
        <w:t xml:space="preserve">Графикон </w:t>
      </w:r>
      <w:r w:rsidR="001E0707" w:rsidRPr="00C52F1B">
        <w:rPr>
          <w:color w:val="632423" w:themeColor="accent2" w:themeShade="80"/>
        </w:rPr>
        <w:fldChar w:fldCharType="begin"/>
      </w:r>
      <w:r w:rsidRPr="00C52F1B">
        <w:rPr>
          <w:color w:val="632423" w:themeColor="accent2" w:themeShade="80"/>
        </w:rPr>
        <w:instrText xml:space="preserve"> SEQ Графикон \* ARABIC </w:instrText>
      </w:r>
      <w:r w:rsidR="001E0707" w:rsidRPr="00C52F1B">
        <w:rPr>
          <w:color w:val="632423" w:themeColor="accent2" w:themeShade="80"/>
        </w:rPr>
        <w:fldChar w:fldCharType="separate"/>
      </w:r>
      <w:r w:rsidR="004E5FA2">
        <w:rPr>
          <w:noProof/>
          <w:color w:val="632423" w:themeColor="accent2" w:themeShade="80"/>
        </w:rPr>
        <w:t>10</w:t>
      </w:r>
      <w:r w:rsidR="001E0707" w:rsidRPr="00C52F1B">
        <w:rPr>
          <w:color w:val="632423" w:themeColor="accent2" w:themeShade="80"/>
        </w:rPr>
        <w:fldChar w:fldCharType="end"/>
      </w:r>
      <w:r w:rsidRPr="00C52F1B">
        <w:rPr>
          <w:color w:val="632423" w:themeColor="accent2" w:themeShade="80"/>
          <w:lang w:val="mk-MK"/>
        </w:rPr>
        <w:t xml:space="preserve"> У</w:t>
      </w:r>
      <w:r w:rsidRPr="00C52F1B">
        <w:rPr>
          <w:color w:val="632423" w:themeColor="accent2" w:themeShade="80"/>
        </w:rPr>
        <w:t>дел на алтернативните оператори</w:t>
      </w:r>
      <w:r w:rsidRPr="00C52F1B">
        <w:rPr>
          <w:color w:val="632423" w:themeColor="accent2" w:themeShade="80"/>
          <w:lang w:val="mk-MK"/>
        </w:rPr>
        <w:t xml:space="preserve"> според број на реализ</w:t>
      </w:r>
      <w:r w:rsidR="00E96272">
        <w:rPr>
          <w:color w:val="632423" w:themeColor="accent2" w:themeShade="80"/>
          <w:lang w:val="mk-MK"/>
        </w:rPr>
        <w:t>ирани повици по квартали во 2011</w:t>
      </w:r>
      <w:r w:rsidRPr="00C52F1B">
        <w:rPr>
          <w:color w:val="632423" w:themeColor="accent2" w:themeShade="80"/>
          <w:lang w:val="mk-MK"/>
        </w:rPr>
        <w:t xml:space="preserve"> година</w:t>
      </w:r>
      <w:bookmarkEnd w:id="19"/>
    </w:p>
    <w:p w:rsidR="00D271E5" w:rsidRPr="00422610" w:rsidRDefault="004734B6" w:rsidP="00BD6D6F">
      <w:pPr>
        <w:tabs>
          <w:tab w:val="left" w:pos="930"/>
        </w:tabs>
        <w:rPr>
          <w:color w:val="FF0000"/>
        </w:rPr>
      </w:pPr>
      <w:r w:rsidRPr="00BD6D6F">
        <w:rPr>
          <w:lang w:val="mk-MK"/>
        </w:rPr>
        <w:t xml:space="preserve">Во графикон </w:t>
      </w:r>
      <w:r w:rsidR="004658FB">
        <w:rPr>
          <w:lang w:val="mk-MK"/>
        </w:rPr>
        <w:t>бр.</w:t>
      </w:r>
      <w:r w:rsidR="0065402B" w:rsidRPr="00BD6D6F">
        <w:rPr>
          <w:lang w:val="mk-MK"/>
        </w:rPr>
        <w:t>1</w:t>
      </w:r>
      <w:r w:rsidR="00C52F1B">
        <w:rPr>
          <w:lang w:val="mk-MK"/>
        </w:rPr>
        <w:t>0</w:t>
      </w:r>
      <w:r w:rsidR="00985216" w:rsidRPr="00BD6D6F">
        <w:rPr>
          <w:lang w:val="mk-MK"/>
        </w:rPr>
        <w:t xml:space="preserve"> се прикажани уделите на алтернативните оператори/дав</w:t>
      </w:r>
      <w:r w:rsidRPr="00BD6D6F">
        <w:rPr>
          <w:lang w:val="mk-MK"/>
        </w:rPr>
        <w:t>а</w:t>
      </w:r>
      <w:r w:rsidR="00E96272">
        <w:rPr>
          <w:lang w:val="mk-MK"/>
        </w:rPr>
        <w:t>тели на услуги во вкупниот број</w:t>
      </w:r>
      <w:r w:rsidR="00985216" w:rsidRPr="00BD6D6F">
        <w:rPr>
          <w:lang w:val="mk-MK"/>
        </w:rPr>
        <w:t xml:space="preserve"> на реализирани повици</w:t>
      </w:r>
      <w:r w:rsidR="00E96272">
        <w:rPr>
          <w:lang w:val="mk-MK"/>
        </w:rPr>
        <w:t xml:space="preserve"> по дестинации</w:t>
      </w:r>
      <w:r w:rsidR="00985216" w:rsidRPr="00BD6D6F">
        <w:rPr>
          <w:lang w:val="mk-MK"/>
        </w:rPr>
        <w:t>.</w:t>
      </w:r>
      <w:r w:rsidRPr="00BD6D6F">
        <w:rPr>
          <w:lang w:val="mk-MK"/>
        </w:rPr>
        <w:t xml:space="preserve"> </w:t>
      </w:r>
      <w:r w:rsidR="00985216" w:rsidRPr="00BD6D6F">
        <w:rPr>
          <w:lang w:val="mk-MK"/>
        </w:rPr>
        <w:t xml:space="preserve">Како што може да се забележи состојбата е </w:t>
      </w:r>
      <w:r w:rsidR="0065402B" w:rsidRPr="00BD6D6F">
        <w:rPr>
          <w:lang w:val="mk-MK"/>
        </w:rPr>
        <w:t>еквивалентна</w:t>
      </w:r>
      <w:r w:rsidRPr="00BD6D6F">
        <w:rPr>
          <w:lang w:val="mk-MK"/>
        </w:rPr>
        <w:t xml:space="preserve"> со онаа од графиконот </w:t>
      </w:r>
      <w:r w:rsidR="00985216" w:rsidRPr="00BD6D6F">
        <w:rPr>
          <w:lang w:val="mk-MK"/>
        </w:rPr>
        <w:t>9</w:t>
      </w:r>
      <w:r w:rsidR="00E96272">
        <w:rPr>
          <w:lang w:val="mk-MK"/>
        </w:rPr>
        <w:t xml:space="preserve"> односно дека најголем удел во вкупниот број</w:t>
      </w:r>
      <w:r w:rsidR="0065402B" w:rsidRPr="00BD6D6F">
        <w:rPr>
          <w:lang w:val="mk-MK"/>
        </w:rPr>
        <w:t xml:space="preserve"> на реализирани повици</w:t>
      </w:r>
      <w:r w:rsidR="00E96272">
        <w:rPr>
          <w:lang w:val="mk-MK"/>
        </w:rPr>
        <w:t xml:space="preserve"> по дестинации</w:t>
      </w:r>
      <w:r w:rsidR="0065402B" w:rsidRPr="00BD6D6F">
        <w:rPr>
          <w:lang w:val="mk-MK"/>
        </w:rPr>
        <w:t xml:space="preserve"> се кон други фиксни </w:t>
      </w:r>
      <w:r w:rsidR="00E96272">
        <w:rPr>
          <w:lang w:val="mk-MK"/>
        </w:rPr>
        <w:t xml:space="preserve">мрежи во РМ а најмал е уделот во </w:t>
      </w:r>
      <w:r w:rsidR="0065402B" w:rsidRPr="00BD6D6F">
        <w:rPr>
          <w:lang w:val="mk-MK"/>
        </w:rPr>
        <w:t>број</w:t>
      </w:r>
      <w:r w:rsidR="00E96272">
        <w:rPr>
          <w:lang w:val="mk-MK"/>
        </w:rPr>
        <w:t>от</w:t>
      </w:r>
      <w:r w:rsidR="0065402B" w:rsidRPr="00BD6D6F">
        <w:rPr>
          <w:lang w:val="mk-MK"/>
        </w:rPr>
        <w:t xml:space="preserve"> на </w:t>
      </w:r>
      <w:r w:rsidR="001E501C" w:rsidRPr="00BD6D6F">
        <w:rPr>
          <w:lang w:val="mk-MK"/>
        </w:rPr>
        <w:t xml:space="preserve">повици </w:t>
      </w:r>
      <w:r w:rsidR="001E501C" w:rsidRPr="00111160">
        <w:rPr>
          <w:lang w:val="mk-MK"/>
        </w:rPr>
        <w:t>во сопствена мрежа.</w:t>
      </w:r>
      <w:r w:rsidR="001E501C" w:rsidRPr="00422610">
        <w:rPr>
          <w:color w:val="FF0000"/>
          <w:lang w:val="mk-MK"/>
        </w:rPr>
        <w:t xml:space="preserve"> </w:t>
      </w:r>
    </w:p>
    <w:p w:rsidR="00D271E5" w:rsidRDefault="00D271E5" w:rsidP="00D271E5">
      <w:pPr>
        <w:tabs>
          <w:tab w:val="left" w:pos="930"/>
        </w:tabs>
      </w:pPr>
    </w:p>
    <w:p w:rsidR="00D271E5" w:rsidRPr="00306220" w:rsidRDefault="00D271E5" w:rsidP="00D271E5">
      <w:pPr>
        <w:tabs>
          <w:tab w:val="left" w:pos="930"/>
        </w:tabs>
        <w:rPr>
          <w:lang w:val="mk-MK"/>
        </w:rPr>
      </w:pPr>
    </w:p>
    <w:p w:rsidR="00150331" w:rsidRDefault="00150331" w:rsidP="00150331">
      <w:pPr>
        <w:rPr>
          <w:lang w:val="mk-MK"/>
        </w:rPr>
      </w:pPr>
    </w:p>
    <w:p w:rsidR="00E467E1" w:rsidRDefault="00E467E1" w:rsidP="00150331">
      <w:pPr>
        <w:rPr>
          <w:lang w:val="mk-MK"/>
        </w:rPr>
      </w:pPr>
    </w:p>
    <w:p w:rsidR="00C52F1B" w:rsidRDefault="00C52F1B" w:rsidP="00150331">
      <w:pPr>
        <w:rPr>
          <w:lang w:val="mk-MK"/>
        </w:rPr>
      </w:pPr>
    </w:p>
    <w:p w:rsidR="00C52F1B" w:rsidRPr="00E467E1" w:rsidRDefault="00C52F1B" w:rsidP="00150331">
      <w:pPr>
        <w:rPr>
          <w:lang w:val="mk-MK"/>
        </w:rPr>
      </w:pPr>
    </w:p>
    <w:p w:rsidR="00B50096" w:rsidRDefault="00B50096" w:rsidP="00B50096">
      <w:pPr>
        <w:rPr>
          <w:b/>
          <w:bCs/>
          <w:lang w:val="mk-MK"/>
        </w:rPr>
      </w:pPr>
      <w:r w:rsidRPr="00B50096">
        <w:rPr>
          <w:b/>
          <w:bCs/>
          <w:noProof/>
          <w:lang w:val="mk-MK" w:eastAsia="mk-MK" w:bidi="ar-SA"/>
        </w:rPr>
        <w:drawing>
          <wp:inline distT="0" distB="0" distL="0" distR="0">
            <wp:extent cx="6513461" cy="818707"/>
            <wp:effectExtent l="0" t="0" r="1905" b="0"/>
            <wp:docPr id="16"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50096" w:rsidRPr="00B50096" w:rsidRDefault="00905F63" w:rsidP="0084417C">
      <w:pPr>
        <w:pStyle w:val="Heading1"/>
        <w:rPr>
          <w:lang w:val="mk-MK"/>
        </w:rPr>
      </w:pPr>
      <w:bookmarkStart w:id="20" w:name="_Toc327269926"/>
      <w:r w:rsidRPr="00B50096">
        <w:rPr>
          <w:lang w:val="mk-MK"/>
        </w:rPr>
        <w:t xml:space="preserve">3. </w:t>
      </w:r>
      <w:r w:rsidR="006A0406" w:rsidRPr="00B50096">
        <w:rPr>
          <w:lang w:val="mk-MK"/>
        </w:rPr>
        <w:t>Мобилна телефонија</w:t>
      </w:r>
      <w:bookmarkEnd w:id="20"/>
    </w:p>
    <w:p w:rsidR="00B50096" w:rsidRDefault="00007B75" w:rsidP="0014730D">
      <w:pPr>
        <w:spacing w:after="0"/>
        <w:rPr>
          <w:lang w:val="mk-MK"/>
        </w:rPr>
      </w:pPr>
      <w:r>
        <w:rPr>
          <w:lang w:val="mk-MK"/>
        </w:rPr>
        <w:lastRenderedPageBreak/>
        <w:t xml:space="preserve">Од </w:t>
      </w:r>
      <w:r w:rsidR="006C2DEF">
        <w:rPr>
          <w:lang w:val="mk-MK"/>
        </w:rPr>
        <w:t>5</w:t>
      </w:r>
      <w:r>
        <w:rPr>
          <w:lang w:val="mk-MK"/>
        </w:rPr>
        <w:t xml:space="preserve"> нотифицирани субјекти во службената еви</w:t>
      </w:r>
      <w:r w:rsidR="006C2DEF">
        <w:rPr>
          <w:lang w:val="mk-MK"/>
        </w:rPr>
        <w:t>денција на АЕК во 2011</w:t>
      </w:r>
      <w:r>
        <w:rPr>
          <w:lang w:val="mk-MK"/>
        </w:rPr>
        <w:t xml:space="preserve"> година </w:t>
      </w:r>
      <w:r>
        <w:t>3</w:t>
      </w:r>
      <w:r>
        <w:rPr>
          <w:lang w:val="mk-MK"/>
        </w:rPr>
        <w:t xml:space="preserve"> субјекти обезбедуваа јавни мобилни телефонски услуги, и тоа: </w:t>
      </w:r>
    </w:p>
    <w:p w:rsidR="00B50096" w:rsidRDefault="00007B75" w:rsidP="0014730D">
      <w:pPr>
        <w:pStyle w:val="ListParagraph"/>
        <w:numPr>
          <w:ilvl w:val="0"/>
          <w:numId w:val="16"/>
        </w:numPr>
        <w:spacing w:after="0"/>
        <w:rPr>
          <w:lang w:val="mk-MK"/>
        </w:rPr>
      </w:pPr>
      <w:r w:rsidRPr="00B50096">
        <w:rPr>
          <w:lang w:val="mk-MK"/>
        </w:rPr>
        <w:t xml:space="preserve">Т-Мобиле Скопје,  </w:t>
      </w:r>
    </w:p>
    <w:p w:rsidR="00B50096" w:rsidRDefault="00B50096" w:rsidP="0014730D">
      <w:pPr>
        <w:pStyle w:val="ListParagraph"/>
        <w:numPr>
          <w:ilvl w:val="0"/>
          <w:numId w:val="16"/>
        </w:numPr>
        <w:spacing w:after="0"/>
        <w:rPr>
          <w:lang w:val="mk-MK"/>
        </w:rPr>
      </w:pPr>
      <w:r>
        <w:rPr>
          <w:lang w:val="mk-MK"/>
        </w:rPr>
        <w:t xml:space="preserve">ОНЕ-Оператор  Скопје </w:t>
      </w:r>
    </w:p>
    <w:p w:rsidR="00496BC1" w:rsidRPr="00B50096" w:rsidRDefault="00007B75" w:rsidP="0014730D">
      <w:pPr>
        <w:pStyle w:val="ListParagraph"/>
        <w:numPr>
          <w:ilvl w:val="0"/>
          <w:numId w:val="16"/>
        </w:numPr>
        <w:spacing w:after="0"/>
        <w:rPr>
          <w:lang w:val="mk-MK"/>
        </w:rPr>
      </w:pPr>
      <w:r w:rsidRPr="00B50096">
        <w:rPr>
          <w:lang w:val="mk-MK"/>
        </w:rPr>
        <w:t xml:space="preserve"> ВИП Оператор Скопје.</w:t>
      </w:r>
    </w:p>
    <w:p w:rsidR="00044082" w:rsidRPr="00E908D3" w:rsidRDefault="00D3204F" w:rsidP="0014730D">
      <w:pPr>
        <w:pStyle w:val="Caption"/>
        <w:spacing w:after="0"/>
        <w:rPr>
          <w:color w:val="244061" w:themeColor="accent1" w:themeShade="80"/>
          <w:lang w:val="mk-MK"/>
        </w:rPr>
      </w:pPr>
      <w:r>
        <w:rPr>
          <w:noProof/>
          <w:color w:val="244061" w:themeColor="accent1" w:themeShade="80"/>
          <w:sz w:val="24"/>
          <w:szCs w:val="24"/>
        </w:rPr>
        <w:pict>
          <v:shape id="_x0000_s1029" type="#_x0000_t75" style="position:absolute;left:0;text-align:left;margin-left:1.45pt;margin-top:29.75pt;width:515.2pt;height:457.3pt;z-index:251660288">
            <v:imagedata r:id="rId41" o:title=""/>
            <w10:wrap type="square" side="right"/>
          </v:shape>
          <o:OLEObject Type="Embed" ProgID="Excel.Sheet.12" ShapeID="_x0000_s1029" DrawAspect="Content" ObjectID="_1401028521" r:id="rId42"/>
        </w:pict>
      </w:r>
      <w:bookmarkStart w:id="21" w:name="_Toc327269967"/>
      <w:r w:rsidR="00BB6E69" w:rsidRPr="00BB6E69">
        <w:rPr>
          <w:color w:val="244061" w:themeColor="accent1" w:themeShade="80"/>
        </w:rPr>
        <w:t xml:space="preserve">Табела </w:t>
      </w:r>
      <w:r w:rsidR="001E0707" w:rsidRPr="00BB6E69">
        <w:rPr>
          <w:color w:val="244061" w:themeColor="accent1" w:themeShade="80"/>
        </w:rPr>
        <w:fldChar w:fldCharType="begin"/>
      </w:r>
      <w:r w:rsidR="00BB6E69" w:rsidRPr="00BB6E69">
        <w:rPr>
          <w:color w:val="244061" w:themeColor="accent1" w:themeShade="80"/>
        </w:rPr>
        <w:instrText xml:space="preserve"> SEQ Табела \* ARABIC </w:instrText>
      </w:r>
      <w:r w:rsidR="001E0707" w:rsidRPr="00BB6E69">
        <w:rPr>
          <w:color w:val="244061" w:themeColor="accent1" w:themeShade="80"/>
        </w:rPr>
        <w:fldChar w:fldCharType="separate"/>
      </w:r>
      <w:r w:rsidR="004E5FA2">
        <w:rPr>
          <w:noProof/>
          <w:color w:val="244061" w:themeColor="accent1" w:themeShade="80"/>
        </w:rPr>
        <w:t>4</w:t>
      </w:r>
      <w:r w:rsidR="001E0707" w:rsidRPr="00BB6E69">
        <w:rPr>
          <w:color w:val="244061" w:themeColor="accent1" w:themeShade="80"/>
        </w:rPr>
        <w:fldChar w:fldCharType="end"/>
      </w:r>
      <w:r w:rsidR="00BB6E69" w:rsidRPr="00BB6E69">
        <w:rPr>
          <w:color w:val="244061" w:themeColor="accent1" w:themeShade="80"/>
          <w:lang w:val="mk-MK"/>
        </w:rPr>
        <w:t xml:space="preserve"> </w:t>
      </w:r>
      <w:r w:rsidR="00BB6E69" w:rsidRPr="00BB6E69">
        <w:rPr>
          <w:color w:val="244061" w:themeColor="accent1" w:themeShade="80"/>
          <w:szCs w:val="22"/>
          <w:lang w:val="mk-MK"/>
        </w:rPr>
        <w:t>Индикатори</w:t>
      </w:r>
      <w:r w:rsidR="00BB6E69" w:rsidRPr="00B50096">
        <w:rPr>
          <w:color w:val="244061" w:themeColor="accent1" w:themeShade="80"/>
          <w:szCs w:val="22"/>
          <w:lang w:val="mk-MK"/>
        </w:rPr>
        <w:t>- Мобилна телефонија</w:t>
      </w:r>
      <w:bookmarkEnd w:id="21"/>
    </w:p>
    <w:p w:rsidR="00D30021" w:rsidRPr="00256A65" w:rsidRDefault="00D30021" w:rsidP="00496BC1">
      <w:pPr>
        <w:rPr>
          <w:lang w:val="mk-MK"/>
        </w:rPr>
      </w:pPr>
    </w:p>
    <w:p w:rsidR="00E90690" w:rsidRPr="00BD6D6F" w:rsidRDefault="00E90690" w:rsidP="006C2DEF">
      <w:pPr>
        <w:spacing w:after="0"/>
        <w:rPr>
          <w:lang w:val="mk-MK"/>
        </w:rPr>
      </w:pPr>
      <w:r>
        <w:rPr>
          <w:lang w:val="mk-MK"/>
        </w:rPr>
        <w:t xml:space="preserve">Табелата </w:t>
      </w:r>
      <w:r w:rsidR="00981008">
        <w:rPr>
          <w:lang w:val="mk-MK"/>
        </w:rPr>
        <w:t>4 го покажува проценту</w:t>
      </w:r>
      <w:r w:rsidR="00256A65">
        <w:rPr>
          <w:lang w:val="mk-MK"/>
        </w:rPr>
        <w:t>алниот раст од 2,78</w:t>
      </w:r>
      <w:r>
        <w:rPr>
          <w:lang w:val="mk-MK"/>
        </w:rPr>
        <w:t>% на бројот на активни претплатници</w:t>
      </w:r>
      <w:r w:rsidR="00256A65">
        <w:rPr>
          <w:lang w:val="mk-MK"/>
        </w:rPr>
        <w:t xml:space="preserve"> во мобилната телефонија во 2011 година во однос на 2010</w:t>
      </w:r>
      <w:r>
        <w:rPr>
          <w:lang w:val="mk-MK"/>
        </w:rPr>
        <w:t xml:space="preserve"> година.</w:t>
      </w:r>
      <w:r w:rsidR="009611F6">
        <w:rPr>
          <w:lang w:val="mk-MK"/>
        </w:rPr>
        <w:t xml:space="preserve"> </w:t>
      </w:r>
      <w:proofErr w:type="gramStart"/>
      <w:r w:rsidR="00BD6D6F">
        <w:t xml:space="preserve">Како што се гледа од </w:t>
      </w:r>
      <w:r>
        <w:t>табела</w:t>
      </w:r>
      <w:r>
        <w:rPr>
          <w:lang w:val="mk-MK"/>
        </w:rPr>
        <w:t>та</w:t>
      </w:r>
      <w:r>
        <w:t xml:space="preserve">, </w:t>
      </w:r>
      <w:r w:rsidRPr="00BD6D6F">
        <w:t>поголемиот дел од претплат</w:t>
      </w:r>
      <w:r w:rsidR="00BD6D6F" w:rsidRPr="00BD6D6F">
        <w:t>ниците користат при-пеид услуги</w:t>
      </w:r>
      <w:r w:rsidRPr="00BD6D6F">
        <w:t xml:space="preserve"> наспроти користењето на пост-пеид услугите.</w:t>
      </w:r>
      <w:proofErr w:type="gramEnd"/>
      <w:r w:rsidRPr="00BD6D6F">
        <w:t xml:space="preserve"> </w:t>
      </w:r>
    </w:p>
    <w:p w:rsidR="00044082" w:rsidRDefault="00E90690" w:rsidP="006C2DEF">
      <w:pPr>
        <w:spacing w:after="0"/>
        <w:rPr>
          <w:lang w:val="mk-MK"/>
        </w:rPr>
      </w:pPr>
      <w:r w:rsidRPr="00BD6D6F">
        <w:rPr>
          <w:lang w:val="mk-MK"/>
        </w:rPr>
        <w:t>Од табелата 4 може да е заклучи дека вкупниот број</w:t>
      </w:r>
      <w:r w:rsidR="00981008">
        <w:rPr>
          <w:lang w:val="mk-MK"/>
        </w:rPr>
        <w:t xml:space="preserve"> на испратени СМС пораки во </w:t>
      </w:r>
      <w:r w:rsidR="00256A65">
        <w:rPr>
          <w:lang w:val="mk-MK"/>
        </w:rPr>
        <w:t>2011 година се зголемил за 3,11% во однос на 2010</w:t>
      </w:r>
      <w:r w:rsidRPr="00BD6D6F">
        <w:rPr>
          <w:lang w:val="mk-MK"/>
        </w:rPr>
        <w:t xml:space="preserve"> година, </w:t>
      </w:r>
    </w:p>
    <w:p w:rsidR="00E90690" w:rsidRPr="00BD6D6F" w:rsidRDefault="00E90690" w:rsidP="006C2DEF">
      <w:pPr>
        <w:spacing w:after="0"/>
        <w:rPr>
          <w:lang w:val="mk-MK"/>
        </w:rPr>
      </w:pPr>
      <w:r w:rsidRPr="00BD6D6F">
        <w:rPr>
          <w:lang w:val="mk-MK"/>
        </w:rPr>
        <w:lastRenderedPageBreak/>
        <w:t>Кај вкупниот број</w:t>
      </w:r>
      <w:r w:rsidR="00256A65">
        <w:rPr>
          <w:lang w:val="mk-MK"/>
        </w:rPr>
        <w:t xml:space="preserve"> на испратени ММС пораки во 2011</w:t>
      </w:r>
      <w:r w:rsidR="00981008">
        <w:rPr>
          <w:lang w:val="mk-MK"/>
        </w:rPr>
        <w:t xml:space="preserve"> г</w:t>
      </w:r>
      <w:r w:rsidR="00256A65">
        <w:rPr>
          <w:lang w:val="mk-MK"/>
        </w:rPr>
        <w:t>одина забележителен е раст од 36,20% во однос на 2010</w:t>
      </w:r>
      <w:r w:rsidRPr="00BD6D6F">
        <w:rPr>
          <w:lang w:val="mk-MK"/>
        </w:rPr>
        <w:t xml:space="preserve"> година.</w:t>
      </w:r>
    </w:p>
    <w:p w:rsidR="001279A7" w:rsidRDefault="00E90690" w:rsidP="006C2DEF">
      <w:pPr>
        <w:spacing w:after="0"/>
        <w:rPr>
          <w:lang w:val="mk-MK"/>
        </w:rPr>
      </w:pPr>
      <w:r w:rsidRPr="00BD6D6F">
        <w:rPr>
          <w:lang w:val="mk-MK"/>
        </w:rPr>
        <w:t>Кај вкупниот реализиран сообраќај во мину</w:t>
      </w:r>
      <w:r w:rsidR="00BD6D6F">
        <w:rPr>
          <w:lang w:val="mk-MK"/>
        </w:rPr>
        <w:t xml:space="preserve">ти </w:t>
      </w:r>
      <w:r w:rsidR="00256A65">
        <w:rPr>
          <w:lang w:val="mk-MK"/>
        </w:rPr>
        <w:t>забележителен е растот од 28,17</w:t>
      </w:r>
      <w:r w:rsidR="00BD6D6F">
        <w:rPr>
          <w:lang w:val="mk-MK"/>
        </w:rPr>
        <w:t>%</w:t>
      </w:r>
      <w:r w:rsidR="00981008">
        <w:rPr>
          <w:lang w:val="mk-MK"/>
        </w:rPr>
        <w:t xml:space="preserve"> во однос на претходната година</w:t>
      </w:r>
      <w:r w:rsidR="001279A7">
        <w:rPr>
          <w:lang w:val="mk-MK"/>
        </w:rPr>
        <w:t>.</w:t>
      </w:r>
      <w:r w:rsidRPr="00BD6D6F">
        <w:rPr>
          <w:lang w:val="mk-MK"/>
        </w:rPr>
        <w:t xml:space="preserve"> </w:t>
      </w:r>
      <w:r w:rsidR="001279A7">
        <w:rPr>
          <w:lang w:val="mk-MK"/>
        </w:rPr>
        <w:t>Од</w:t>
      </w:r>
      <w:r w:rsidR="001279A7" w:rsidRPr="001279A7">
        <w:rPr>
          <w:lang w:val="mk-MK"/>
        </w:rPr>
        <w:t xml:space="preserve"> </w:t>
      </w:r>
      <w:r w:rsidR="001279A7">
        <w:rPr>
          <w:lang w:val="mk-MK"/>
        </w:rPr>
        <w:t>вкупно</w:t>
      </w:r>
      <w:r w:rsidR="001279A7" w:rsidRPr="00BD6D6F">
        <w:rPr>
          <w:lang w:val="mk-MK"/>
        </w:rPr>
        <w:t xml:space="preserve"> реализиран</w:t>
      </w:r>
      <w:r w:rsidR="001279A7">
        <w:rPr>
          <w:lang w:val="mk-MK"/>
        </w:rPr>
        <w:t xml:space="preserve">иот </w:t>
      </w:r>
      <w:r w:rsidR="001279A7" w:rsidRPr="00BD6D6F">
        <w:rPr>
          <w:lang w:val="mk-MK"/>
        </w:rPr>
        <w:t>сообраќај</w:t>
      </w:r>
      <w:r w:rsidR="001279A7">
        <w:rPr>
          <w:lang w:val="mk-MK"/>
        </w:rPr>
        <w:t xml:space="preserve">, </w:t>
      </w:r>
      <w:r w:rsidRPr="00BD6D6F">
        <w:rPr>
          <w:lang w:val="mk-MK"/>
        </w:rPr>
        <w:t xml:space="preserve">реализираниот сообраќај во сопствена мрежа </w:t>
      </w:r>
      <w:r w:rsidR="001279A7">
        <w:rPr>
          <w:lang w:val="mk-MK"/>
        </w:rPr>
        <w:t xml:space="preserve">бележи </w:t>
      </w:r>
      <w:r w:rsidR="00256A65">
        <w:rPr>
          <w:lang w:val="mk-MK"/>
        </w:rPr>
        <w:t xml:space="preserve">најголем </w:t>
      </w:r>
      <w:r w:rsidR="001279A7">
        <w:rPr>
          <w:lang w:val="mk-MK"/>
        </w:rPr>
        <w:t>раст од</w:t>
      </w:r>
      <w:r w:rsidR="00256A65">
        <w:rPr>
          <w:lang w:val="mk-MK"/>
        </w:rPr>
        <w:t xml:space="preserve"> 29,29</w:t>
      </w:r>
      <w:r w:rsidR="00981008">
        <w:rPr>
          <w:lang w:val="mk-MK"/>
        </w:rPr>
        <w:t>%,</w:t>
      </w:r>
      <w:r w:rsidR="00256A65">
        <w:rPr>
          <w:lang w:val="mk-MK"/>
        </w:rPr>
        <w:t xml:space="preserve"> </w:t>
      </w:r>
      <w:r w:rsidR="008B7534">
        <w:rPr>
          <w:lang w:val="mk-MK"/>
        </w:rPr>
        <w:t xml:space="preserve"> раст се забележува кај сообраќајот </w:t>
      </w:r>
      <w:r w:rsidR="00BD6D6F">
        <w:rPr>
          <w:lang w:val="mk-MK"/>
        </w:rPr>
        <w:t>кон</w:t>
      </w:r>
      <w:r w:rsidRPr="00BD6D6F">
        <w:rPr>
          <w:lang w:val="mk-MK"/>
        </w:rPr>
        <w:t xml:space="preserve"> други мобилни мрежи</w:t>
      </w:r>
      <w:r w:rsidR="00BD6D6F">
        <w:rPr>
          <w:lang w:val="mk-MK"/>
        </w:rPr>
        <w:t xml:space="preserve"> кој </w:t>
      </w:r>
      <w:r w:rsidR="00256A65">
        <w:rPr>
          <w:lang w:val="mk-MK"/>
        </w:rPr>
        <w:t>изнесува 24,</w:t>
      </w:r>
      <w:r w:rsidR="008B7534">
        <w:rPr>
          <w:lang w:val="mk-MK"/>
        </w:rPr>
        <w:t>6</w:t>
      </w:r>
      <w:r w:rsidR="00256A65">
        <w:rPr>
          <w:lang w:val="mk-MK"/>
        </w:rPr>
        <w:t>0</w:t>
      </w:r>
      <w:r w:rsidR="00BD6D6F">
        <w:rPr>
          <w:lang w:val="mk-MK"/>
        </w:rPr>
        <w:t>%</w:t>
      </w:r>
      <w:r w:rsidR="001F6802">
        <w:rPr>
          <w:lang w:val="mk-MK"/>
        </w:rPr>
        <w:t xml:space="preserve">, исто така и </w:t>
      </w:r>
      <w:r w:rsidRPr="00BD6D6F">
        <w:rPr>
          <w:lang w:val="mk-MK"/>
        </w:rPr>
        <w:t xml:space="preserve">реализираниот сообраќај кон фиксни мрежи </w:t>
      </w:r>
      <w:r w:rsidR="00BD6D6F">
        <w:rPr>
          <w:lang w:val="mk-MK"/>
        </w:rPr>
        <w:t xml:space="preserve">во РМ </w:t>
      </w:r>
      <w:r w:rsidR="00256A65">
        <w:rPr>
          <w:lang w:val="mk-MK"/>
        </w:rPr>
        <w:t>во 2011 година во однос на 2010</w:t>
      </w:r>
      <w:r w:rsidR="00BD6D6F">
        <w:rPr>
          <w:lang w:val="mk-MK"/>
        </w:rPr>
        <w:t xml:space="preserve"> година </w:t>
      </w:r>
      <w:r w:rsidR="00256A65">
        <w:rPr>
          <w:lang w:val="mk-MK"/>
        </w:rPr>
        <w:t>се зголемува за 10,10</w:t>
      </w:r>
      <w:r w:rsidR="00BD6D6F">
        <w:rPr>
          <w:lang w:val="mk-MK"/>
        </w:rPr>
        <w:t>%</w:t>
      </w:r>
      <w:r w:rsidR="005260A5">
        <w:rPr>
          <w:lang w:val="mk-MK"/>
        </w:rPr>
        <w:t xml:space="preserve"> </w:t>
      </w:r>
      <w:r w:rsidR="00256A65">
        <w:rPr>
          <w:lang w:val="mk-MK"/>
        </w:rPr>
        <w:t>додека</w:t>
      </w:r>
      <w:r w:rsidR="001F6802">
        <w:rPr>
          <w:lang w:val="mk-MK"/>
        </w:rPr>
        <w:t xml:space="preserve"> </w:t>
      </w:r>
      <w:r w:rsidR="001823DB">
        <w:rPr>
          <w:lang w:val="mk-MK"/>
        </w:rPr>
        <w:t xml:space="preserve">кај </w:t>
      </w:r>
      <w:r w:rsidR="001F6802">
        <w:rPr>
          <w:lang w:val="mk-MK"/>
        </w:rPr>
        <w:t>р</w:t>
      </w:r>
      <w:r w:rsidRPr="00BD6D6F">
        <w:rPr>
          <w:lang w:val="mk-MK"/>
        </w:rPr>
        <w:t xml:space="preserve">еализираниот сообраќај </w:t>
      </w:r>
      <w:r w:rsidR="005260A5">
        <w:rPr>
          <w:lang w:val="mk-MK"/>
        </w:rPr>
        <w:t xml:space="preserve">кон </w:t>
      </w:r>
      <w:r w:rsidR="001F6802">
        <w:rPr>
          <w:lang w:val="mk-MK"/>
        </w:rPr>
        <w:t xml:space="preserve">мрежи во </w:t>
      </w:r>
      <w:r w:rsidRPr="00BD6D6F">
        <w:rPr>
          <w:lang w:val="mk-MK"/>
        </w:rPr>
        <w:t>странски држави</w:t>
      </w:r>
      <w:r w:rsidR="001F6802">
        <w:rPr>
          <w:lang w:val="mk-MK"/>
        </w:rPr>
        <w:t xml:space="preserve"> </w:t>
      </w:r>
      <w:r w:rsidR="004F4411">
        <w:rPr>
          <w:lang w:val="mk-MK"/>
        </w:rPr>
        <w:t xml:space="preserve">се </w:t>
      </w:r>
      <w:r w:rsidR="001279A7">
        <w:rPr>
          <w:lang w:val="mk-MK"/>
        </w:rPr>
        <w:t xml:space="preserve">забележува </w:t>
      </w:r>
      <w:r w:rsidR="00256A65">
        <w:rPr>
          <w:lang w:val="mk-MK"/>
        </w:rPr>
        <w:t>раст од 4,8</w:t>
      </w:r>
      <w:r w:rsidR="001279A7">
        <w:rPr>
          <w:lang w:val="mk-MK"/>
        </w:rPr>
        <w:t xml:space="preserve">0% </w:t>
      </w:r>
      <w:r w:rsidR="004F4411">
        <w:rPr>
          <w:lang w:val="mk-MK"/>
        </w:rPr>
        <w:t xml:space="preserve"> </w:t>
      </w:r>
      <w:r w:rsidR="00256A65">
        <w:rPr>
          <w:lang w:val="mk-MK"/>
        </w:rPr>
        <w:t>во однос на 2010</w:t>
      </w:r>
      <w:r w:rsidR="005260A5">
        <w:rPr>
          <w:lang w:val="mk-MK"/>
        </w:rPr>
        <w:t xml:space="preserve"> година</w:t>
      </w:r>
      <w:r w:rsidR="001279A7">
        <w:rPr>
          <w:lang w:val="mk-MK"/>
        </w:rPr>
        <w:t>.</w:t>
      </w:r>
    </w:p>
    <w:p w:rsidR="00E90690" w:rsidRPr="0014730D" w:rsidRDefault="00E90690" w:rsidP="006C2DEF">
      <w:pPr>
        <w:spacing w:after="0"/>
        <w:rPr>
          <w:lang w:val="mk-MK"/>
        </w:rPr>
      </w:pPr>
      <w:r w:rsidRPr="0014730D">
        <w:rPr>
          <w:lang w:val="mk-MK"/>
        </w:rPr>
        <w:t xml:space="preserve">Од табелата 4 исто така може да се види падот на </w:t>
      </w:r>
      <w:r w:rsidR="006A6B55" w:rsidRPr="0014730D">
        <w:rPr>
          <w:lang w:val="mk-MK"/>
        </w:rPr>
        <w:t>вкупните остварени приходи</w:t>
      </w:r>
      <w:r w:rsidRPr="0014730D">
        <w:rPr>
          <w:lang w:val="mk-MK"/>
        </w:rPr>
        <w:t xml:space="preserve"> од </w:t>
      </w:r>
      <w:r w:rsidR="005260A5" w:rsidRPr="0014730D">
        <w:rPr>
          <w:lang w:val="mk-MK"/>
        </w:rPr>
        <w:t>појдовен сообраќај</w:t>
      </w:r>
      <w:r w:rsidR="00E8199B">
        <w:rPr>
          <w:lang w:val="mk-MK"/>
        </w:rPr>
        <w:t xml:space="preserve"> од 16,41% во 2011 година во однос на 2010</w:t>
      </w:r>
      <w:r w:rsidRPr="0014730D">
        <w:rPr>
          <w:lang w:val="mk-MK"/>
        </w:rPr>
        <w:t xml:space="preserve"> година.</w:t>
      </w:r>
      <w:r w:rsidR="005260A5" w:rsidRPr="0014730D">
        <w:rPr>
          <w:lang w:val="mk-MK"/>
        </w:rPr>
        <w:t xml:space="preserve"> Вкупните остварени приходи </w:t>
      </w:r>
      <w:r w:rsidR="006A6B55" w:rsidRPr="0014730D">
        <w:rPr>
          <w:lang w:val="mk-MK"/>
        </w:rPr>
        <w:t xml:space="preserve">се </w:t>
      </w:r>
      <w:r w:rsidR="005260A5" w:rsidRPr="0014730D">
        <w:rPr>
          <w:lang w:val="mk-MK"/>
        </w:rPr>
        <w:t xml:space="preserve">од реализирани повици кои завршуваат во сопствена мрежа, мобилни мрежи во РМ, фиксни мрежи во РМ и </w:t>
      </w:r>
      <w:r w:rsidR="004F4411" w:rsidRPr="0014730D">
        <w:rPr>
          <w:lang w:val="mk-MK"/>
        </w:rPr>
        <w:t>мрежи во странски држави</w:t>
      </w:r>
      <w:r w:rsidR="006A6B55" w:rsidRPr="0014730D">
        <w:rPr>
          <w:lang w:val="mk-MK"/>
        </w:rPr>
        <w:t>.</w:t>
      </w:r>
      <w:r w:rsidR="000E0198" w:rsidRPr="0014730D">
        <w:rPr>
          <w:lang w:val="mk-MK"/>
        </w:rPr>
        <w:t xml:space="preserve"> </w:t>
      </w:r>
      <w:r w:rsidR="006A6B55" w:rsidRPr="0014730D">
        <w:rPr>
          <w:lang w:val="mk-MK"/>
        </w:rPr>
        <w:t>П</w:t>
      </w:r>
      <w:r w:rsidRPr="0014730D">
        <w:rPr>
          <w:lang w:val="mk-MK"/>
        </w:rPr>
        <w:t>риходите од започнување на повик кога повикот заврш</w:t>
      </w:r>
      <w:r w:rsidR="005260A5" w:rsidRPr="0014730D">
        <w:rPr>
          <w:lang w:val="mk-MK"/>
        </w:rPr>
        <w:t>ува во</w:t>
      </w:r>
      <w:r w:rsidR="00E8199B">
        <w:rPr>
          <w:lang w:val="mk-MK"/>
        </w:rPr>
        <w:t xml:space="preserve"> сопствена</w:t>
      </w:r>
      <w:r w:rsidR="005260A5" w:rsidRPr="0014730D">
        <w:rPr>
          <w:lang w:val="mk-MK"/>
        </w:rPr>
        <w:t xml:space="preserve"> мрежи </w:t>
      </w:r>
      <w:r w:rsidRPr="0014730D">
        <w:rPr>
          <w:lang w:val="mk-MK"/>
        </w:rPr>
        <w:t>бележи н</w:t>
      </w:r>
      <w:r w:rsidR="00E8199B">
        <w:rPr>
          <w:lang w:val="mk-MK"/>
        </w:rPr>
        <w:t>ајголем пад од 26,19% во 2011 година во однос на 2010</w:t>
      </w:r>
      <w:r w:rsidRPr="0014730D">
        <w:rPr>
          <w:lang w:val="mk-MK"/>
        </w:rPr>
        <w:t xml:space="preserve"> година.</w:t>
      </w:r>
      <w:r w:rsidR="009611F6">
        <w:rPr>
          <w:lang w:val="mk-MK"/>
        </w:rPr>
        <w:t xml:space="preserve"> </w:t>
      </w:r>
      <w:r w:rsidR="006A6B55" w:rsidRPr="0014730D">
        <w:rPr>
          <w:lang w:val="mk-MK"/>
        </w:rPr>
        <w:t>Кај приходите остварени од испраќање на пораки од табелата може да се забележи дека приходите од испрат</w:t>
      </w:r>
      <w:r w:rsidR="00E8199B">
        <w:rPr>
          <w:lang w:val="mk-MK"/>
        </w:rPr>
        <w:t>ени СМС пораки бележат пад од 6,16</w:t>
      </w:r>
      <w:r w:rsidR="006A6B55" w:rsidRPr="0014730D">
        <w:rPr>
          <w:lang w:val="mk-MK"/>
        </w:rPr>
        <w:t>% додека пак приходите од испрате</w:t>
      </w:r>
      <w:r w:rsidR="00E8199B">
        <w:rPr>
          <w:lang w:val="mk-MK"/>
        </w:rPr>
        <w:t>ни ММС пораки бележат раст од 28,18% во однос на 2010</w:t>
      </w:r>
      <w:r w:rsidR="006A6B55" w:rsidRPr="0014730D">
        <w:rPr>
          <w:lang w:val="mk-MK"/>
        </w:rPr>
        <w:t xml:space="preserve"> година</w:t>
      </w:r>
      <w:r w:rsidR="0014730D">
        <w:rPr>
          <w:lang w:val="mk-MK"/>
        </w:rPr>
        <w:t>.</w:t>
      </w:r>
    </w:p>
    <w:p w:rsidR="00E90690" w:rsidRDefault="00E90690" w:rsidP="00E90690">
      <w:pPr>
        <w:tabs>
          <w:tab w:val="left" w:pos="1373"/>
        </w:tabs>
      </w:pPr>
    </w:p>
    <w:p w:rsidR="00E90690" w:rsidRPr="00A267AD" w:rsidRDefault="00E90690" w:rsidP="00E90690">
      <w:pPr>
        <w:tabs>
          <w:tab w:val="left" w:pos="1373"/>
        </w:tabs>
        <w:rPr>
          <w:lang w:val="mk-MK"/>
        </w:rPr>
      </w:pPr>
    </w:p>
    <w:p w:rsidR="004F6AEF" w:rsidRDefault="004F6AEF" w:rsidP="00496BC1"/>
    <w:p w:rsidR="00E90690" w:rsidRPr="00905F63" w:rsidRDefault="004F6AEF" w:rsidP="00905F63">
      <w:pPr>
        <w:jc w:val="left"/>
        <w:rPr>
          <w:lang w:val="mk-MK"/>
        </w:rPr>
      </w:pPr>
      <w:r>
        <w:br w:type="page"/>
      </w:r>
    </w:p>
    <w:p w:rsidR="00D30021" w:rsidRPr="00E908D3" w:rsidRDefault="0084417C" w:rsidP="004F6AEF">
      <w:pPr>
        <w:pStyle w:val="Heading1"/>
        <w:rPr>
          <w:color w:val="244061" w:themeColor="accent1" w:themeShade="80"/>
          <w:lang w:val="mk-MK"/>
        </w:rPr>
      </w:pPr>
      <w:bookmarkStart w:id="22" w:name="_Toc327269927"/>
      <w:r>
        <w:rPr>
          <w:color w:val="244061" w:themeColor="accent1" w:themeShade="80"/>
          <w:lang w:val="mk-MK"/>
        </w:rPr>
        <w:lastRenderedPageBreak/>
        <w:t>3</w:t>
      </w:r>
      <w:r w:rsidR="004F6AEF" w:rsidRPr="00E908D3">
        <w:rPr>
          <w:color w:val="244061" w:themeColor="accent1" w:themeShade="80"/>
          <w:lang w:val="mk-MK"/>
        </w:rPr>
        <w:t>.1 Број на активни претплатници</w:t>
      </w:r>
      <w:bookmarkEnd w:id="22"/>
    </w:p>
    <w:p w:rsidR="00D30021" w:rsidRPr="004F6AEF" w:rsidRDefault="00D30021" w:rsidP="00D30021">
      <w:pPr>
        <w:rPr>
          <w:lang w:val="mk-MK"/>
        </w:rPr>
      </w:pPr>
    </w:p>
    <w:p w:rsidR="00D30021" w:rsidRPr="000E620F" w:rsidRDefault="000E620F" w:rsidP="000E620F">
      <w:pPr>
        <w:jc w:val="center"/>
        <w:rPr>
          <w:lang w:val="mk-MK"/>
        </w:rPr>
      </w:pPr>
      <w:r>
        <w:rPr>
          <w:noProof/>
          <w:lang w:val="mk-MK" w:eastAsia="mk-MK" w:bidi="ar-SA"/>
        </w:rPr>
        <w:drawing>
          <wp:inline distT="0" distB="0" distL="0" distR="0">
            <wp:extent cx="5605669" cy="3792772"/>
            <wp:effectExtent l="19050" t="0" r="14081" b="0"/>
            <wp:docPr id="5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02FD" w:rsidRPr="00E908D3" w:rsidRDefault="002B02FD" w:rsidP="002B02FD">
      <w:pPr>
        <w:pStyle w:val="Caption"/>
        <w:keepNext/>
        <w:jc w:val="center"/>
        <w:rPr>
          <w:color w:val="244061" w:themeColor="accent1" w:themeShade="80"/>
          <w:lang w:val="mk-MK"/>
        </w:rPr>
      </w:pPr>
      <w:bookmarkStart w:id="23" w:name="_Toc327269947"/>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11</w:t>
      </w:r>
      <w:r w:rsidR="001E0707" w:rsidRPr="002B02FD">
        <w:rPr>
          <w:color w:val="244061" w:themeColor="accent1" w:themeShade="80"/>
        </w:rPr>
        <w:fldChar w:fldCharType="end"/>
      </w:r>
      <w:r w:rsidRPr="002B02FD">
        <w:rPr>
          <w:color w:val="244061" w:themeColor="accent1" w:themeShade="80"/>
        </w:rPr>
        <w:t xml:space="preserve"> </w:t>
      </w:r>
      <w:r w:rsidRPr="00BB6E69">
        <w:rPr>
          <w:color w:val="244061" w:themeColor="accent1" w:themeShade="80"/>
        </w:rPr>
        <w:t>Број на</w:t>
      </w:r>
      <w:r w:rsidRPr="00E908D3">
        <w:rPr>
          <w:color w:val="244061" w:themeColor="accent1" w:themeShade="80"/>
        </w:rPr>
        <w:t xml:space="preserve"> </w:t>
      </w:r>
      <w:r w:rsidRPr="00E908D3">
        <w:rPr>
          <w:color w:val="244061" w:themeColor="accent1" w:themeShade="80"/>
          <w:lang w:val="mk-MK"/>
        </w:rPr>
        <w:t>активни претплатници</w:t>
      </w:r>
      <w:r w:rsidRPr="00E908D3">
        <w:rPr>
          <w:color w:val="244061" w:themeColor="accent1" w:themeShade="80"/>
        </w:rPr>
        <w:t xml:space="preserve"> </w:t>
      </w:r>
      <w:r w:rsidR="00DA7485">
        <w:rPr>
          <w:color w:val="244061" w:themeColor="accent1" w:themeShade="80"/>
          <w:lang w:val="mk-MK"/>
        </w:rPr>
        <w:t>по квартали во 201</w:t>
      </w:r>
      <w:r w:rsidR="00DA7485">
        <w:rPr>
          <w:color w:val="244061" w:themeColor="accent1" w:themeShade="80"/>
        </w:rPr>
        <w:t>1</w:t>
      </w:r>
      <w:r w:rsidRPr="00E908D3">
        <w:rPr>
          <w:color w:val="244061" w:themeColor="accent1" w:themeShade="80"/>
          <w:lang w:val="mk-MK"/>
        </w:rPr>
        <w:t xml:space="preserve"> година и промена на индикаторот број на активни претплатници според по</w:t>
      </w:r>
      <w:r w:rsidR="00DA7485">
        <w:rPr>
          <w:color w:val="244061" w:themeColor="accent1" w:themeShade="80"/>
          <w:lang w:val="mk-MK"/>
        </w:rPr>
        <w:t>пулација 100 по квартали во 201</w:t>
      </w:r>
      <w:r w:rsidR="00DA7485">
        <w:rPr>
          <w:color w:val="244061" w:themeColor="accent1" w:themeShade="80"/>
        </w:rPr>
        <w:t>1</w:t>
      </w:r>
      <w:r w:rsidRPr="00E908D3">
        <w:rPr>
          <w:color w:val="244061" w:themeColor="accent1" w:themeShade="80"/>
          <w:lang w:val="mk-MK"/>
        </w:rPr>
        <w:t xml:space="preserve"> година</w:t>
      </w:r>
      <w:bookmarkEnd w:id="23"/>
    </w:p>
    <w:p w:rsidR="009C3486" w:rsidRPr="009C3486" w:rsidRDefault="009C3486" w:rsidP="002B02FD">
      <w:pPr>
        <w:pStyle w:val="Caption"/>
        <w:jc w:val="center"/>
      </w:pPr>
    </w:p>
    <w:p w:rsidR="000E620F" w:rsidRDefault="000E620F" w:rsidP="000E620F">
      <w:pPr>
        <w:pStyle w:val="Default"/>
        <w:spacing w:line="276" w:lineRule="auto"/>
        <w:jc w:val="both"/>
        <w:rPr>
          <w:rFonts w:ascii="StobiSerif Regular" w:hAnsi="StobiSerif Regular"/>
          <w:color w:val="auto"/>
          <w:sz w:val="22"/>
          <w:szCs w:val="22"/>
          <w:lang w:val="mk-MK"/>
        </w:rPr>
      </w:pPr>
      <w:r w:rsidRPr="000E620F">
        <w:rPr>
          <w:rFonts w:ascii="StobiSerif Regular" w:hAnsi="StobiSerif Regular"/>
          <w:sz w:val="22"/>
          <w:szCs w:val="22"/>
          <w:lang w:val="mk-MK"/>
        </w:rPr>
        <w:t xml:space="preserve">Вредноста на </w:t>
      </w:r>
      <w:r w:rsidR="008D20BB">
        <w:rPr>
          <w:rFonts w:ascii="StobiSerif Regular" w:hAnsi="StobiSerif Regular"/>
          <w:sz w:val="22"/>
          <w:szCs w:val="22"/>
          <w:lang w:val="mk-MK"/>
        </w:rPr>
        <w:t>индикаторот број на активни претплатници според популаци</w:t>
      </w:r>
      <w:r w:rsidR="001B1036">
        <w:rPr>
          <w:rFonts w:ascii="StobiSerif Regular" w:hAnsi="StobiSerif Regular"/>
          <w:sz w:val="22"/>
          <w:szCs w:val="22"/>
          <w:lang w:val="mk-MK"/>
        </w:rPr>
        <w:t>ј</w:t>
      </w:r>
      <w:r w:rsidR="008D20BB">
        <w:rPr>
          <w:rFonts w:ascii="StobiSerif Regular" w:hAnsi="StobiSerif Regular"/>
          <w:sz w:val="22"/>
          <w:szCs w:val="22"/>
          <w:lang w:val="mk-MK"/>
        </w:rPr>
        <w:t xml:space="preserve">а 100 </w:t>
      </w:r>
      <w:r w:rsidR="00B32E9F">
        <w:rPr>
          <w:rFonts w:ascii="StobiSerif Regular" w:hAnsi="StobiSerif Regular"/>
          <w:sz w:val="22"/>
          <w:szCs w:val="22"/>
          <w:lang w:val="mk-MK"/>
        </w:rPr>
        <w:t>е пресметан</w:t>
      </w:r>
      <w:r w:rsidR="005377CF" w:rsidRPr="005377CF">
        <w:rPr>
          <w:rFonts w:ascii="StobiSerif Regular" w:hAnsi="StobiSerif Regular"/>
          <w:sz w:val="22"/>
          <w:szCs w:val="22"/>
          <w:lang w:val="mk-MK"/>
        </w:rPr>
        <w:t xml:space="preserve"> </w:t>
      </w:r>
      <w:r w:rsidR="005377CF" w:rsidRPr="000E620F">
        <w:rPr>
          <w:rFonts w:ascii="StobiSerif Regular" w:hAnsi="StobiSerif Regular"/>
          <w:sz w:val="22"/>
          <w:szCs w:val="22"/>
          <w:lang w:val="mk-MK"/>
        </w:rPr>
        <w:t>врз основа на проценката за бројот на населе</w:t>
      </w:r>
      <w:r w:rsidR="005377CF">
        <w:rPr>
          <w:rFonts w:ascii="StobiSerif Regular" w:hAnsi="StobiSerif Regular"/>
          <w:sz w:val="22"/>
          <w:szCs w:val="22"/>
          <w:lang w:val="mk-MK"/>
        </w:rPr>
        <w:t>ние (2.052.722</w:t>
      </w:r>
      <w:r w:rsidR="005377CF" w:rsidRPr="000E620F">
        <w:rPr>
          <w:rFonts w:ascii="StobiSerif Regular" w:hAnsi="StobiSerif Regular"/>
          <w:sz w:val="22"/>
          <w:szCs w:val="22"/>
          <w:lang w:val="mk-MK"/>
        </w:rPr>
        <w:t>) согласно податоците од Завод на статистика</w:t>
      </w:r>
      <w:r w:rsidR="005377CF">
        <w:rPr>
          <w:rFonts w:ascii="StobiSerif Regular" w:hAnsi="StobiSerif Regular"/>
          <w:sz w:val="22"/>
          <w:szCs w:val="22"/>
          <w:lang w:val="mk-MK"/>
        </w:rPr>
        <w:t xml:space="preserve"> со референтна дата 31.12.2009</w:t>
      </w:r>
      <w:r w:rsidR="005377CF" w:rsidRPr="000E620F">
        <w:rPr>
          <w:rFonts w:ascii="StobiSerif Regular" w:hAnsi="StobiSerif Regular"/>
          <w:sz w:val="22"/>
          <w:szCs w:val="22"/>
          <w:lang w:val="mk-MK"/>
        </w:rPr>
        <w:t xml:space="preserve"> година</w:t>
      </w:r>
      <w:r w:rsidRPr="000E620F">
        <w:rPr>
          <w:rFonts w:ascii="StobiSerif Regular" w:hAnsi="StobiSerif Regular"/>
          <w:sz w:val="22"/>
          <w:szCs w:val="22"/>
          <w:lang w:val="mk-MK"/>
        </w:rPr>
        <w:t>.</w:t>
      </w:r>
      <w:r w:rsidR="009611F6">
        <w:rPr>
          <w:rFonts w:ascii="StobiSerif Regular" w:hAnsi="StobiSerif Regular"/>
          <w:sz w:val="22"/>
          <w:szCs w:val="22"/>
          <w:lang w:val="mk-MK"/>
        </w:rPr>
        <w:t xml:space="preserve"> </w:t>
      </w:r>
      <w:r w:rsidRPr="000E620F">
        <w:rPr>
          <w:rFonts w:ascii="StobiSerif Regular" w:hAnsi="StobiSerif Regular"/>
          <w:color w:val="auto"/>
          <w:sz w:val="22"/>
          <w:szCs w:val="22"/>
          <w:lang w:val="mk-MK"/>
        </w:rPr>
        <w:t xml:space="preserve">Во </w:t>
      </w:r>
      <w:r w:rsidR="008D20BB">
        <w:rPr>
          <w:rFonts w:ascii="StobiSerif Regular" w:hAnsi="StobiSerif Regular"/>
          <w:color w:val="auto"/>
          <w:sz w:val="22"/>
          <w:szCs w:val="22"/>
          <w:lang w:val="mk-MK"/>
        </w:rPr>
        <w:t>гр</w:t>
      </w:r>
      <w:r w:rsidR="009611F6">
        <w:rPr>
          <w:rFonts w:ascii="StobiSerif Regular" w:hAnsi="StobiSerif Regular"/>
          <w:color w:val="auto"/>
          <w:sz w:val="22"/>
          <w:szCs w:val="22"/>
          <w:lang w:val="mk-MK"/>
        </w:rPr>
        <w:t>афиконот 11</w:t>
      </w:r>
      <w:r w:rsidRPr="000E620F">
        <w:rPr>
          <w:rFonts w:ascii="StobiSerif Regular" w:hAnsi="StobiSerif Regular"/>
          <w:color w:val="auto"/>
          <w:sz w:val="22"/>
          <w:szCs w:val="22"/>
          <w:lang w:val="mk-MK"/>
        </w:rPr>
        <w:t xml:space="preserve"> податоци</w:t>
      </w:r>
      <w:r w:rsidR="000603C5">
        <w:rPr>
          <w:rFonts w:ascii="StobiSerif Regular" w:hAnsi="StobiSerif Regular"/>
          <w:color w:val="auto"/>
          <w:sz w:val="22"/>
          <w:szCs w:val="22"/>
          <w:lang w:val="mk-MK"/>
        </w:rPr>
        <w:t>те за бројот на претплатници за сите четири</w:t>
      </w:r>
      <w:r w:rsidR="005377CF">
        <w:rPr>
          <w:rFonts w:ascii="StobiSerif Regular" w:hAnsi="StobiSerif Regular"/>
          <w:color w:val="auto"/>
          <w:sz w:val="22"/>
          <w:szCs w:val="22"/>
          <w:lang w:val="mk-MK"/>
        </w:rPr>
        <w:t xml:space="preserve"> квартал</w:t>
      </w:r>
      <w:r w:rsidR="000603C5">
        <w:rPr>
          <w:rFonts w:ascii="StobiSerif Regular" w:hAnsi="StobiSerif Regular"/>
          <w:color w:val="auto"/>
          <w:sz w:val="22"/>
          <w:szCs w:val="22"/>
          <w:lang w:val="mk-MK"/>
        </w:rPr>
        <w:t>и од</w:t>
      </w:r>
      <w:r w:rsidR="00DA7485">
        <w:rPr>
          <w:rFonts w:ascii="StobiSerif Regular" w:hAnsi="StobiSerif Regular"/>
          <w:color w:val="auto"/>
          <w:sz w:val="22"/>
          <w:szCs w:val="22"/>
          <w:lang w:val="mk-MK"/>
        </w:rPr>
        <w:t xml:space="preserve"> 201</w:t>
      </w:r>
      <w:r w:rsidR="00DA7485">
        <w:rPr>
          <w:rFonts w:ascii="StobiSerif Regular" w:hAnsi="StobiSerif Regular"/>
          <w:color w:val="auto"/>
          <w:sz w:val="22"/>
          <w:szCs w:val="22"/>
        </w:rPr>
        <w:t>1</w:t>
      </w:r>
      <w:r w:rsidRPr="000E620F">
        <w:rPr>
          <w:rFonts w:ascii="StobiSerif Regular" w:hAnsi="StobiSerif Regular"/>
          <w:color w:val="auto"/>
          <w:sz w:val="22"/>
          <w:szCs w:val="22"/>
          <w:lang w:val="mk-MK"/>
        </w:rPr>
        <w:t xml:space="preserve"> година се однесува на активни претплатници кои во последните три месеци предизвикале на некој начин електронски комуникациски настан. </w:t>
      </w:r>
      <w:r w:rsidR="00F437F4" w:rsidRPr="00F437F4">
        <w:rPr>
          <w:rFonts w:ascii="StobiSerif Regular" w:hAnsi="StobiSerif Regular"/>
          <w:color w:val="auto"/>
          <w:sz w:val="22"/>
          <w:szCs w:val="22"/>
          <w:lang w:val="mk-MK"/>
        </w:rPr>
        <w:t>Под електронски комуникациски настан се смета повик (говор, видео, повик кон говорен автомат или сл.), одговор на повик (говор, видео или сл.), испраќање на порака (SMS, MMS), прием на порака (SMS, MMS), испраќање на податоци (e-mail, Интернет или сл.), прием на податоци (e-mail, Интернет или сл.) или вршење на други услуги (плаќање на месечна претплата, пла</w:t>
      </w:r>
      <w:r w:rsidR="009E6354">
        <w:rPr>
          <w:rFonts w:ascii="StobiSerif Regular" w:hAnsi="StobiSerif Regular"/>
          <w:color w:val="auto"/>
          <w:sz w:val="22"/>
          <w:szCs w:val="22"/>
          <w:lang w:val="mk-MK"/>
        </w:rPr>
        <w:t>ќање на ваучер за pre-</w:t>
      </w:r>
      <w:r w:rsidR="009E6354" w:rsidRPr="00DA7485">
        <w:rPr>
          <w:rFonts w:ascii="StobiSerif Regular" w:hAnsi="StobiSerif Regular"/>
          <w:color w:val="auto"/>
          <w:sz w:val="22"/>
          <w:szCs w:val="22"/>
          <w:lang w:val="mk-MK"/>
        </w:rPr>
        <w:t>paid итн.</w:t>
      </w:r>
      <w:r w:rsidR="00F437F4" w:rsidRPr="00DA7485">
        <w:rPr>
          <w:rFonts w:ascii="StobiSerif Regular" w:hAnsi="StobiSerif Regular"/>
          <w:color w:val="auto"/>
          <w:sz w:val="22"/>
          <w:szCs w:val="22"/>
          <w:lang w:val="mk-MK"/>
        </w:rPr>
        <w:t>)</w:t>
      </w:r>
      <w:r w:rsidR="00DA7485" w:rsidRPr="00DA7485">
        <w:rPr>
          <w:rFonts w:ascii="StobiSerif Regular" w:hAnsi="StobiSerif Regular"/>
          <w:lang w:val="mk-MK"/>
        </w:rPr>
        <w:t xml:space="preserve"> при што се зeмаат во предвид само активностите иницирани од претплатник кон претплатник и/или иницирани од претплатник кон оператор, а се исклучени активностите кои ги иницира операторот кон корисникот</w:t>
      </w:r>
      <w:r w:rsidR="00DA7485" w:rsidRPr="00DA7485">
        <w:rPr>
          <w:rFonts w:ascii="StobiSerif Regular" w:hAnsi="StobiSerif Regular"/>
          <w:color w:val="FF0000"/>
          <w:lang w:val="mk-MK"/>
        </w:rPr>
        <w:t>.</w:t>
      </w:r>
      <w:r w:rsidRPr="00DA7485">
        <w:rPr>
          <w:rFonts w:ascii="StobiSerif Regular" w:hAnsi="StobiSerif Regular"/>
          <w:color w:val="auto"/>
          <w:sz w:val="22"/>
          <w:szCs w:val="22"/>
          <w:lang w:val="mk-MK"/>
        </w:rPr>
        <w:t>.</w:t>
      </w:r>
      <w:r w:rsidR="00DA7485">
        <w:rPr>
          <w:rFonts w:ascii="StobiSerif Regular" w:hAnsi="StobiSerif Regular"/>
          <w:color w:val="auto"/>
          <w:sz w:val="22"/>
          <w:szCs w:val="22"/>
          <w:lang w:val="mk-MK"/>
        </w:rPr>
        <w:t xml:space="preserve"> на 31.12.201</w:t>
      </w:r>
      <w:r w:rsidR="00DA7485">
        <w:rPr>
          <w:rFonts w:ascii="StobiSerif Regular" w:hAnsi="StobiSerif Regular"/>
          <w:color w:val="auto"/>
          <w:sz w:val="22"/>
          <w:szCs w:val="22"/>
        </w:rPr>
        <w:t>1</w:t>
      </w:r>
      <w:r w:rsidR="008D20BB">
        <w:rPr>
          <w:rFonts w:ascii="StobiSerif Regular" w:hAnsi="StobiSerif Regular"/>
          <w:color w:val="auto"/>
          <w:sz w:val="22"/>
          <w:szCs w:val="22"/>
          <w:lang w:val="mk-MK"/>
        </w:rPr>
        <w:t xml:space="preserve"> година трите </w:t>
      </w:r>
      <w:r w:rsidR="00DA7485">
        <w:rPr>
          <w:rFonts w:ascii="StobiSerif Regular" w:hAnsi="StobiSerif Regular"/>
          <w:color w:val="auto"/>
          <w:sz w:val="22"/>
          <w:szCs w:val="22"/>
          <w:lang w:val="mk-MK"/>
        </w:rPr>
        <w:t>оператори имаат вкупно 2.</w:t>
      </w:r>
      <w:r w:rsidR="00DA7485">
        <w:rPr>
          <w:rFonts w:ascii="StobiSerif Regular" w:hAnsi="StobiSerif Regular"/>
          <w:color w:val="auto"/>
          <w:sz w:val="22"/>
          <w:szCs w:val="22"/>
        </w:rPr>
        <w:t>2</w:t>
      </w:r>
      <w:r w:rsidR="00DA7485">
        <w:rPr>
          <w:rFonts w:ascii="StobiSerif Regular" w:hAnsi="StobiSerif Regular"/>
          <w:color w:val="auto"/>
          <w:sz w:val="22"/>
          <w:szCs w:val="22"/>
          <w:lang w:val="mk-MK"/>
        </w:rPr>
        <w:t>13.</w:t>
      </w:r>
      <w:r w:rsidR="00DA7485">
        <w:rPr>
          <w:rFonts w:ascii="StobiSerif Regular" w:hAnsi="StobiSerif Regular"/>
          <w:color w:val="auto"/>
          <w:sz w:val="22"/>
          <w:szCs w:val="22"/>
        </w:rPr>
        <w:t>223</w:t>
      </w:r>
      <w:r w:rsidR="008D20BB">
        <w:rPr>
          <w:rFonts w:ascii="StobiSerif Regular" w:hAnsi="StobiSerif Regular"/>
          <w:color w:val="auto"/>
          <w:sz w:val="22"/>
          <w:szCs w:val="22"/>
          <w:lang w:val="mk-MK"/>
        </w:rPr>
        <w:t xml:space="preserve"> активни претплатници.</w:t>
      </w:r>
    </w:p>
    <w:p w:rsidR="00905F63" w:rsidRPr="008D20BB" w:rsidRDefault="00905F63" w:rsidP="000E620F">
      <w:pPr>
        <w:pStyle w:val="Default"/>
        <w:spacing w:line="276" w:lineRule="auto"/>
        <w:jc w:val="both"/>
        <w:rPr>
          <w:rFonts w:ascii="StobiSerif Regular" w:hAnsi="StobiSerif Regular"/>
          <w:sz w:val="22"/>
          <w:szCs w:val="22"/>
          <w:lang w:val="mk-MK"/>
        </w:rPr>
      </w:pPr>
    </w:p>
    <w:p w:rsidR="009C3486" w:rsidRPr="00E908D3" w:rsidRDefault="0084417C" w:rsidP="004F6AEF">
      <w:pPr>
        <w:pStyle w:val="Heading1"/>
        <w:rPr>
          <w:color w:val="244061" w:themeColor="accent1" w:themeShade="80"/>
          <w:lang w:val="mk-MK"/>
        </w:rPr>
      </w:pPr>
      <w:bookmarkStart w:id="24" w:name="_Toc327269928"/>
      <w:r>
        <w:rPr>
          <w:color w:val="244061" w:themeColor="accent1" w:themeShade="80"/>
          <w:lang w:val="mk-MK"/>
        </w:rPr>
        <w:t>3</w:t>
      </w:r>
      <w:r w:rsidR="004F6AEF" w:rsidRPr="00E908D3">
        <w:rPr>
          <w:color w:val="244061" w:themeColor="accent1" w:themeShade="80"/>
          <w:lang w:val="mk-MK"/>
        </w:rPr>
        <w:t>.2 Удел на пазарот за мобилна телефонија според активни претплатници</w:t>
      </w:r>
      <w:bookmarkEnd w:id="24"/>
    </w:p>
    <w:p w:rsidR="009C3486" w:rsidRPr="008D20BB" w:rsidRDefault="009C3486" w:rsidP="009C3486">
      <w:pPr>
        <w:tabs>
          <w:tab w:val="left" w:pos="4575"/>
        </w:tabs>
        <w:rPr>
          <w:lang w:val="mk-MK"/>
        </w:rPr>
      </w:pPr>
    </w:p>
    <w:p w:rsidR="00294C5D" w:rsidRDefault="009C3486" w:rsidP="00E4246A">
      <w:pPr>
        <w:tabs>
          <w:tab w:val="left" w:pos="4575"/>
        </w:tabs>
        <w:jc w:val="center"/>
      </w:pPr>
      <w:r>
        <w:rPr>
          <w:noProof/>
          <w:lang w:val="mk-MK" w:eastAsia="mk-MK" w:bidi="ar-SA"/>
        </w:rPr>
        <w:lastRenderedPageBreak/>
        <w:drawing>
          <wp:inline distT="0" distB="0" distL="0" distR="0">
            <wp:extent cx="5934075" cy="3743325"/>
            <wp:effectExtent l="1905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02FD" w:rsidRPr="00E908D3" w:rsidRDefault="002B02FD" w:rsidP="002B02FD">
      <w:pPr>
        <w:pStyle w:val="Caption"/>
        <w:keepNext/>
        <w:jc w:val="center"/>
        <w:rPr>
          <w:color w:val="244061" w:themeColor="accent1" w:themeShade="80"/>
        </w:rPr>
      </w:pPr>
      <w:bookmarkStart w:id="25" w:name="_Toc327269948"/>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12</w:t>
      </w:r>
      <w:r w:rsidR="001E0707" w:rsidRPr="002B02FD">
        <w:rPr>
          <w:color w:val="244061" w:themeColor="accent1" w:themeShade="80"/>
        </w:rPr>
        <w:fldChar w:fldCharType="end"/>
      </w:r>
      <w:r w:rsidRPr="002B02FD">
        <w:rPr>
          <w:color w:val="244061" w:themeColor="accent1" w:themeShade="80"/>
          <w:lang w:val="mk-MK"/>
        </w:rPr>
        <w:t xml:space="preserve"> Удел</w:t>
      </w:r>
      <w:r w:rsidRPr="00E908D3">
        <w:rPr>
          <w:color w:val="244061" w:themeColor="accent1" w:themeShade="80"/>
          <w:lang w:val="mk-MK"/>
        </w:rPr>
        <w:t xml:space="preserve"> на пазарот за мобилна телефонија според активни прет</w:t>
      </w:r>
      <w:r w:rsidR="00583B5F">
        <w:rPr>
          <w:color w:val="244061" w:themeColor="accent1" w:themeShade="80"/>
          <w:lang w:val="mk-MK"/>
        </w:rPr>
        <w:t>платници по квартали (%) во 201</w:t>
      </w:r>
      <w:r w:rsidR="00583B5F">
        <w:rPr>
          <w:color w:val="244061" w:themeColor="accent1" w:themeShade="80"/>
        </w:rPr>
        <w:t>1</w:t>
      </w:r>
      <w:r w:rsidRPr="00E908D3">
        <w:rPr>
          <w:color w:val="244061" w:themeColor="accent1" w:themeShade="80"/>
          <w:lang w:val="mk-MK"/>
        </w:rPr>
        <w:t xml:space="preserve"> година</w:t>
      </w:r>
      <w:bookmarkEnd w:id="25"/>
    </w:p>
    <w:p w:rsidR="00905F63" w:rsidRDefault="00905F63" w:rsidP="002B02FD">
      <w:pPr>
        <w:pStyle w:val="Caption"/>
        <w:jc w:val="center"/>
        <w:rPr>
          <w:rFonts w:ascii="StobiSerif Regular" w:hAnsi="StobiSerif Regular"/>
          <w:szCs w:val="22"/>
          <w:lang w:val="mk-MK"/>
        </w:rPr>
      </w:pPr>
    </w:p>
    <w:p w:rsidR="00F232C8" w:rsidRPr="00EB6A4C" w:rsidRDefault="002B02FD" w:rsidP="008D20BB">
      <w:pPr>
        <w:pStyle w:val="Default"/>
        <w:spacing w:line="276" w:lineRule="auto"/>
        <w:jc w:val="both"/>
        <w:rPr>
          <w:rFonts w:ascii="StobiSerif Regular" w:hAnsi="StobiSerif Regular"/>
          <w:color w:val="auto"/>
          <w:sz w:val="22"/>
          <w:szCs w:val="22"/>
          <w:lang w:val="mk-MK"/>
        </w:rPr>
      </w:pPr>
      <w:r>
        <w:rPr>
          <w:rFonts w:ascii="StobiSerif Regular" w:hAnsi="StobiSerif Regular"/>
          <w:color w:val="auto"/>
          <w:sz w:val="22"/>
          <w:szCs w:val="22"/>
          <w:lang w:val="mk-MK"/>
        </w:rPr>
        <w:t>Од графиконот бр.12</w:t>
      </w:r>
      <w:r w:rsidR="008D20BB" w:rsidRPr="008D20BB">
        <w:rPr>
          <w:rFonts w:ascii="StobiSerif Regular" w:hAnsi="StobiSerif Regular"/>
          <w:color w:val="auto"/>
          <w:sz w:val="22"/>
          <w:szCs w:val="22"/>
          <w:lang w:val="mk-MK"/>
        </w:rPr>
        <w:t xml:space="preserve"> може да се види учеството на трите операт</w:t>
      </w:r>
      <w:r w:rsidR="00583B5F">
        <w:rPr>
          <w:rFonts w:ascii="StobiSerif Regular" w:hAnsi="StobiSerif Regular"/>
          <w:color w:val="auto"/>
          <w:sz w:val="22"/>
          <w:szCs w:val="22"/>
          <w:lang w:val="mk-MK"/>
        </w:rPr>
        <w:t>ори пооделно по квартали во 201</w:t>
      </w:r>
      <w:r w:rsidR="00583B5F">
        <w:rPr>
          <w:rFonts w:ascii="StobiSerif Regular" w:hAnsi="StobiSerif Regular"/>
          <w:color w:val="auto"/>
          <w:sz w:val="22"/>
          <w:szCs w:val="22"/>
        </w:rPr>
        <w:t>1</w:t>
      </w:r>
      <w:r w:rsidR="008D20BB" w:rsidRPr="008D20BB">
        <w:rPr>
          <w:rFonts w:ascii="StobiSerif Regular" w:hAnsi="StobiSerif Regular"/>
          <w:color w:val="auto"/>
          <w:sz w:val="22"/>
          <w:szCs w:val="22"/>
          <w:lang w:val="mk-MK"/>
        </w:rPr>
        <w:t xml:space="preserve"> година.</w:t>
      </w:r>
      <w:r w:rsidR="009611F6">
        <w:rPr>
          <w:rFonts w:ascii="StobiSerif Regular" w:hAnsi="StobiSerif Regular"/>
          <w:color w:val="auto"/>
          <w:sz w:val="22"/>
          <w:szCs w:val="22"/>
          <w:lang w:val="mk-MK"/>
        </w:rPr>
        <w:t xml:space="preserve"> Воедно</w:t>
      </w:r>
      <w:r w:rsidR="00F232C8" w:rsidRPr="008D20BB">
        <w:rPr>
          <w:rFonts w:ascii="StobiSerif Regular" w:hAnsi="StobiSerif Regular"/>
          <w:color w:val="auto"/>
          <w:sz w:val="22"/>
          <w:szCs w:val="22"/>
          <w:lang w:val="mk-MK"/>
        </w:rPr>
        <w:t xml:space="preserve"> значајно е да се потенцира дека </w:t>
      </w:r>
      <w:r w:rsidR="008D20BB" w:rsidRPr="008D20BB">
        <w:rPr>
          <w:rFonts w:ascii="StobiSerif Regular" w:hAnsi="StobiSerif Regular"/>
          <w:color w:val="auto"/>
          <w:sz w:val="22"/>
          <w:szCs w:val="22"/>
          <w:lang w:val="mk-MK"/>
        </w:rPr>
        <w:t xml:space="preserve">ВИП Оператор </w:t>
      </w:r>
      <w:r w:rsidR="00205F85">
        <w:rPr>
          <w:rFonts w:ascii="StobiSerif Regular" w:hAnsi="StobiSerif Regular"/>
          <w:color w:val="auto"/>
          <w:sz w:val="22"/>
          <w:szCs w:val="22"/>
          <w:lang w:val="mk-MK"/>
        </w:rPr>
        <w:t xml:space="preserve">според пазарниот удел  на активни претплатници </w:t>
      </w:r>
      <w:r w:rsidR="008D20BB" w:rsidRPr="008D20BB">
        <w:rPr>
          <w:rFonts w:ascii="StobiSerif Regular" w:hAnsi="StobiSerif Regular"/>
          <w:color w:val="auto"/>
          <w:sz w:val="22"/>
          <w:szCs w:val="22"/>
          <w:lang w:val="mk-MK"/>
        </w:rPr>
        <w:t>бележи контину</w:t>
      </w:r>
      <w:r w:rsidR="00205F85">
        <w:rPr>
          <w:rFonts w:ascii="StobiSerif Regular" w:hAnsi="StobiSerif Regular"/>
          <w:color w:val="auto"/>
          <w:sz w:val="22"/>
          <w:szCs w:val="22"/>
          <w:lang w:val="mk-MK"/>
        </w:rPr>
        <w:t>иран раст низ кварталите во 201</w:t>
      </w:r>
      <w:r w:rsidR="00205F85">
        <w:rPr>
          <w:rFonts w:ascii="StobiSerif Regular" w:hAnsi="StobiSerif Regular"/>
          <w:color w:val="auto"/>
          <w:sz w:val="22"/>
          <w:szCs w:val="22"/>
        </w:rPr>
        <w:t>1</w:t>
      </w:r>
      <w:r w:rsidR="008048F8">
        <w:rPr>
          <w:rFonts w:ascii="StobiSerif Regular" w:hAnsi="StobiSerif Regular"/>
          <w:color w:val="auto"/>
          <w:sz w:val="22"/>
          <w:szCs w:val="22"/>
          <w:lang w:val="mk-MK"/>
        </w:rPr>
        <w:t xml:space="preserve"> година</w:t>
      </w:r>
      <w:r w:rsidR="0084663B">
        <w:rPr>
          <w:rFonts w:ascii="StobiSerif Regular" w:hAnsi="StobiSerif Regular"/>
          <w:color w:val="auto"/>
          <w:sz w:val="22"/>
          <w:szCs w:val="22"/>
          <w:lang w:val="mk-MK"/>
        </w:rPr>
        <w:t>,</w:t>
      </w:r>
      <w:r w:rsidR="008048F8">
        <w:rPr>
          <w:rFonts w:ascii="StobiSerif Regular" w:hAnsi="StobiSerif Regular"/>
          <w:color w:val="auto"/>
          <w:sz w:val="22"/>
          <w:szCs w:val="22"/>
          <w:lang w:val="mk-MK"/>
        </w:rPr>
        <w:t xml:space="preserve"> наспроти континуираното </w:t>
      </w:r>
      <w:r w:rsidR="008D20BB" w:rsidRPr="008D20BB">
        <w:rPr>
          <w:rFonts w:ascii="StobiSerif Regular" w:hAnsi="StobiSerif Regular"/>
          <w:color w:val="auto"/>
          <w:sz w:val="22"/>
          <w:szCs w:val="22"/>
          <w:lang w:val="mk-MK"/>
        </w:rPr>
        <w:t>опаѓањ</w:t>
      </w:r>
      <w:r w:rsidR="008048F8">
        <w:rPr>
          <w:rFonts w:ascii="StobiSerif Regular" w:hAnsi="StobiSerif Regular"/>
          <w:color w:val="auto"/>
          <w:sz w:val="22"/>
          <w:szCs w:val="22"/>
          <w:lang w:val="mk-MK"/>
        </w:rPr>
        <w:t>е на учеството на</w:t>
      </w:r>
      <w:r w:rsidR="009611F6">
        <w:rPr>
          <w:rFonts w:ascii="StobiSerif Regular" w:hAnsi="StobiSerif Regular"/>
          <w:color w:val="auto"/>
          <w:sz w:val="22"/>
          <w:szCs w:val="22"/>
          <w:lang w:val="mk-MK"/>
        </w:rPr>
        <w:t xml:space="preserve"> </w:t>
      </w:r>
      <w:r w:rsidR="00205F85">
        <w:rPr>
          <w:rFonts w:ascii="StobiSerif Regular" w:hAnsi="StobiSerif Regular"/>
          <w:color w:val="auto"/>
          <w:sz w:val="22"/>
          <w:szCs w:val="22"/>
          <w:lang w:val="mk-MK"/>
        </w:rPr>
        <w:t>ОНЕ Оператор што доведе до превземање на втората позиција на ВИП Оператор според пазарен удел на активни претплатници во третиот квартал од 2011 година. Во четвртиот квартал ВИП Оператор ја зацврстува својата позиција на пазарот според бројот на претплатници</w:t>
      </w:r>
      <w:r w:rsidR="0084663B">
        <w:rPr>
          <w:rFonts w:ascii="StobiSerif Regular" w:hAnsi="StobiSerif Regular"/>
          <w:color w:val="auto"/>
          <w:sz w:val="22"/>
          <w:szCs w:val="22"/>
          <w:lang w:val="mk-MK"/>
        </w:rPr>
        <w:t>,</w:t>
      </w:r>
      <w:r w:rsidR="00205F85">
        <w:rPr>
          <w:rFonts w:ascii="StobiSerif Regular" w:hAnsi="StobiSerif Regular"/>
          <w:color w:val="auto"/>
          <w:sz w:val="22"/>
          <w:szCs w:val="22"/>
          <w:lang w:val="mk-MK"/>
        </w:rPr>
        <w:t xml:space="preserve"> додека Т-Мобиле има релативно стабил</w:t>
      </w:r>
      <w:r w:rsidR="0084663B">
        <w:rPr>
          <w:rFonts w:ascii="StobiSerif Regular" w:hAnsi="StobiSerif Regular"/>
          <w:color w:val="auto"/>
          <w:sz w:val="22"/>
          <w:szCs w:val="22"/>
          <w:lang w:val="mk-MK"/>
        </w:rPr>
        <w:t>ен пазарен удел кој се движи од 53,71% до 52,04%.</w:t>
      </w:r>
    </w:p>
    <w:p w:rsidR="00DD2A27" w:rsidRPr="006A6B55" w:rsidRDefault="004F6AEF" w:rsidP="006A6B55">
      <w:pPr>
        <w:jc w:val="left"/>
        <w:rPr>
          <w:rFonts w:ascii="StobiSerif Regular" w:hAnsi="StobiSerif Regular"/>
          <w:lang w:val="mk-MK"/>
        </w:rPr>
      </w:pPr>
      <w:r>
        <w:rPr>
          <w:rFonts w:ascii="StobiSerif Regular" w:hAnsi="StobiSerif Regular"/>
          <w:lang w:val="mk-MK"/>
        </w:rPr>
        <w:br w:type="page"/>
      </w:r>
    </w:p>
    <w:p w:rsidR="00E37EDE" w:rsidRPr="000E592B" w:rsidRDefault="0084417C" w:rsidP="0084417C">
      <w:pPr>
        <w:pStyle w:val="Heading1"/>
        <w:rPr>
          <w:color w:val="244061" w:themeColor="accent1" w:themeShade="80"/>
          <w:lang w:val="mk-MK"/>
        </w:rPr>
      </w:pPr>
      <w:bookmarkStart w:id="26" w:name="_Toc327269929"/>
      <w:r>
        <w:rPr>
          <w:color w:val="244061" w:themeColor="accent1" w:themeShade="80"/>
          <w:lang w:val="mk-MK"/>
        </w:rPr>
        <w:lastRenderedPageBreak/>
        <w:t xml:space="preserve">3.3 </w:t>
      </w:r>
      <w:r w:rsidR="00E37EDE" w:rsidRPr="000E592B">
        <w:rPr>
          <w:color w:val="244061" w:themeColor="accent1" w:themeShade="80"/>
          <w:lang w:val="mk-MK"/>
        </w:rPr>
        <w:t>Видови претплатници</w:t>
      </w:r>
      <w:bookmarkEnd w:id="26"/>
    </w:p>
    <w:p w:rsidR="00E37EDE" w:rsidRPr="00E37EDE" w:rsidRDefault="00E37EDE" w:rsidP="00E37EDE">
      <w:pPr>
        <w:pStyle w:val="ListParagraph"/>
        <w:ind w:left="748"/>
        <w:rPr>
          <w:lang w:val="mk-MK"/>
        </w:rPr>
      </w:pPr>
    </w:p>
    <w:p w:rsidR="00C43340" w:rsidRDefault="00DD2A27" w:rsidP="00DD2A27">
      <w:pPr>
        <w:jc w:val="center"/>
        <w:rPr>
          <w:lang w:val="mk-MK"/>
        </w:rPr>
      </w:pPr>
      <w:r>
        <w:rPr>
          <w:noProof/>
          <w:lang w:val="mk-MK" w:eastAsia="mk-MK" w:bidi="ar-SA"/>
        </w:rPr>
        <w:drawing>
          <wp:inline distT="0" distB="0" distL="0" distR="0">
            <wp:extent cx="5743796" cy="3200400"/>
            <wp:effectExtent l="19050" t="0" r="28354"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02FD" w:rsidRPr="000E592B" w:rsidRDefault="002B02FD" w:rsidP="002B02FD">
      <w:pPr>
        <w:pStyle w:val="Caption"/>
        <w:keepNext/>
        <w:rPr>
          <w:color w:val="244061" w:themeColor="accent1" w:themeShade="80"/>
        </w:rPr>
      </w:pPr>
      <w:bookmarkStart w:id="27" w:name="_Toc327269949"/>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13</w:t>
      </w:r>
      <w:r w:rsidR="001E0707" w:rsidRPr="002B02FD">
        <w:rPr>
          <w:color w:val="244061" w:themeColor="accent1" w:themeShade="80"/>
        </w:rPr>
        <w:fldChar w:fldCharType="end"/>
      </w:r>
      <w:r w:rsidRPr="002B02FD">
        <w:rPr>
          <w:color w:val="244061" w:themeColor="accent1" w:themeShade="80"/>
          <w:lang w:val="mk-MK"/>
        </w:rPr>
        <w:t xml:space="preserve"> Сооднос</w:t>
      </w:r>
      <w:r w:rsidRPr="000E592B">
        <w:rPr>
          <w:color w:val="244061" w:themeColor="accent1" w:themeShade="80"/>
          <w:lang w:val="mk-MK"/>
        </w:rPr>
        <w:t xml:space="preserve"> на при-пеид и пост-пеид претплатници по квартали</w:t>
      </w:r>
      <w:r w:rsidRPr="000E592B">
        <w:rPr>
          <w:color w:val="244061" w:themeColor="accent1" w:themeShade="80"/>
        </w:rPr>
        <w:t xml:space="preserve"> </w:t>
      </w:r>
      <w:r w:rsidR="0084663B">
        <w:rPr>
          <w:color w:val="244061" w:themeColor="accent1" w:themeShade="80"/>
          <w:lang w:val="mk-MK"/>
        </w:rPr>
        <w:t>во 2011</w:t>
      </w:r>
      <w:r w:rsidRPr="000E592B">
        <w:rPr>
          <w:color w:val="244061" w:themeColor="accent1" w:themeShade="80"/>
          <w:lang w:val="mk-MK"/>
        </w:rPr>
        <w:t xml:space="preserve"> година</w:t>
      </w:r>
      <w:bookmarkEnd w:id="27"/>
    </w:p>
    <w:p w:rsidR="002B02FD" w:rsidRDefault="002B02FD" w:rsidP="000A7A61">
      <w:pPr>
        <w:rPr>
          <w:b/>
          <w:bCs/>
          <w:szCs w:val="18"/>
          <w:lang w:val="mk-MK"/>
        </w:rPr>
      </w:pPr>
    </w:p>
    <w:p w:rsidR="000A7A61" w:rsidRPr="00E37EDE" w:rsidRDefault="000A7A61" w:rsidP="000A7A61">
      <w:pPr>
        <w:rPr>
          <w:lang w:val="mk-MK"/>
        </w:rPr>
      </w:pPr>
      <w:r w:rsidRPr="00A05423">
        <w:rPr>
          <w:lang w:val="mk-MK"/>
        </w:rPr>
        <w:t xml:space="preserve">Во </w:t>
      </w:r>
      <w:r w:rsidRPr="00F10D74">
        <w:rPr>
          <w:lang w:val="mk-MK"/>
        </w:rPr>
        <w:t xml:space="preserve">графиконот </w:t>
      </w:r>
      <w:r w:rsidR="002B02FD">
        <w:rPr>
          <w:lang w:val="mk-MK"/>
        </w:rPr>
        <w:t>бр.13</w:t>
      </w:r>
      <w:r w:rsidRPr="00F10D74">
        <w:rPr>
          <w:lang w:val="mk-MK"/>
        </w:rPr>
        <w:t xml:space="preserve"> е</w:t>
      </w:r>
      <w:r w:rsidRPr="00A05423">
        <w:rPr>
          <w:lang w:val="mk-MK"/>
        </w:rPr>
        <w:t xml:space="preserve"> претставен соодносот на при-пеид и пост-пеид претплатниците</w:t>
      </w:r>
      <w:r w:rsidRPr="000A7A61">
        <w:rPr>
          <w:lang w:val="mk-MK"/>
        </w:rPr>
        <w:t xml:space="preserve"> </w:t>
      </w:r>
      <w:r w:rsidR="0084663B">
        <w:rPr>
          <w:lang w:val="mk-MK"/>
        </w:rPr>
        <w:t>во текот на 2011</w:t>
      </w:r>
      <w:r w:rsidRPr="00E37EDE">
        <w:rPr>
          <w:lang w:val="mk-MK"/>
        </w:rPr>
        <w:t xml:space="preserve"> година по квартали</w:t>
      </w:r>
      <w:r w:rsidRPr="00A05423">
        <w:rPr>
          <w:lang w:val="mk-MK"/>
        </w:rPr>
        <w:t>. Од самиот графикон може да се забележи дека</w:t>
      </w:r>
      <w:r>
        <w:rPr>
          <w:lang w:val="mk-MK"/>
        </w:rPr>
        <w:t xml:space="preserve"> со иск</w:t>
      </w:r>
      <w:r w:rsidR="0084663B">
        <w:rPr>
          <w:lang w:val="mk-MK"/>
        </w:rPr>
        <w:t>лучок на третиот квартал од 2011</w:t>
      </w:r>
      <w:r>
        <w:rPr>
          <w:lang w:val="mk-MK"/>
        </w:rPr>
        <w:t xml:space="preserve"> година</w:t>
      </w:r>
      <w:r w:rsidRPr="00A05423">
        <w:rPr>
          <w:lang w:val="mk-MK"/>
        </w:rPr>
        <w:t xml:space="preserve"> бројот на при-пеид претплатниците константно се намалува </w:t>
      </w:r>
      <w:r>
        <w:rPr>
          <w:lang w:val="mk-MK"/>
        </w:rPr>
        <w:t>а а</w:t>
      </w:r>
      <w:r w:rsidRPr="00A05423">
        <w:rPr>
          <w:lang w:val="mk-MK"/>
        </w:rPr>
        <w:t xml:space="preserve">налогно на </w:t>
      </w:r>
      <w:r>
        <w:rPr>
          <w:lang w:val="mk-MK"/>
        </w:rPr>
        <w:t xml:space="preserve">ова </w:t>
      </w:r>
      <w:r w:rsidRPr="00A05423">
        <w:rPr>
          <w:lang w:val="mk-MK"/>
        </w:rPr>
        <w:t>се забележува константен раст на пост-пеид претплат</w:t>
      </w:r>
      <w:r>
        <w:rPr>
          <w:lang w:val="mk-MK"/>
        </w:rPr>
        <w:t>ниците.Спо</w:t>
      </w:r>
      <w:r w:rsidR="0084663B">
        <w:rPr>
          <w:lang w:val="mk-MK"/>
        </w:rPr>
        <w:t>редено со првиот квартал од 2011</w:t>
      </w:r>
      <w:r>
        <w:rPr>
          <w:lang w:val="mk-MK"/>
        </w:rPr>
        <w:t xml:space="preserve"> година уделот на пост-пеид претплатниците во четвртиот квартал од истата година е зголемен </w:t>
      </w:r>
      <w:r w:rsidR="0084663B">
        <w:rPr>
          <w:lang w:val="mk-MK"/>
        </w:rPr>
        <w:t>за 0,59</w:t>
      </w:r>
      <w:r w:rsidRPr="000A7A61">
        <w:rPr>
          <w:color w:val="FF0000"/>
          <w:lang w:val="mk-MK"/>
        </w:rPr>
        <w:t xml:space="preserve"> </w:t>
      </w:r>
      <w:r w:rsidR="0084663B">
        <w:rPr>
          <w:lang w:val="mk-MK"/>
        </w:rPr>
        <w:t>процентуални поени.</w:t>
      </w:r>
    </w:p>
    <w:p w:rsidR="000A7A61" w:rsidRPr="00E37EDE" w:rsidRDefault="000A7A61" w:rsidP="00F232C8">
      <w:pPr>
        <w:rPr>
          <w:lang w:val="mk-MK"/>
        </w:rPr>
      </w:pPr>
    </w:p>
    <w:p w:rsidR="00C43340" w:rsidRPr="00967C29" w:rsidRDefault="00C43340" w:rsidP="00967C29">
      <w:pPr>
        <w:pStyle w:val="Caption"/>
        <w:rPr>
          <w:lang w:val="mk-MK"/>
        </w:rPr>
      </w:pPr>
    </w:p>
    <w:p w:rsidR="00C43340" w:rsidRPr="00C43340" w:rsidRDefault="00C43340" w:rsidP="00C43340">
      <w:pPr>
        <w:rPr>
          <w:lang w:val="mk-MK"/>
        </w:rPr>
      </w:pPr>
    </w:p>
    <w:p w:rsidR="00C43340" w:rsidRPr="00C43340" w:rsidRDefault="00C43340" w:rsidP="00C43340">
      <w:pPr>
        <w:rPr>
          <w:lang w:val="mk-MK"/>
        </w:rPr>
      </w:pPr>
    </w:p>
    <w:p w:rsidR="00C43340" w:rsidRPr="00C43340" w:rsidRDefault="00C43340" w:rsidP="00C43340">
      <w:pPr>
        <w:rPr>
          <w:lang w:val="mk-MK"/>
        </w:rPr>
      </w:pPr>
    </w:p>
    <w:p w:rsidR="00976AEA" w:rsidRDefault="00976AEA" w:rsidP="00CE53EB">
      <w:pPr>
        <w:rPr>
          <w:lang w:val="mk-MK"/>
        </w:rPr>
      </w:pPr>
    </w:p>
    <w:p w:rsidR="002F43EE" w:rsidRPr="00D1275D" w:rsidRDefault="002F43EE" w:rsidP="00CE53EB"/>
    <w:p w:rsidR="002F43EE" w:rsidRPr="000E592B" w:rsidRDefault="0084417C" w:rsidP="002F43EE">
      <w:pPr>
        <w:pStyle w:val="Heading1"/>
        <w:rPr>
          <w:color w:val="244061" w:themeColor="accent1" w:themeShade="80"/>
          <w:lang w:val="mk-MK"/>
        </w:rPr>
      </w:pPr>
      <w:bookmarkStart w:id="28" w:name="_Toc327269930"/>
      <w:r>
        <w:rPr>
          <w:color w:val="244061" w:themeColor="accent1" w:themeShade="80"/>
          <w:lang w:val="mk-MK"/>
        </w:rPr>
        <w:t>3</w:t>
      </w:r>
      <w:r w:rsidR="002F43EE" w:rsidRPr="000E592B">
        <w:rPr>
          <w:color w:val="244061" w:themeColor="accent1" w:themeShade="80"/>
          <w:lang w:val="mk-MK"/>
        </w:rPr>
        <w:t>.4 Вкупен појдовен телефонски сообраќај</w:t>
      </w:r>
      <w:bookmarkEnd w:id="28"/>
    </w:p>
    <w:p w:rsidR="007B2464" w:rsidRDefault="007B2464" w:rsidP="00C43340">
      <w:pPr>
        <w:jc w:val="center"/>
        <w:rPr>
          <w:lang w:val="mk-MK"/>
        </w:rPr>
      </w:pPr>
      <w:r>
        <w:rPr>
          <w:noProof/>
          <w:lang w:val="mk-MK" w:eastAsia="mk-MK" w:bidi="ar-SA"/>
        </w:rPr>
        <w:lastRenderedPageBreak/>
        <w:drawing>
          <wp:inline distT="0" distB="0" distL="0" distR="0">
            <wp:extent cx="6019800" cy="5181600"/>
            <wp:effectExtent l="19050" t="0" r="190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E53EB" w:rsidRPr="000E592B" w:rsidRDefault="002B02FD" w:rsidP="009611F6">
      <w:pPr>
        <w:pStyle w:val="Caption"/>
        <w:jc w:val="center"/>
        <w:rPr>
          <w:color w:val="244061" w:themeColor="accent1" w:themeShade="80"/>
          <w:lang w:val="mk-MK"/>
        </w:rPr>
      </w:pPr>
      <w:bookmarkStart w:id="29" w:name="_Toc327269950"/>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14</w:t>
      </w:r>
      <w:r w:rsidR="001E0707" w:rsidRPr="002B02FD">
        <w:rPr>
          <w:color w:val="244061" w:themeColor="accent1" w:themeShade="80"/>
        </w:rPr>
        <w:fldChar w:fldCharType="end"/>
      </w:r>
      <w:r w:rsidRPr="002B02FD">
        <w:rPr>
          <w:color w:val="244061" w:themeColor="accent1" w:themeShade="80"/>
          <w:lang w:val="mk-MK"/>
        </w:rPr>
        <w:t xml:space="preserve"> Обем</w:t>
      </w:r>
      <w:r w:rsidRPr="000E592B">
        <w:rPr>
          <w:color w:val="244061" w:themeColor="accent1" w:themeShade="80"/>
          <w:lang w:val="mk-MK"/>
        </w:rPr>
        <w:t xml:space="preserve"> на реализиран појдовен сообраќај (во илјади минути) инициран од јавни мобилни мрежи по квартали во 20</w:t>
      </w:r>
      <w:r w:rsidR="00E42434">
        <w:rPr>
          <w:color w:val="244061" w:themeColor="accent1" w:themeShade="80"/>
        </w:rPr>
        <w:t>1</w:t>
      </w:r>
      <w:r w:rsidR="00E42434">
        <w:rPr>
          <w:color w:val="244061" w:themeColor="accent1" w:themeShade="80"/>
          <w:lang w:val="mk-MK"/>
        </w:rPr>
        <w:t>1</w:t>
      </w:r>
      <w:r w:rsidRPr="000E592B">
        <w:rPr>
          <w:color w:val="244061" w:themeColor="accent1" w:themeShade="80"/>
          <w:lang w:val="mk-MK"/>
        </w:rPr>
        <w:t xml:space="preserve"> година</w:t>
      </w:r>
      <w:bookmarkEnd w:id="29"/>
    </w:p>
    <w:p w:rsidR="00CB5435" w:rsidRDefault="00CB5435" w:rsidP="008561C1">
      <w:pPr>
        <w:rPr>
          <w:lang w:val="mk-MK"/>
        </w:rPr>
      </w:pPr>
    </w:p>
    <w:p w:rsidR="00627E01" w:rsidRPr="002F43EE" w:rsidRDefault="00C96916" w:rsidP="008561C1">
      <w:pPr>
        <w:rPr>
          <w:lang w:val="mk-MK"/>
        </w:rPr>
      </w:pPr>
      <w:r w:rsidRPr="002F43EE">
        <w:rPr>
          <w:lang w:val="mk-MK"/>
        </w:rPr>
        <w:t>Во г</w:t>
      </w:r>
      <w:r w:rsidRPr="002F43EE">
        <w:t>рафикон</w:t>
      </w:r>
      <w:r w:rsidR="002F43EE" w:rsidRPr="002F43EE">
        <w:rPr>
          <w:lang w:val="mk-MK"/>
        </w:rPr>
        <w:t>от</w:t>
      </w:r>
      <w:r w:rsidRPr="002F43EE">
        <w:t xml:space="preserve"> </w:t>
      </w:r>
      <w:r w:rsidR="002B02FD">
        <w:rPr>
          <w:lang w:val="mk-MK"/>
        </w:rPr>
        <w:t>бр.14</w:t>
      </w:r>
      <w:r w:rsidRPr="002F43EE">
        <w:rPr>
          <w:lang w:val="mk-MK"/>
        </w:rPr>
        <w:t xml:space="preserve"> е даден обемот н</w:t>
      </w:r>
      <w:r w:rsidR="00112ED6">
        <w:rPr>
          <w:lang w:val="mk-MK"/>
        </w:rPr>
        <w:t>а реализиран појдовен сообраќај</w:t>
      </w:r>
      <w:r w:rsidRPr="002F43EE">
        <w:rPr>
          <w:lang w:val="mk-MK"/>
        </w:rPr>
        <w:t xml:space="preserve"> (во илјади минути)  инициран од јавни м</w:t>
      </w:r>
      <w:r w:rsidR="003C7886">
        <w:rPr>
          <w:lang w:val="mk-MK"/>
        </w:rPr>
        <w:t>обилни мрежи по квартали во 20</w:t>
      </w:r>
      <w:r w:rsidR="00E42434">
        <w:t>1</w:t>
      </w:r>
      <w:r w:rsidR="00E42434">
        <w:rPr>
          <w:lang w:val="mk-MK"/>
        </w:rPr>
        <w:t>1</w:t>
      </w:r>
      <w:r w:rsidRPr="002F43EE">
        <w:rPr>
          <w:lang w:val="mk-MK"/>
        </w:rPr>
        <w:t xml:space="preserve"> година.</w:t>
      </w:r>
      <w:r w:rsidR="002F43EE" w:rsidRPr="002F43EE">
        <w:rPr>
          <w:lang w:val="mk-MK"/>
        </w:rPr>
        <w:t xml:space="preserve"> </w:t>
      </w:r>
      <w:r w:rsidRPr="002F43EE">
        <w:rPr>
          <w:lang w:val="mk-MK"/>
        </w:rPr>
        <w:t>Од г</w:t>
      </w:r>
      <w:r w:rsidR="002F43EE" w:rsidRPr="002F43EE">
        <w:rPr>
          <w:lang w:val="mk-MK"/>
        </w:rPr>
        <w:t>ра</w:t>
      </w:r>
      <w:r w:rsidRPr="002F43EE">
        <w:rPr>
          <w:lang w:val="mk-MK"/>
        </w:rPr>
        <w:t xml:space="preserve">фиконот може да се забележи </w:t>
      </w:r>
      <w:r w:rsidR="00B852E4" w:rsidRPr="002F43EE">
        <w:rPr>
          <w:lang w:val="mk-MK"/>
        </w:rPr>
        <w:t>значително поголем</w:t>
      </w:r>
      <w:r w:rsidRPr="002F43EE">
        <w:rPr>
          <w:lang w:val="mk-MK"/>
        </w:rPr>
        <w:t xml:space="preserve"> </w:t>
      </w:r>
      <w:r w:rsidR="00B852E4" w:rsidRPr="002F43EE">
        <w:rPr>
          <w:lang w:val="mk-MK"/>
        </w:rPr>
        <w:t xml:space="preserve">обем на </w:t>
      </w:r>
      <w:r w:rsidRPr="002F43EE">
        <w:rPr>
          <w:lang w:val="mk-MK"/>
        </w:rPr>
        <w:t>појдов</w:t>
      </w:r>
      <w:r w:rsidR="00B852E4" w:rsidRPr="002F43EE">
        <w:rPr>
          <w:lang w:val="mk-MK"/>
        </w:rPr>
        <w:t>е</w:t>
      </w:r>
      <w:r w:rsidRPr="002F43EE">
        <w:rPr>
          <w:lang w:val="mk-MK"/>
        </w:rPr>
        <w:t xml:space="preserve">н сообраќајот во сопствена мрежа </w:t>
      </w:r>
      <w:r w:rsidR="00B852E4" w:rsidRPr="002F43EE">
        <w:rPr>
          <w:lang w:val="mk-MK"/>
        </w:rPr>
        <w:t>отколку</w:t>
      </w:r>
      <w:r w:rsidRPr="002F43EE">
        <w:rPr>
          <w:lang w:val="mk-MK"/>
        </w:rPr>
        <w:t xml:space="preserve"> кон други мобилни мрежи</w:t>
      </w:r>
      <w:r w:rsidR="002F43EE" w:rsidRPr="002F43EE">
        <w:rPr>
          <w:lang w:val="mk-MK"/>
        </w:rPr>
        <w:t xml:space="preserve">. </w:t>
      </w:r>
      <w:r w:rsidR="005F4094" w:rsidRPr="002F43EE">
        <w:rPr>
          <w:lang w:val="mk-MK"/>
        </w:rPr>
        <w:t>Меѓутоа</w:t>
      </w:r>
      <w:r w:rsidR="004E1DBC" w:rsidRPr="002F43EE">
        <w:rPr>
          <w:lang w:val="mk-MK"/>
        </w:rPr>
        <w:t xml:space="preserve"> може да се забележи раст </w:t>
      </w:r>
      <w:r w:rsidR="002E1EFB">
        <w:rPr>
          <w:lang w:val="mk-MK"/>
        </w:rPr>
        <w:t xml:space="preserve">(со исклучок на четвртиот квартал) </w:t>
      </w:r>
      <w:r w:rsidR="004E1DBC" w:rsidRPr="002F43EE">
        <w:rPr>
          <w:lang w:val="mk-MK"/>
        </w:rPr>
        <w:t xml:space="preserve">на </w:t>
      </w:r>
      <w:r w:rsidR="002F43EE" w:rsidRPr="002F43EE">
        <w:rPr>
          <w:lang w:val="mk-MK"/>
        </w:rPr>
        <w:t xml:space="preserve">реализираниот </w:t>
      </w:r>
      <w:r w:rsidR="004E1DBC" w:rsidRPr="002F43EE">
        <w:rPr>
          <w:lang w:val="mk-MK"/>
        </w:rPr>
        <w:t>појдов</w:t>
      </w:r>
      <w:r w:rsidR="002F43EE" w:rsidRPr="002F43EE">
        <w:rPr>
          <w:lang w:val="mk-MK"/>
        </w:rPr>
        <w:t>ен</w:t>
      </w:r>
      <w:r w:rsidR="004E1DBC" w:rsidRPr="002F43EE">
        <w:rPr>
          <w:lang w:val="mk-MK"/>
        </w:rPr>
        <w:t xml:space="preserve"> </w:t>
      </w:r>
      <w:r w:rsidR="002F43EE" w:rsidRPr="002F43EE">
        <w:rPr>
          <w:lang w:val="mk-MK"/>
        </w:rPr>
        <w:t>сообраќај</w:t>
      </w:r>
      <w:r w:rsidR="004E1DBC" w:rsidRPr="002F43EE">
        <w:rPr>
          <w:lang w:val="mk-MK"/>
        </w:rPr>
        <w:t xml:space="preserve"> кон друг</w:t>
      </w:r>
      <w:r w:rsidR="003C7886">
        <w:rPr>
          <w:lang w:val="mk-MK"/>
        </w:rPr>
        <w:t>и мобилни мрежи во текот на 20</w:t>
      </w:r>
      <w:r w:rsidR="002E1EFB">
        <w:t>1</w:t>
      </w:r>
      <w:r w:rsidR="002E1EFB">
        <w:rPr>
          <w:lang w:val="mk-MK"/>
        </w:rPr>
        <w:t>1</w:t>
      </w:r>
      <w:r w:rsidR="004E1DBC" w:rsidRPr="002F43EE">
        <w:rPr>
          <w:lang w:val="mk-MK"/>
        </w:rPr>
        <w:t xml:space="preserve"> година </w:t>
      </w:r>
      <w:r w:rsidR="00627E01" w:rsidRPr="002F43EE">
        <w:rPr>
          <w:lang w:val="mk-MK"/>
        </w:rPr>
        <w:t>ш</w:t>
      </w:r>
      <w:r w:rsidR="004E1DBC" w:rsidRPr="002F43EE">
        <w:rPr>
          <w:lang w:val="mk-MK"/>
        </w:rPr>
        <w:t xml:space="preserve">то </w:t>
      </w:r>
      <w:r w:rsidR="00627E01" w:rsidRPr="002F43EE">
        <w:rPr>
          <w:lang w:val="mk-MK"/>
        </w:rPr>
        <w:t>пре</w:t>
      </w:r>
      <w:r w:rsidR="009611F6">
        <w:rPr>
          <w:lang w:val="mk-MK"/>
        </w:rPr>
        <w:t>т</w:t>
      </w:r>
      <w:r w:rsidR="00627E01" w:rsidRPr="002F43EE">
        <w:rPr>
          <w:lang w:val="mk-MK"/>
        </w:rPr>
        <w:t xml:space="preserve">ставува показател </w:t>
      </w:r>
      <w:r w:rsidR="004E1DBC" w:rsidRPr="002F43EE">
        <w:rPr>
          <w:lang w:val="mk-MK"/>
        </w:rPr>
        <w:t xml:space="preserve">дека </w:t>
      </w:r>
      <w:r w:rsidR="002F43EE" w:rsidRPr="002F43EE">
        <w:rPr>
          <w:lang w:val="mk-MK"/>
        </w:rPr>
        <w:t>се</w:t>
      </w:r>
      <w:r w:rsidR="00627E01" w:rsidRPr="002F43EE">
        <w:rPr>
          <w:lang w:val="mk-MK"/>
        </w:rPr>
        <w:t xml:space="preserve"> зголемува конкурентноста на пазарот.</w:t>
      </w:r>
      <w:r w:rsidR="002F43EE" w:rsidRPr="002F43EE">
        <w:rPr>
          <w:lang w:val="mk-MK"/>
        </w:rPr>
        <w:t xml:space="preserve"> </w:t>
      </w:r>
      <w:r w:rsidR="005F4094" w:rsidRPr="002F43EE">
        <w:rPr>
          <w:lang w:val="mk-MK"/>
        </w:rPr>
        <w:t>Појдовниот</w:t>
      </w:r>
      <w:r w:rsidR="00627E01" w:rsidRPr="002F43EE">
        <w:rPr>
          <w:rFonts w:cs="Arial"/>
          <w:lang w:val="mk-MK"/>
        </w:rPr>
        <w:t xml:space="preserve"> </w:t>
      </w:r>
      <w:r w:rsidR="005F4094" w:rsidRPr="002F43EE">
        <w:rPr>
          <w:rFonts w:cs="Arial"/>
          <w:lang w:val="mk-MK"/>
        </w:rPr>
        <w:t>сообраќај</w:t>
      </w:r>
      <w:r w:rsidR="00627E01" w:rsidRPr="002F43EE">
        <w:rPr>
          <w:rFonts w:cs="Arial"/>
          <w:lang w:val="mk-MK"/>
        </w:rPr>
        <w:t xml:space="preserve"> кон фиксни телеф</w:t>
      </w:r>
      <w:r w:rsidR="005F4094" w:rsidRPr="002F43EE">
        <w:rPr>
          <w:rFonts w:cs="Arial"/>
          <w:lang w:val="mk-MK"/>
        </w:rPr>
        <w:t xml:space="preserve">онски мрежи во РМ и </w:t>
      </w:r>
      <w:r w:rsidR="00627E01" w:rsidRPr="002F43EE">
        <w:rPr>
          <w:rFonts w:cs="Arial"/>
          <w:lang w:val="mk-MK"/>
        </w:rPr>
        <w:t>кон мрежи во странск</w:t>
      </w:r>
      <w:r w:rsidR="008D3BB6">
        <w:rPr>
          <w:rFonts w:cs="Arial"/>
          <w:lang w:val="mk-MK"/>
        </w:rPr>
        <w:t xml:space="preserve">и држави е со значително помал </w:t>
      </w:r>
      <w:r w:rsidR="005F4094" w:rsidRPr="002F43EE">
        <w:rPr>
          <w:rFonts w:cs="Arial"/>
          <w:lang w:val="mk-MK"/>
        </w:rPr>
        <w:t>обем</w:t>
      </w:r>
      <w:r w:rsidR="00627E01" w:rsidRPr="002F43EE">
        <w:rPr>
          <w:rFonts w:cs="Arial"/>
          <w:lang w:val="mk-MK"/>
        </w:rPr>
        <w:t>.</w:t>
      </w:r>
    </w:p>
    <w:p w:rsidR="00511BF0" w:rsidRPr="002F43EE" w:rsidRDefault="00511BF0" w:rsidP="0043125E">
      <w:pPr>
        <w:rPr>
          <w:lang w:val="mk-MK"/>
        </w:rPr>
      </w:pPr>
    </w:p>
    <w:p w:rsidR="00E57D4C" w:rsidRDefault="00E57D4C" w:rsidP="00E57D4C">
      <w:pPr>
        <w:rPr>
          <w:lang w:val="mk-MK"/>
        </w:rPr>
      </w:pPr>
    </w:p>
    <w:p w:rsidR="00C31D5A" w:rsidRPr="00C31D5A" w:rsidRDefault="003254DD" w:rsidP="00C31D5A">
      <w:pPr>
        <w:rPr>
          <w:lang w:val="mk-MK"/>
        </w:rPr>
      </w:pPr>
      <w:r>
        <w:rPr>
          <w:noProof/>
          <w:lang w:val="mk-MK" w:eastAsia="mk-MK" w:bidi="ar-SA"/>
        </w:rPr>
        <w:lastRenderedPageBreak/>
        <w:drawing>
          <wp:inline distT="0" distB="0" distL="0" distR="0">
            <wp:extent cx="6583768" cy="3200400"/>
            <wp:effectExtent l="19050" t="0" r="26582"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57C4" w:rsidRPr="002B02FD" w:rsidRDefault="002B02FD" w:rsidP="002B02FD">
      <w:pPr>
        <w:pStyle w:val="Caption"/>
        <w:jc w:val="center"/>
        <w:rPr>
          <w:color w:val="244061" w:themeColor="accent1" w:themeShade="80"/>
          <w:lang w:val="mk-MK"/>
        </w:rPr>
      </w:pPr>
      <w:bookmarkStart w:id="30" w:name="_Toc327269951"/>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15</w:t>
      </w:r>
      <w:r w:rsidR="001E0707" w:rsidRPr="002B02FD">
        <w:rPr>
          <w:color w:val="244061" w:themeColor="accent1" w:themeShade="80"/>
        </w:rPr>
        <w:fldChar w:fldCharType="end"/>
      </w:r>
      <w:r w:rsidRPr="002B02FD">
        <w:rPr>
          <w:color w:val="244061" w:themeColor="accent1" w:themeShade="80"/>
          <w:lang w:val="mk-MK"/>
        </w:rPr>
        <w:t xml:space="preserve"> Удел по обем на реализиран појдовен со</w:t>
      </w:r>
      <w:r w:rsidR="002E1EFB">
        <w:rPr>
          <w:color w:val="244061" w:themeColor="accent1" w:themeShade="80"/>
          <w:lang w:val="mk-MK"/>
        </w:rPr>
        <w:t>обраќај (%) (состојба 31.12.2011 година и 31.12.2010</w:t>
      </w:r>
      <w:r w:rsidRPr="002B02FD">
        <w:rPr>
          <w:color w:val="244061" w:themeColor="accent1" w:themeShade="80"/>
          <w:lang w:val="mk-MK"/>
        </w:rPr>
        <w:t xml:space="preserve"> година</w:t>
      </w:r>
      <w:r w:rsidR="002E1EFB">
        <w:rPr>
          <w:color w:val="244061" w:themeColor="accent1" w:themeShade="80"/>
          <w:lang w:val="mk-MK"/>
        </w:rPr>
        <w:t>)</w:t>
      </w:r>
      <w:bookmarkEnd w:id="30"/>
    </w:p>
    <w:p w:rsidR="00C31D5A" w:rsidRPr="00C31D5A" w:rsidRDefault="00C31D5A" w:rsidP="00C31D5A">
      <w:pPr>
        <w:rPr>
          <w:lang w:val="mk-MK"/>
        </w:rPr>
      </w:pPr>
    </w:p>
    <w:p w:rsidR="003059F6" w:rsidRDefault="00E5772D" w:rsidP="00E5772D">
      <w:pPr>
        <w:rPr>
          <w:lang w:val="mk-MK"/>
        </w:rPr>
      </w:pPr>
      <w:r w:rsidRPr="002F43EE">
        <w:rPr>
          <w:lang w:val="mk-MK"/>
        </w:rPr>
        <w:t xml:space="preserve">Во </w:t>
      </w:r>
      <w:r w:rsidRPr="004658FB">
        <w:rPr>
          <w:lang w:val="mk-MK"/>
        </w:rPr>
        <w:t>г</w:t>
      </w:r>
      <w:r w:rsidRPr="004658FB">
        <w:t>рафикон</w:t>
      </w:r>
      <w:r w:rsidRPr="004658FB">
        <w:rPr>
          <w:lang w:val="mk-MK"/>
        </w:rPr>
        <w:t xml:space="preserve">от </w:t>
      </w:r>
      <w:r w:rsidR="002B02FD">
        <w:rPr>
          <w:lang w:val="mk-MK"/>
        </w:rPr>
        <w:t>бр.15</w:t>
      </w:r>
      <w:r w:rsidRPr="002F43EE">
        <w:rPr>
          <w:lang w:val="mk-MK"/>
        </w:rPr>
        <w:t xml:space="preserve"> е даден </w:t>
      </w:r>
      <w:r>
        <w:rPr>
          <w:lang w:val="mk-MK"/>
        </w:rPr>
        <w:t>уделот</w:t>
      </w:r>
      <w:r w:rsidRPr="002F43EE">
        <w:rPr>
          <w:lang w:val="mk-MK"/>
        </w:rPr>
        <w:t xml:space="preserve"> на реализиран</w:t>
      </w:r>
      <w:r>
        <w:rPr>
          <w:lang w:val="mk-MK"/>
        </w:rPr>
        <w:t>иот</w:t>
      </w:r>
      <w:r w:rsidRPr="002F43EE">
        <w:rPr>
          <w:lang w:val="mk-MK"/>
        </w:rPr>
        <w:t xml:space="preserve"> појдовен сообраќај  (</w:t>
      </w:r>
      <w:r>
        <w:rPr>
          <w:lang w:val="mk-MK"/>
        </w:rPr>
        <w:t>%</w:t>
      </w:r>
      <w:r w:rsidRPr="002F43EE">
        <w:rPr>
          <w:lang w:val="mk-MK"/>
        </w:rPr>
        <w:t>)  иницира</w:t>
      </w:r>
      <w:r>
        <w:rPr>
          <w:lang w:val="mk-MK"/>
        </w:rPr>
        <w:t>н од јавни мобилни мрежи во 20</w:t>
      </w:r>
      <w:r w:rsidR="003059F6">
        <w:t>1</w:t>
      </w:r>
      <w:r w:rsidR="003059F6">
        <w:rPr>
          <w:lang w:val="mk-MK"/>
        </w:rPr>
        <w:t>1</w:t>
      </w:r>
      <w:r w:rsidRPr="002F43EE">
        <w:rPr>
          <w:lang w:val="mk-MK"/>
        </w:rPr>
        <w:t xml:space="preserve"> година</w:t>
      </w:r>
      <w:r>
        <w:t xml:space="preserve"> </w:t>
      </w:r>
      <w:r w:rsidR="003059F6">
        <w:rPr>
          <w:lang w:val="mk-MK"/>
        </w:rPr>
        <w:t>и 2010</w:t>
      </w:r>
      <w:r>
        <w:rPr>
          <w:lang w:val="mk-MK"/>
        </w:rPr>
        <w:t xml:space="preserve"> година</w:t>
      </w:r>
      <w:r w:rsidRPr="002F43EE">
        <w:rPr>
          <w:lang w:val="mk-MK"/>
        </w:rPr>
        <w:t xml:space="preserve">. Од графиконот може да се забележи </w:t>
      </w:r>
      <w:r>
        <w:rPr>
          <w:lang w:val="mk-MK"/>
        </w:rPr>
        <w:t>дека и во двете години најголем процент отпаѓа на вкупниот инициран сообраќај кој завршува во сопствена мрежа</w:t>
      </w:r>
      <w:r w:rsidR="003059F6">
        <w:rPr>
          <w:lang w:val="mk-MK"/>
        </w:rPr>
        <w:t xml:space="preserve"> и</w:t>
      </w:r>
      <w:r>
        <w:rPr>
          <w:lang w:val="mk-MK"/>
        </w:rPr>
        <w:t xml:space="preserve"> овој сообраќај</w:t>
      </w:r>
      <w:r w:rsidR="003059F6">
        <w:rPr>
          <w:lang w:val="mk-MK"/>
        </w:rPr>
        <w:t xml:space="preserve"> во 2011</w:t>
      </w:r>
      <w:r w:rsidR="00723398">
        <w:rPr>
          <w:lang w:val="mk-MK"/>
        </w:rPr>
        <w:t xml:space="preserve"> година</w:t>
      </w:r>
      <w:r w:rsidR="003059F6">
        <w:rPr>
          <w:lang w:val="mk-MK"/>
        </w:rPr>
        <w:t xml:space="preserve"> се зголемил</w:t>
      </w:r>
      <w:r>
        <w:rPr>
          <w:lang w:val="mk-MK"/>
        </w:rPr>
        <w:t xml:space="preserve"> во однос на претходната година</w:t>
      </w:r>
      <w:r w:rsidR="003059F6">
        <w:rPr>
          <w:lang w:val="mk-MK"/>
        </w:rPr>
        <w:t xml:space="preserve"> за 0,75</w:t>
      </w:r>
      <w:r w:rsidR="00723398">
        <w:rPr>
          <w:lang w:val="mk-MK"/>
        </w:rPr>
        <w:t xml:space="preserve"> процентуални поени</w:t>
      </w:r>
      <w:r>
        <w:rPr>
          <w:lang w:val="mk-MK"/>
        </w:rPr>
        <w:t xml:space="preserve">, додека </w:t>
      </w:r>
      <w:r w:rsidR="00723398">
        <w:rPr>
          <w:lang w:val="mk-MK"/>
        </w:rPr>
        <w:t xml:space="preserve">уделот на </w:t>
      </w:r>
      <w:r>
        <w:rPr>
          <w:lang w:val="mk-MK"/>
        </w:rPr>
        <w:t xml:space="preserve">вкупниот појдовен сообраќај кој завршува во други мобилни мрежи во </w:t>
      </w:r>
      <w:r w:rsidR="003059F6">
        <w:rPr>
          <w:lang w:val="mk-MK"/>
        </w:rPr>
        <w:t xml:space="preserve">РМ во </w:t>
      </w:r>
      <w:r w:rsidR="005E57C4">
        <w:rPr>
          <w:lang w:val="mk-MK"/>
        </w:rPr>
        <w:t>фиксни мрежи во</w:t>
      </w:r>
      <w:r w:rsidR="00293636">
        <w:rPr>
          <w:lang w:val="mk-MK"/>
        </w:rPr>
        <w:t xml:space="preserve"> РМ и мрежи во странски држави </w:t>
      </w:r>
      <w:r w:rsidR="003059F6">
        <w:rPr>
          <w:lang w:val="mk-MK"/>
        </w:rPr>
        <w:t>е значително помал и во споредба со претходната година незначително се намалува.</w:t>
      </w:r>
      <w:r w:rsidR="00A94D57">
        <w:rPr>
          <w:lang w:val="mk-MK"/>
        </w:rPr>
        <w:t xml:space="preserve"> </w:t>
      </w:r>
    </w:p>
    <w:p w:rsidR="003059F6" w:rsidRDefault="003059F6" w:rsidP="00E5772D">
      <w:pPr>
        <w:rPr>
          <w:lang w:val="mk-MK"/>
        </w:rPr>
      </w:pPr>
    </w:p>
    <w:p w:rsidR="00C31D5A" w:rsidRPr="00C31D5A" w:rsidRDefault="00C31D5A" w:rsidP="00C31D5A">
      <w:pPr>
        <w:rPr>
          <w:lang w:val="mk-MK"/>
        </w:rPr>
      </w:pPr>
    </w:p>
    <w:p w:rsidR="00C31D5A" w:rsidRPr="00E57D4C" w:rsidRDefault="00C31D5A" w:rsidP="0076782E">
      <w:pPr>
        <w:rPr>
          <w:lang w:val="mk-MK"/>
        </w:rPr>
      </w:pPr>
    </w:p>
    <w:p w:rsidR="007549ED" w:rsidRDefault="007549ED" w:rsidP="00C31D5A">
      <w:pPr>
        <w:jc w:val="center"/>
        <w:rPr>
          <w:lang w:val="mk-MK"/>
        </w:rPr>
      </w:pPr>
    </w:p>
    <w:p w:rsidR="00390135" w:rsidRDefault="00390135" w:rsidP="00390135">
      <w:pPr>
        <w:pStyle w:val="Default"/>
        <w:rPr>
          <w:rFonts w:ascii="StobiSerif Regular" w:hAnsi="StobiSerif Regular"/>
          <w:color w:val="auto"/>
          <w:lang w:val="mk-MK"/>
        </w:rPr>
      </w:pPr>
    </w:p>
    <w:p w:rsidR="007549ED" w:rsidRPr="007549ED" w:rsidRDefault="00946510" w:rsidP="009C06BD">
      <w:pPr>
        <w:jc w:val="center"/>
        <w:rPr>
          <w:lang w:val="mk-MK"/>
        </w:rPr>
      </w:pPr>
      <w:r>
        <w:rPr>
          <w:noProof/>
          <w:lang w:val="mk-MK" w:eastAsia="mk-MK" w:bidi="ar-SA"/>
        </w:rPr>
        <w:lastRenderedPageBreak/>
        <w:drawing>
          <wp:inline distT="0" distB="0" distL="0" distR="0">
            <wp:extent cx="5877738" cy="3535562"/>
            <wp:effectExtent l="19050" t="0" r="27762" b="7738"/>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87F82" w:rsidRPr="002B02FD" w:rsidRDefault="002B02FD" w:rsidP="002B02FD">
      <w:pPr>
        <w:pStyle w:val="Caption"/>
        <w:jc w:val="center"/>
        <w:rPr>
          <w:color w:val="244061" w:themeColor="accent1" w:themeShade="80"/>
          <w:szCs w:val="22"/>
          <w:lang w:val="mk-MK"/>
        </w:rPr>
      </w:pPr>
      <w:bookmarkStart w:id="31" w:name="_Toc327269952"/>
      <w:proofErr w:type="gramStart"/>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16</w:t>
      </w:r>
      <w:r w:rsidR="001E0707" w:rsidRPr="002B02FD">
        <w:rPr>
          <w:color w:val="244061" w:themeColor="accent1" w:themeShade="80"/>
        </w:rPr>
        <w:fldChar w:fldCharType="end"/>
      </w:r>
      <w:r w:rsidRPr="002B02FD">
        <w:rPr>
          <w:color w:val="244061" w:themeColor="accent1" w:themeShade="80"/>
          <w:szCs w:val="22"/>
          <w:lang w:val="mk-MK"/>
        </w:rPr>
        <w:t xml:space="preserve"> Просечен обем на појдовен сообраќај (во минути месечно) по претплатник инициран од јавна моби</w:t>
      </w:r>
      <w:r w:rsidR="00AE2AFD">
        <w:rPr>
          <w:color w:val="244061" w:themeColor="accent1" w:themeShade="80"/>
          <w:szCs w:val="22"/>
          <w:lang w:val="mk-MK"/>
        </w:rPr>
        <w:t>лна комуникациска мрежа за 2011 и 2010</w:t>
      </w:r>
      <w:r w:rsidRPr="002B02FD">
        <w:rPr>
          <w:color w:val="244061" w:themeColor="accent1" w:themeShade="80"/>
          <w:szCs w:val="22"/>
          <w:lang w:val="mk-MK"/>
        </w:rPr>
        <w:t xml:space="preserve"> година.</w:t>
      </w:r>
      <w:bookmarkEnd w:id="31"/>
      <w:proofErr w:type="gramEnd"/>
    </w:p>
    <w:p w:rsidR="00087F82" w:rsidRDefault="00087F82" w:rsidP="00087F82">
      <w:pPr>
        <w:pStyle w:val="Caption"/>
      </w:pPr>
    </w:p>
    <w:p w:rsidR="00E239C6" w:rsidRPr="00E57D4C" w:rsidRDefault="00E239C6" w:rsidP="00E239C6">
      <w:r w:rsidRPr="00E57D4C">
        <w:rPr>
          <w:lang w:val="mk-MK"/>
        </w:rPr>
        <w:t>Во г</w:t>
      </w:r>
      <w:r w:rsidRPr="00E57D4C">
        <w:t>рафикон</w:t>
      </w:r>
      <w:r w:rsidRPr="00E57D4C">
        <w:rPr>
          <w:lang w:val="mk-MK"/>
        </w:rPr>
        <w:t>от</w:t>
      </w:r>
      <w:r w:rsidRPr="00E57D4C">
        <w:t xml:space="preserve"> </w:t>
      </w:r>
      <w:r w:rsidR="002B02FD">
        <w:rPr>
          <w:lang w:val="mk-MK"/>
        </w:rPr>
        <w:t>бр.16</w:t>
      </w:r>
      <w:r w:rsidRPr="00E57D4C">
        <w:rPr>
          <w:lang w:val="mk-MK"/>
        </w:rPr>
        <w:t xml:space="preserve"> е даден просечниот обем на појдовен сообраќај (во минути месечно) по претплатник инициран од ја</w:t>
      </w:r>
      <w:r>
        <w:rPr>
          <w:lang w:val="mk-MK"/>
        </w:rPr>
        <w:t>вна мобилна комуникациска мрежа</w:t>
      </w:r>
      <w:r w:rsidRPr="00E57D4C">
        <w:rPr>
          <w:lang w:val="mk-MK"/>
        </w:rPr>
        <w:t xml:space="preserve"> </w:t>
      </w:r>
      <w:r w:rsidR="00AE2AFD">
        <w:rPr>
          <w:lang w:val="mk-MK"/>
        </w:rPr>
        <w:t>во 2011 и 2010</w:t>
      </w:r>
      <w:r w:rsidRPr="00E57D4C">
        <w:rPr>
          <w:lang w:val="mk-MK"/>
        </w:rPr>
        <w:t xml:space="preserve"> година.</w:t>
      </w:r>
      <w:r>
        <w:rPr>
          <w:lang w:val="mk-MK"/>
        </w:rPr>
        <w:t xml:space="preserve"> </w:t>
      </w:r>
      <w:r w:rsidRPr="00E57D4C">
        <w:rPr>
          <w:rFonts w:ascii="StobiSerif Regular" w:hAnsi="StobiSerif Regular"/>
          <w:lang w:val="mk-MK"/>
        </w:rPr>
        <w:t>Како што може</w:t>
      </w:r>
      <w:r>
        <w:rPr>
          <w:rFonts w:ascii="StobiSerif Regular" w:hAnsi="StobiSerif Regular"/>
          <w:lang w:val="mk-MK"/>
        </w:rPr>
        <w:t xml:space="preserve"> да с</w:t>
      </w:r>
      <w:r w:rsidR="00AE2AFD">
        <w:rPr>
          <w:rFonts w:ascii="StobiSerif Regular" w:hAnsi="StobiSerif Regular"/>
          <w:lang w:val="mk-MK"/>
        </w:rPr>
        <w:t>е забележи од графиконот во 2011</w:t>
      </w:r>
      <w:r w:rsidRPr="00E57D4C">
        <w:rPr>
          <w:rFonts w:ascii="StobiSerif Regular" w:hAnsi="StobiSerif Regular"/>
          <w:lang w:val="mk-MK"/>
        </w:rPr>
        <w:t xml:space="preserve"> година претпла</w:t>
      </w:r>
      <w:r w:rsidR="00AE2AFD">
        <w:rPr>
          <w:rFonts w:ascii="StobiSerif Regular" w:hAnsi="StobiSerif Regular"/>
          <w:lang w:val="mk-MK"/>
        </w:rPr>
        <w:t>тниците просечно зборуваат 129,66</w:t>
      </w:r>
      <w:r w:rsidRPr="00E57D4C">
        <w:rPr>
          <w:rFonts w:ascii="StobiSerif Regular" w:hAnsi="StobiSerif Regular"/>
          <w:lang w:val="mk-MK"/>
        </w:rPr>
        <w:t xml:space="preserve"> минути. Најголем дел се остварува во </w:t>
      </w:r>
      <w:r w:rsidR="00AE2AFD">
        <w:rPr>
          <w:rFonts w:ascii="StobiSerif Regular" w:hAnsi="StobiSerif Regular"/>
          <w:lang w:val="mk-MK"/>
        </w:rPr>
        <w:t>сопствена мрежа и изнесува 111,90</w:t>
      </w:r>
      <w:r w:rsidRPr="00E57D4C">
        <w:rPr>
          <w:rFonts w:ascii="StobiSerif Regular" w:hAnsi="StobiSerif Regular"/>
          <w:lang w:val="mk-MK"/>
        </w:rPr>
        <w:t xml:space="preserve"> минути</w:t>
      </w:r>
      <w:r w:rsidR="00AE2AFD">
        <w:rPr>
          <w:rFonts w:ascii="StobiSerif Regular" w:hAnsi="StobiSerif Regular"/>
          <w:lang w:val="mk-MK"/>
        </w:rPr>
        <w:t xml:space="preserve"> (86,30</w:t>
      </w:r>
      <w:r w:rsidRPr="00E57D4C">
        <w:rPr>
          <w:rFonts w:ascii="StobiSerif Regular" w:hAnsi="StobiSerif Regular"/>
          <w:lang w:val="mk-MK"/>
        </w:rPr>
        <w:t>%). Сообраќајот кон други мобилни мрежи во РМ е значително помал и изнесу</w:t>
      </w:r>
      <w:r>
        <w:rPr>
          <w:rFonts w:ascii="StobiSerif Regular" w:hAnsi="StobiSerif Regular"/>
          <w:lang w:val="mk-MK"/>
        </w:rPr>
        <w:t>ва 1</w:t>
      </w:r>
      <w:r w:rsidR="00AE2AFD">
        <w:rPr>
          <w:rFonts w:ascii="StobiSerif Regular" w:hAnsi="StobiSerif Regular"/>
          <w:lang w:val="mk-MK"/>
        </w:rPr>
        <w:t>4,78</w:t>
      </w:r>
      <w:r w:rsidRPr="00E57D4C">
        <w:rPr>
          <w:rFonts w:ascii="StobiSerif Regular" w:hAnsi="StobiSerif Regular"/>
          <w:lang w:val="mk-MK"/>
        </w:rPr>
        <w:t xml:space="preserve"> минути</w:t>
      </w:r>
      <w:r w:rsidR="00AE2AFD">
        <w:rPr>
          <w:rFonts w:ascii="StobiSerif Regular" w:hAnsi="StobiSerif Regular"/>
          <w:lang w:val="mk-MK"/>
        </w:rPr>
        <w:t xml:space="preserve"> (11,39</w:t>
      </w:r>
      <w:r w:rsidRPr="00E57D4C">
        <w:rPr>
          <w:rFonts w:ascii="StobiSerif Regular" w:hAnsi="StobiSerif Regular"/>
          <w:lang w:val="mk-MK"/>
        </w:rPr>
        <w:t xml:space="preserve">%) </w:t>
      </w:r>
      <w:r>
        <w:rPr>
          <w:rFonts w:ascii="StobiSerif Regular" w:hAnsi="StobiSerif Regular"/>
          <w:lang w:val="mk-MK"/>
        </w:rPr>
        <w:t>д</w:t>
      </w:r>
      <w:r w:rsidRPr="00E57D4C">
        <w:rPr>
          <w:rFonts w:ascii="StobiSerif Regular" w:hAnsi="StobiSerif Regular"/>
          <w:lang w:val="mk-MK"/>
        </w:rPr>
        <w:t>одека пак сообраќајот кон фиксни телефонски мрежи во РМ и кон мрежи в</w:t>
      </w:r>
      <w:r w:rsidR="00AE2AFD">
        <w:rPr>
          <w:rFonts w:ascii="StobiSerif Regular" w:hAnsi="StobiSerif Regular"/>
          <w:lang w:val="mk-MK"/>
        </w:rPr>
        <w:t>о странски држави  изнесува 2,02</w:t>
      </w:r>
      <w:r w:rsidRPr="00E57D4C">
        <w:rPr>
          <w:rFonts w:ascii="StobiSerif Regular" w:hAnsi="StobiSerif Regular"/>
          <w:lang w:val="mk-MK"/>
        </w:rPr>
        <w:t xml:space="preserve"> минути</w:t>
      </w:r>
      <w:r w:rsidR="00AE2AFD">
        <w:rPr>
          <w:rFonts w:ascii="StobiSerif Regular" w:hAnsi="StobiSerif Regular"/>
          <w:lang w:val="mk-MK"/>
        </w:rPr>
        <w:t xml:space="preserve"> (1,57</w:t>
      </w:r>
      <w:r w:rsidRPr="00E57D4C">
        <w:rPr>
          <w:rFonts w:ascii="StobiSerif Regular" w:hAnsi="StobiSerif Regular"/>
          <w:lang w:val="mk-MK"/>
        </w:rPr>
        <w:t>%)</w:t>
      </w:r>
      <w:r w:rsidR="00AE2AFD">
        <w:rPr>
          <w:rFonts w:ascii="StobiSerif Regular" w:hAnsi="StobiSerif Regular"/>
          <w:lang w:val="mk-MK"/>
        </w:rPr>
        <w:t xml:space="preserve">  односно 0,96</w:t>
      </w:r>
      <w:r w:rsidRPr="00E57D4C">
        <w:rPr>
          <w:rFonts w:ascii="StobiSerif Regular" w:hAnsi="StobiSerif Regular"/>
          <w:lang w:val="mk-MK"/>
        </w:rPr>
        <w:t xml:space="preserve"> минути</w:t>
      </w:r>
      <w:r w:rsidR="00AE2AFD">
        <w:rPr>
          <w:rFonts w:ascii="StobiSerif Regular" w:hAnsi="StobiSerif Regular"/>
          <w:lang w:val="mk-MK"/>
        </w:rPr>
        <w:t xml:space="preserve"> (0,74</w:t>
      </w:r>
      <w:r w:rsidRPr="00E57D4C">
        <w:rPr>
          <w:rFonts w:ascii="StobiSerif Regular" w:hAnsi="StobiSerif Regular"/>
          <w:lang w:val="mk-MK"/>
        </w:rPr>
        <w:t>%) кон мрежи во странски држави.</w:t>
      </w:r>
      <w:r w:rsidR="004F1588">
        <w:rPr>
          <w:rFonts w:ascii="StobiSerif Regular" w:hAnsi="StobiSerif Regular"/>
          <w:lang w:val="mk-MK"/>
        </w:rPr>
        <w:t xml:space="preserve">Исто така од графиконот може да се забележи  дека во однос </w:t>
      </w:r>
      <w:r w:rsidR="00AE2AFD">
        <w:rPr>
          <w:rFonts w:ascii="StobiSerif Regular" w:hAnsi="StobiSerif Regular"/>
          <w:lang w:val="mk-MK"/>
        </w:rPr>
        <w:t>на 2010</w:t>
      </w:r>
      <w:r w:rsidR="004F1588">
        <w:rPr>
          <w:rFonts w:ascii="StobiSerif Regular" w:hAnsi="StobiSerif Regular"/>
          <w:lang w:val="mk-MK"/>
        </w:rPr>
        <w:t xml:space="preserve"> година обемот на појдовниот сообраќај</w:t>
      </w:r>
      <w:r w:rsidR="00AE2AFD">
        <w:rPr>
          <w:rFonts w:ascii="StobiSerif Regular" w:hAnsi="StobiSerif Regular"/>
          <w:lang w:val="mk-MK"/>
        </w:rPr>
        <w:t xml:space="preserve"> по претплатник е пораснат за 20,</w:t>
      </w:r>
      <w:r w:rsidR="004F1588">
        <w:rPr>
          <w:rFonts w:ascii="StobiSerif Regular" w:hAnsi="StobiSerif Regular"/>
          <w:lang w:val="mk-MK"/>
        </w:rPr>
        <w:t>7</w:t>
      </w:r>
      <w:r w:rsidR="00AE2AFD">
        <w:rPr>
          <w:rFonts w:ascii="StobiSerif Regular" w:hAnsi="StobiSerif Regular"/>
          <w:lang w:val="mk-MK"/>
        </w:rPr>
        <w:t>1</w:t>
      </w:r>
      <w:r w:rsidR="004F1588">
        <w:rPr>
          <w:rFonts w:ascii="StobiSerif Regular" w:hAnsi="StobiSerif Regular"/>
          <w:lang w:val="mk-MK"/>
        </w:rPr>
        <w:t xml:space="preserve"> минути или разгледувано по дестинации сообраќајот во </w:t>
      </w:r>
      <w:r w:rsidR="00AE2AFD">
        <w:rPr>
          <w:rFonts w:ascii="StobiSerif Regular" w:hAnsi="StobiSerif Regular"/>
          <w:lang w:val="mk-MK"/>
        </w:rPr>
        <w:t>сопствена мрежа е пораснат за 18,65</w:t>
      </w:r>
      <w:r w:rsidR="004F1588">
        <w:rPr>
          <w:rFonts w:ascii="StobiSerif Regular" w:hAnsi="StobiSerif Regular"/>
          <w:lang w:val="mk-MK"/>
        </w:rPr>
        <w:t xml:space="preserve"> минути, ко</w:t>
      </w:r>
      <w:r w:rsidR="00AE2AFD">
        <w:rPr>
          <w:rFonts w:ascii="StobiSerif Regular" w:hAnsi="StobiSerif Regular"/>
          <w:lang w:val="mk-MK"/>
        </w:rPr>
        <w:t>н други мобилни мрежи вп РМ за 2,04 и кон фиксни мрежи во РМ за 0,05</w:t>
      </w:r>
      <w:r w:rsidR="004F1588">
        <w:rPr>
          <w:rFonts w:ascii="StobiSerif Regular" w:hAnsi="StobiSerif Regular"/>
          <w:lang w:val="mk-MK"/>
        </w:rPr>
        <w:t xml:space="preserve"> минути. Единствено појдовниот сообраќај кон мрежи во стр</w:t>
      </w:r>
      <w:r w:rsidR="00AE2AFD">
        <w:rPr>
          <w:rFonts w:ascii="StobiSerif Regular" w:hAnsi="StobiSerif Regular"/>
          <w:lang w:val="mk-MK"/>
        </w:rPr>
        <w:t>ански држави покажува пад од 0,03 минути во однос на 2010</w:t>
      </w:r>
      <w:r w:rsidR="004F1588">
        <w:rPr>
          <w:rFonts w:ascii="StobiSerif Regular" w:hAnsi="StobiSerif Regular"/>
          <w:lang w:val="mk-MK"/>
        </w:rPr>
        <w:t xml:space="preserve"> година</w:t>
      </w:r>
      <w:r w:rsidR="00AE2AFD">
        <w:rPr>
          <w:rFonts w:ascii="StobiSerif Regular" w:hAnsi="StobiSerif Regular"/>
          <w:lang w:val="mk-MK"/>
        </w:rPr>
        <w:t>.</w:t>
      </w:r>
    </w:p>
    <w:p w:rsidR="00E239C6" w:rsidRDefault="00E239C6" w:rsidP="00E239C6">
      <w:pPr>
        <w:pStyle w:val="Default"/>
        <w:rPr>
          <w:rFonts w:ascii="StobiSerif Regular" w:hAnsi="StobiSerif Regular"/>
          <w:color w:val="auto"/>
          <w:lang w:val="mk-MK"/>
        </w:rPr>
      </w:pPr>
    </w:p>
    <w:p w:rsidR="00543803" w:rsidRPr="00543803" w:rsidRDefault="00543803" w:rsidP="00543803">
      <w:pPr>
        <w:rPr>
          <w:lang w:val="mk-MK"/>
        </w:rPr>
      </w:pPr>
    </w:p>
    <w:p w:rsidR="007549ED" w:rsidRPr="007549ED" w:rsidRDefault="00D62967" w:rsidP="00D62967">
      <w:pPr>
        <w:jc w:val="center"/>
        <w:rPr>
          <w:lang w:val="mk-MK"/>
        </w:rPr>
      </w:pPr>
      <w:r>
        <w:rPr>
          <w:noProof/>
          <w:lang w:val="mk-MK" w:eastAsia="mk-MK" w:bidi="ar-SA"/>
        </w:rPr>
        <w:lastRenderedPageBreak/>
        <w:drawing>
          <wp:inline distT="0" distB="0" distL="0" distR="0">
            <wp:extent cx="5562718" cy="3007744"/>
            <wp:effectExtent l="19050" t="0" r="18932" b="2156"/>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51091" w:rsidRPr="002B02FD" w:rsidRDefault="002B02FD" w:rsidP="002B02FD">
      <w:pPr>
        <w:pStyle w:val="Caption"/>
        <w:jc w:val="center"/>
        <w:rPr>
          <w:color w:val="244061" w:themeColor="accent1" w:themeShade="80"/>
          <w:lang w:val="mk-MK"/>
        </w:rPr>
      </w:pPr>
      <w:bookmarkStart w:id="32" w:name="_Toc327269953"/>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17</w:t>
      </w:r>
      <w:r w:rsidR="001E0707" w:rsidRPr="002B02FD">
        <w:rPr>
          <w:color w:val="244061" w:themeColor="accent1" w:themeShade="80"/>
        </w:rPr>
        <w:fldChar w:fldCharType="end"/>
      </w:r>
      <w:r w:rsidRPr="002B02FD">
        <w:rPr>
          <w:color w:val="244061" w:themeColor="accent1" w:themeShade="80"/>
        </w:rPr>
        <w:t xml:space="preserve"> Просечно времетраење на разговор по претплатник (во минути) поединечно </w:t>
      </w:r>
      <w:r w:rsidRPr="002B02FD">
        <w:rPr>
          <w:color w:val="244061" w:themeColor="accent1" w:themeShade="80"/>
          <w:lang w:val="mk-MK"/>
        </w:rPr>
        <w:br/>
      </w:r>
      <w:r w:rsidRPr="002B02FD">
        <w:rPr>
          <w:color w:val="244061" w:themeColor="accent1" w:themeShade="80"/>
        </w:rPr>
        <w:t>по оператор</w:t>
      </w:r>
      <w:r w:rsidR="00FC1591">
        <w:rPr>
          <w:color w:val="244061" w:themeColor="accent1" w:themeShade="80"/>
          <w:lang w:val="mk-MK"/>
        </w:rPr>
        <w:t xml:space="preserve"> за 2011 и 2010</w:t>
      </w:r>
      <w:r w:rsidRPr="002B02FD">
        <w:rPr>
          <w:color w:val="244061" w:themeColor="accent1" w:themeShade="80"/>
          <w:lang w:val="mk-MK"/>
        </w:rPr>
        <w:t xml:space="preserve"> година</w:t>
      </w:r>
      <w:bookmarkEnd w:id="32"/>
    </w:p>
    <w:p w:rsidR="00951091" w:rsidRDefault="00951091" w:rsidP="00951091">
      <w:pPr>
        <w:pStyle w:val="Caption"/>
        <w:jc w:val="left"/>
      </w:pPr>
    </w:p>
    <w:p w:rsidR="004F1588" w:rsidRPr="00B61E57" w:rsidRDefault="00B61E57" w:rsidP="007549ED">
      <w:pPr>
        <w:rPr>
          <w:lang w:val="mk-MK"/>
        </w:rPr>
      </w:pPr>
      <w:r>
        <w:rPr>
          <w:lang w:val="mk-MK"/>
        </w:rPr>
        <w:t xml:space="preserve">Во  </w:t>
      </w:r>
      <w:r w:rsidRPr="004658FB">
        <w:rPr>
          <w:lang w:val="mk-MK"/>
        </w:rPr>
        <w:t xml:space="preserve">Графиконот </w:t>
      </w:r>
      <w:r w:rsidR="002B02FD">
        <w:rPr>
          <w:lang w:val="mk-MK"/>
        </w:rPr>
        <w:t>бр.17</w:t>
      </w:r>
      <w:r w:rsidRPr="004658FB">
        <w:rPr>
          <w:lang w:val="mk-MK"/>
        </w:rPr>
        <w:t xml:space="preserve"> е</w:t>
      </w:r>
      <w:r w:rsidRPr="00B61E57">
        <w:rPr>
          <w:lang w:val="mk-MK"/>
        </w:rPr>
        <w:t xml:space="preserve"> дадено</w:t>
      </w:r>
      <w:r>
        <w:rPr>
          <w:lang w:val="mk-MK"/>
        </w:rPr>
        <w:t xml:space="preserve"> просечното времетраење на разговор по претплатник (во минути</w:t>
      </w:r>
      <w:r w:rsidR="00FC1591">
        <w:rPr>
          <w:lang w:val="mk-MK"/>
        </w:rPr>
        <w:t>) поединечно по оператор за 2011 и 2010</w:t>
      </w:r>
      <w:r>
        <w:rPr>
          <w:lang w:val="mk-MK"/>
        </w:rPr>
        <w:t xml:space="preserve"> година.Од графиконот</w:t>
      </w:r>
      <w:r w:rsidR="00FC1591">
        <w:rPr>
          <w:lang w:val="mk-MK"/>
        </w:rPr>
        <w:t xml:space="preserve"> може да се заклучи дека во 2011</w:t>
      </w:r>
      <w:r>
        <w:rPr>
          <w:lang w:val="mk-MK"/>
        </w:rPr>
        <w:t xml:space="preserve"> година  сите три оператори забележуваат раст на просечното времетра</w:t>
      </w:r>
      <w:r w:rsidR="00FC1591">
        <w:rPr>
          <w:lang w:val="mk-MK"/>
        </w:rPr>
        <w:t>ење на разговор во однос на 2010</w:t>
      </w:r>
      <w:r>
        <w:rPr>
          <w:lang w:val="mk-MK"/>
        </w:rPr>
        <w:t xml:space="preserve"> година со тоа што</w:t>
      </w:r>
      <w:r w:rsidR="00FC1591" w:rsidRPr="00FC1591">
        <w:rPr>
          <w:lang w:val="mk-MK"/>
        </w:rPr>
        <w:t xml:space="preserve"> </w:t>
      </w:r>
      <w:r w:rsidR="00FC1591">
        <w:rPr>
          <w:lang w:val="mk-MK"/>
        </w:rPr>
        <w:t>ОНЕ Оператор</w:t>
      </w:r>
      <w:r>
        <w:rPr>
          <w:lang w:val="mk-MK"/>
        </w:rPr>
        <w:t xml:space="preserve"> </w:t>
      </w:r>
      <w:r w:rsidR="00FC1591">
        <w:rPr>
          <w:lang w:val="mk-MK"/>
        </w:rPr>
        <w:t>бележи најголем раст од 0,27 минути</w:t>
      </w:r>
      <w:r>
        <w:rPr>
          <w:lang w:val="mk-MK"/>
        </w:rPr>
        <w:t xml:space="preserve"> </w:t>
      </w:r>
      <w:r w:rsidR="00FC1591">
        <w:rPr>
          <w:lang w:val="mk-MK"/>
        </w:rPr>
        <w:t xml:space="preserve">а исто така </w:t>
      </w:r>
      <w:r>
        <w:rPr>
          <w:lang w:val="mk-MK"/>
        </w:rPr>
        <w:t>има</w:t>
      </w:r>
      <w:r w:rsidR="00FC1591">
        <w:rPr>
          <w:lang w:val="mk-MK"/>
        </w:rPr>
        <w:t xml:space="preserve"> и</w:t>
      </w:r>
      <w:r>
        <w:rPr>
          <w:lang w:val="mk-MK"/>
        </w:rPr>
        <w:t xml:space="preserve"> најголемо просечно времетраење на р</w:t>
      </w:r>
      <w:r w:rsidR="00FC1591">
        <w:rPr>
          <w:lang w:val="mk-MK"/>
        </w:rPr>
        <w:t>азговор по претплатник и во 2011 година (2,21</w:t>
      </w:r>
      <w:r>
        <w:rPr>
          <w:lang w:val="mk-MK"/>
        </w:rPr>
        <w:t xml:space="preserve"> минути) и во 2010 година (1,94 минути). </w:t>
      </w: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B61E57" w:rsidRDefault="00B61E57" w:rsidP="00F71433">
      <w:pPr>
        <w:pStyle w:val="Heading1"/>
        <w:rPr>
          <w:color w:val="244061" w:themeColor="accent1" w:themeShade="80"/>
          <w:lang w:val="mk-MK"/>
        </w:rPr>
      </w:pPr>
    </w:p>
    <w:p w:rsidR="007549ED" w:rsidRPr="000F770C" w:rsidRDefault="0084417C" w:rsidP="00F71433">
      <w:pPr>
        <w:pStyle w:val="Heading1"/>
        <w:rPr>
          <w:color w:val="244061" w:themeColor="accent1" w:themeShade="80"/>
          <w:lang w:val="mk-MK"/>
        </w:rPr>
      </w:pPr>
      <w:bookmarkStart w:id="33" w:name="_Toc327269931"/>
      <w:r>
        <w:rPr>
          <w:color w:val="244061" w:themeColor="accent1" w:themeShade="80"/>
          <w:lang w:val="mk-MK"/>
        </w:rPr>
        <w:t>3</w:t>
      </w:r>
      <w:r w:rsidR="00F71433" w:rsidRPr="000F770C">
        <w:rPr>
          <w:color w:val="244061" w:themeColor="accent1" w:themeShade="80"/>
          <w:lang w:val="mk-MK"/>
        </w:rPr>
        <w:t>.5 Испратени СМС и ММС пораки</w:t>
      </w:r>
      <w:bookmarkEnd w:id="33"/>
    </w:p>
    <w:p w:rsidR="00C31D5A" w:rsidRPr="000F770C" w:rsidRDefault="00C31D5A" w:rsidP="007549ED">
      <w:pPr>
        <w:jc w:val="center"/>
        <w:rPr>
          <w:color w:val="244061" w:themeColor="accent1" w:themeShade="80"/>
          <w:lang w:val="mk-MK"/>
        </w:rPr>
      </w:pPr>
    </w:p>
    <w:p w:rsidR="0013095D" w:rsidRDefault="006E30A3" w:rsidP="007549ED">
      <w:pPr>
        <w:jc w:val="center"/>
        <w:rPr>
          <w:lang w:val="mk-MK"/>
        </w:rPr>
      </w:pPr>
      <w:r>
        <w:rPr>
          <w:noProof/>
          <w:lang w:val="mk-MK" w:eastAsia="mk-MK" w:bidi="ar-SA"/>
        </w:rPr>
        <w:lastRenderedPageBreak/>
        <w:drawing>
          <wp:inline distT="0" distB="0" distL="0" distR="0">
            <wp:extent cx="4827329" cy="2615609"/>
            <wp:effectExtent l="19050" t="0" r="11371"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55E58" w:rsidRPr="000F770C" w:rsidRDefault="002B02FD" w:rsidP="002B02FD">
      <w:pPr>
        <w:pStyle w:val="Caption"/>
        <w:rPr>
          <w:color w:val="244061" w:themeColor="accent1" w:themeShade="80"/>
        </w:rPr>
      </w:pPr>
      <w:bookmarkStart w:id="34" w:name="_Toc327269954"/>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18</w:t>
      </w:r>
      <w:r w:rsidR="001E0707" w:rsidRPr="002B02FD">
        <w:rPr>
          <w:color w:val="244061" w:themeColor="accent1" w:themeShade="80"/>
        </w:rPr>
        <w:fldChar w:fldCharType="end"/>
      </w:r>
      <w:r w:rsidRPr="002B02FD">
        <w:rPr>
          <w:color w:val="244061" w:themeColor="accent1" w:themeShade="80"/>
        </w:rPr>
        <w:t xml:space="preserve"> Удел во однос</w:t>
      </w:r>
      <w:r w:rsidRPr="000F770C">
        <w:rPr>
          <w:color w:val="244061" w:themeColor="accent1" w:themeShade="80"/>
        </w:rPr>
        <w:t xml:space="preserve"> на вкупниот број на испратени СМС пораки во 20</w:t>
      </w:r>
      <w:r w:rsidR="00936360">
        <w:rPr>
          <w:color w:val="244061" w:themeColor="accent1" w:themeShade="80"/>
          <w:lang w:val="mk-MK"/>
        </w:rPr>
        <w:t>11</w:t>
      </w:r>
      <w:r w:rsidRPr="000F770C">
        <w:rPr>
          <w:color w:val="244061" w:themeColor="accent1" w:themeShade="80"/>
        </w:rPr>
        <w:t xml:space="preserve"> година</w:t>
      </w:r>
      <w:bookmarkEnd w:id="34"/>
    </w:p>
    <w:p w:rsidR="00CB5435" w:rsidRDefault="00CB5435" w:rsidP="00CB5435">
      <w:pPr>
        <w:pStyle w:val="Default"/>
        <w:jc w:val="both"/>
        <w:rPr>
          <w:rFonts w:ascii="StobiSerif Regular" w:hAnsi="StobiSerif Regular"/>
          <w:sz w:val="22"/>
          <w:szCs w:val="22"/>
          <w:lang w:val="mk-MK"/>
        </w:rPr>
      </w:pPr>
    </w:p>
    <w:p w:rsidR="000F6066" w:rsidRDefault="004658FB" w:rsidP="00112ED6">
      <w:pPr>
        <w:pStyle w:val="Default"/>
        <w:spacing w:line="276" w:lineRule="auto"/>
        <w:jc w:val="both"/>
        <w:rPr>
          <w:rFonts w:ascii="StobiSerif Regular" w:hAnsi="StobiSerif Regular"/>
          <w:sz w:val="22"/>
          <w:szCs w:val="22"/>
          <w:lang w:val="mk-MK"/>
        </w:rPr>
      </w:pPr>
      <w:r>
        <w:rPr>
          <w:rFonts w:ascii="StobiSerif Regular" w:hAnsi="StobiSerif Regular"/>
          <w:sz w:val="22"/>
          <w:szCs w:val="22"/>
          <w:lang w:val="mk-MK"/>
        </w:rPr>
        <w:t>Од графиконот б</w:t>
      </w:r>
      <w:r w:rsidR="002B02FD">
        <w:rPr>
          <w:rFonts w:ascii="StobiSerif Regular" w:hAnsi="StobiSerif Regular"/>
          <w:sz w:val="22"/>
          <w:szCs w:val="22"/>
          <w:lang w:val="mk-MK"/>
        </w:rPr>
        <w:t>р.18</w:t>
      </w:r>
      <w:r w:rsidR="00DE7988" w:rsidRPr="00DE7988">
        <w:rPr>
          <w:rFonts w:ascii="StobiSerif Regular" w:hAnsi="StobiSerif Regular"/>
          <w:sz w:val="22"/>
          <w:szCs w:val="22"/>
          <w:lang w:val="mk-MK"/>
        </w:rPr>
        <w:t xml:space="preserve"> може да е заклучи дека Т-Моби</w:t>
      </w:r>
      <w:r w:rsidR="00936360">
        <w:rPr>
          <w:rFonts w:ascii="StobiSerif Regular" w:hAnsi="StobiSerif Regular"/>
          <w:sz w:val="22"/>
          <w:szCs w:val="22"/>
          <w:lang w:val="mk-MK"/>
        </w:rPr>
        <w:t>ле учествува со процент од 78,49</w:t>
      </w:r>
      <w:r w:rsidR="00DE7988" w:rsidRPr="00DE7988">
        <w:rPr>
          <w:rFonts w:ascii="StobiSerif Regular" w:hAnsi="StobiSerif Regular"/>
          <w:sz w:val="22"/>
          <w:szCs w:val="22"/>
          <w:lang w:val="mk-MK"/>
        </w:rPr>
        <w:t>% во вкупниот број</w:t>
      </w:r>
      <w:r w:rsidR="00DA38A8">
        <w:rPr>
          <w:rFonts w:ascii="StobiSerif Regular" w:hAnsi="StobiSerif Regular"/>
          <w:sz w:val="22"/>
          <w:szCs w:val="22"/>
          <w:lang w:val="mk-MK"/>
        </w:rPr>
        <w:t xml:space="preserve"> на испр</w:t>
      </w:r>
      <w:r w:rsidR="00936360">
        <w:rPr>
          <w:rFonts w:ascii="StobiSerif Regular" w:hAnsi="StobiSerif Regular"/>
          <w:sz w:val="22"/>
          <w:szCs w:val="22"/>
          <w:lang w:val="mk-MK"/>
        </w:rPr>
        <w:t>атени СМС пораки во 2011</w:t>
      </w:r>
      <w:r w:rsidR="00DA38A8">
        <w:rPr>
          <w:rFonts w:ascii="StobiSerif Regular" w:hAnsi="StobiSerif Regular"/>
          <w:sz w:val="22"/>
          <w:szCs w:val="22"/>
          <w:lang w:val="mk-MK"/>
        </w:rPr>
        <w:t xml:space="preserve"> година. Учеството на ВИП</w:t>
      </w:r>
      <w:r w:rsidR="00DE7988" w:rsidRPr="00DE7988">
        <w:rPr>
          <w:rFonts w:ascii="StobiSerif Regular" w:hAnsi="StobiSerif Regular"/>
          <w:sz w:val="22"/>
          <w:szCs w:val="22"/>
          <w:lang w:val="mk-MK"/>
        </w:rPr>
        <w:t xml:space="preserve"> Оператор </w:t>
      </w:r>
      <w:r w:rsidR="00936360">
        <w:rPr>
          <w:rFonts w:ascii="StobiSerif Regular" w:hAnsi="StobiSerif Regular"/>
          <w:sz w:val="22"/>
          <w:szCs w:val="22"/>
          <w:lang w:val="mk-MK"/>
        </w:rPr>
        <w:t>изнесува 12,92</w:t>
      </w:r>
      <w:r w:rsidR="00DA38A8">
        <w:rPr>
          <w:rFonts w:ascii="StobiSerif Regular" w:hAnsi="StobiSerif Regular"/>
          <w:sz w:val="22"/>
          <w:szCs w:val="22"/>
          <w:lang w:val="mk-MK"/>
        </w:rPr>
        <w:t>% доде</w:t>
      </w:r>
      <w:r w:rsidR="00936360">
        <w:rPr>
          <w:rFonts w:ascii="StobiSerif Regular" w:hAnsi="StobiSerif Regular"/>
          <w:sz w:val="22"/>
          <w:szCs w:val="22"/>
          <w:lang w:val="mk-MK"/>
        </w:rPr>
        <w:t>ка ОНЕ Оператор учествува со 8,5</w:t>
      </w:r>
      <w:r w:rsidR="00DA38A8">
        <w:rPr>
          <w:rFonts w:ascii="StobiSerif Regular" w:hAnsi="StobiSerif Regular"/>
          <w:sz w:val="22"/>
          <w:szCs w:val="22"/>
          <w:lang w:val="mk-MK"/>
        </w:rPr>
        <w:t>9</w:t>
      </w:r>
      <w:r w:rsidR="009611F6">
        <w:rPr>
          <w:rFonts w:ascii="StobiSerif Regular" w:hAnsi="StobiSerif Regular"/>
          <w:sz w:val="22"/>
          <w:szCs w:val="22"/>
          <w:lang w:val="mk-MK"/>
        </w:rPr>
        <w:t>%</w:t>
      </w:r>
      <w:r w:rsidR="00DE7988" w:rsidRPr="00DE7988">
        <w:rPr>
          <w:rFonts w:ascii="StobiSerif Regular" w:hAnsi="StobiSerif Regular"/>
          <w:sz w:val="22"/>
          <w:szCs w:val="22"/>
          <w:lang w:val="mk-MK"/>
        </w:rPr>
        <w:t>.</w:t>
      </w:r>
    </w:p>
    <w:p w:rsidR="00DE7988" w:rsidRDefault="000F770C" w:rsidP="00DE7988">
      <w:pPr>
        <w:rPr>
          <w:lang w:val="mk-MK"/>
        </w:rPr>
      </w:pPr>
      <w:r>
        <w:rPr>
          <w:noProof/>
          <w:lang w:val="mk-MK" w:eastAsia="mk-MK" w:bidi="ar-SA"/>
        </w:rPr>
        <w:drawing>
          <wp:anchor distT="0" distB="0" distL="114300" distR="114300" simplePos="0" relativeHeight="251668480" behindDoc="0" locked="0" layoutInCell="1" allowOverlap="1">
            <wp:simplePos x="0" y="0"/>
            <wp:positionH relativeFrom="column">
              <wp:posOffset>876300</wp:posOffset>
            </wp:positionH>
            <wp:positionV relativeFrom="paragraph">
              <wp:posOffset>160655</wp:posOffset>
            </wp:positionV>
            <wp:extent cx="4770120" cy="2636520"/>
            <wp:effectExtent l="19050" t="0" r="11430" b="0"/>
            <wp:wrapSquare wrapText="bothSides"/>
            <wp:docPr id="3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A972C6" w:rsidRDefault="00A972C6"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5E70AA" w:rsidRDefault="005E70AA" w:rsidP="00DE7988">
      <w:pPr>
        <w:jc w:val="left"/>
        <w:rPr>
          <w:lang w:val="mk-MK"/>
        </w:rPr>
      </w:pPr>
    </w:p>
    <w:p w:rsidR="00E55E58" w:rsidRPr="000F770C" w:rsidRDefault="002B02FD" w:rsidP="002B02FD">
      <w:pPr>
        <w:pStyle w:val="Caption"/>
        <w:rPr>
          <w:color w:val="244061" w:themeColor="accent1" w:themeShade="80"/>
        </w:rPr>
      </w:pPr>
      <w:bookmarkStart w:id="35" w:name="_Toc327269955"/>
      <w:r w:rsidRPr="002B02FD">
        <w:rPr>
          <w:color w:val="244061" w:themeColor="accent1" w:themeShade="80"/>
        </w:rPr>
        <w:t xml:space="preserve">Графикон </w:t>
      </w:r>
      <w:r w:rsidR="001E0707" w:rsidRPr="002B02FD">
        <w:rPr>
          <w:color w:val="244061" w:themeColor="accent1" w:themeShade="80"/>
        </w:rPr>
        <w:fldChar w:fldCharType="begin"/>
      </w:r>
      <w:r w:rsidRPr="002B02FD">
        <w:rPr>
          <w:color w:val="244061" w:themeColor="accent1" w:themeShade="80"/>
        </w:rPr>
        <w:instrText xml:space="preserve"> SEQ Графикон \* ARABIC </w:instrText>
      </w:r>
      <w:r w:rsidR="001E0707" w:rsidRPr="002B02FD">
        <w:rPr>
          <w:color w:val="244061" w:themeColor="accent1" w:themeShade="80"/>
        </w:rPr>
        <w:fldChar w:fldCharType="separate"/>
      </w:r>
      <w:r w:rsidR="004E5FA2">
        <w:rPr>
          <w:noProof/>
          <w:color w:val="244061" w:themeColor="accent1" w:themeShade="80"/>
        </w:rPr>
        <w:t>19</w:t>
      </w:r>
      <w:r w:rsidR="001E0707" w:rsidRPr="002B02FD">
        <w:rPr>
          <w:color w:val="244061" w:themeColor="accent1" w:themeShade="80"/>
        </w:rPr>
        <w:fldChar w:fldCharType="end"/>
      </w:r>
      <w:r w:rsidRPr="002B02FD">
        <w:rPr>
          <w:color w:val="244061" w:themeColor="accent1" w:themeShade="80"/>
          <w:lang w:val="mk-MK"/>
        </w:rPr>
        <w:t xml:space="preserve"> Удел во однос на вкупниот</w:t>
      </w:r>
      <w:r w:rsidRPr="000F770C">
        <w:rPr>
          <w:color w:val="244061" w:themeColor="accent1" w:themeShade="80"/>
          <w:lang w:val="mk-MK"/>
        </w:rPr>
        <w:t xml:space="preserve"> број на испратени ММС</w:t>
      </w:r>
      <w:r w:rsidRPr="000F770C">
        <w:rPr>
          <w:color w:val="244061" w:themeColor="accent1" w:themeShade="80"/>
        </w:rPr>
        <w:t xml:space="preserve"> </w:t>
      </w:r>
      <w:r w:rsidR="00936360">
        <w:rPr>
          <w:color w:val="244061" w:themeColor="accent1" w:themeShade="80"/>
          <w:lang w:val="mk-MK"/>
        </w:rPr>
        <w:t>пораки во 2011</w:t>
      </w:r>
      <w:r w:rsidRPr="000F770C">
        <w:rPr>
          <w:color w:val="244061" w:themeColor="accent1" w:themeShade="80"/>
          <w:lang w:val="mk-MK"/>
        </w:rPr>
        <w:t xml:space="preserve"> година</w:t>
      </w:r>
      <w:bookmarkEnd w:id="35"/>
    </w:p>
    <w:p w:rsidR="00DE7988" w:rsidRDefault="001F6B82" w:rsidP="00112ED6">
      <w:pPr>
        <w:pStyle w:val="Default"/>
        <w:spacing w:line="276" w:lineRule="auto"/>
        <w:jc w:val="both"/>
        <w:rPr>
          <w:rFonts w:ascii="StobiSerif Regular" w:hAnsi="StobiSerif Regular"/>
          <w:sz w:val="22"/>
          <w:szCs w:val="22"/>
          <w:lang w:val="mk-MK"/>
        </w:rPr>
      </w:pPr>
      <w:r>
        <w:rPr>
          <w:rFonts w:ascii="StobiSerif Regular" w:hAnsi="StobiSerif Regular"/>
          <w:sz w:val="22"/>
          <w:szCs w:val="22"/>
          <w:lang w:val="mk-MK"/>
        </w:rPr>
        <w:t xml:space="preserve">Од графиконот </w:t>
      </w:r>
      <w:r w:rsidR="002B02FD">
        <w:rPr>
          <w:rFonts w:ascii="StobiSerif Regular" w:hAnsi="StobiSerif Regular"/>
          <w:sz w:val="22"/>
          <w:szCs w:val="22"/>
          <w:lang w:val="mk-MK"/>
        </w:rPr>
        <w:t>бр.19</w:t>
      </w:r>
      <w:r w:rsidR="00DE7988" w:rsidRPr="001F6B82">
        <w:rPr>
          <w:rFonts w:ascii="StobiSerif Regular" w:hAnsi="StobiSerif Regular"/>
          <w:sz w:val="22"/>
          <w:szCs w:val="22"/>
          <w:lang w:val="mk-MK"/>
        </w:rPr>
        <w:t xml:space="preserve"> може да е зак</w:t>
      </w:r>
      <w:r>
        <w:rPr>
          <w:rFonts w:ascii="StobiSerif Regular" w:hAnsi="StobiSerif Regular"/>
          <w:sz w:val="22"/>
          <w:szCs w:val="22"/>
          <w:lang w:val="mk-MK"/>
        </w:rPr>
        <w:t>лучи дека Т-Мобиле учествува со</w:t>
      </w:r>
      <w:r w:rsidR="00936360">
        <w:rPr>
          <w:rFonts w:ascii="StobiSerif Regular" w:hAnsi="StobiSerif Regular"/>
          <w:sz w:val="22"/>
          <w:szCs w:val="22"/>
          <w:lang w:val="mk-MK"/>
        </w:rPr>
        <w:t xml:space="preserve"> 71,00</w:t>
      </w:r>
      <w:r w:rsidR="00DE7988" w:rsidRPr="001F6B82">
        <w:rPr>
          <w:rFonts w:ascii="StobiSerif Regular" w:hAnsi="StobiSerif Regular"/>
          <w:sz w:val="22"/>
          <w:szCs w:val="22"/>
          <w:lang w:val="mk-MK"/>
        </w:rPr>
        <w:t>% во вкупниот број на испратени ММС пораки во 20</w:t>
      </w:r>
      <w:r w:rsidR="00936360">
        <w:rPr>
          <w:rFonts w:ascii="StobiSerif Regular" w:hAnsi="StobiSerif Regular"/>
          <w:sz w:val="22"/>
          <w:szCs w:val="22"/>
          <w:lang w:val="mk-MK"/>
        </w:rPr>
        <w:t>11</w:t>
      </w:r>
      <w:r w:rsidR="00DE7988" w:rsidRPr="001F6B82">
        <w:rPr>
          <w:rFonts w:ascii="StobiSerif Regular" w:hAnsi="StobiSerif Regular"/>
          <w:sz w:val="22"/>
          <w:szCs w:val="22"/>
          <w:lang w:val="mk-MK"/>
        </w:rPr>
        <w:t xml:space="preserve"> година. Учеството на </w:t>
      </w:r>
      <w:r w:rsidR="00936360">
        <w:rPr>
          <w:rFonts w:ascii="StobiSerif Regular" w:hAnsi="StobiSerif Regular"/>
          <w:sz w:val="22"/>
          <w:szCs w:val="22"/>
          <w:lang w:val="mk-MK"/>
        </w:rPr>
        <w:t>ВИП Оператор изнесува 14,96</w:t>
      </w:r>
      <w:r w:rsidR="00DE7988" w:rsidRPr="001F6B82">
        <w:rPr>
          <w:rFonts w:ascii="StobiSerif Regular" w:hAnsi="StobiSerif Regular"/>
          <w:sz w:val="22"/>
          <w:szCs w:val="22"/>
          <w:lang w:val="mk-MK"/>
        </w:rPr>
        <w:t xml:space="preserve">% додека </w:t>
      </w:r>
      <w:r w:rsidR="00B27119">
        <w:rPr>
          <w:rFonts w:ascii="StobiSerif Regular" w:hAnsi="StobiSerif Regular"/>
          <w:sz w:val="22"/>
          <w:szCs w:val="22"/>
          <w:lang w:val="mk-MK"/>
        </w:rPr>
        <w:t>ОНЕ</w:t>
      </w:r>
      <w:r w:rsidR="00DE7988" w:rsidRPr="001F6B82">
        <w:rPr>
          <w:rFonts w:ascii="StobiSerif Regular" w:hAnsi="StobiSerif Regular"/>
          <w:sz w:val="22"/>
          <w:szCs w:val="22"/>
          <w:lang w:val="mk-MK"/>
        </w:rPr>
        <w:t xml:space="preserve"> Оператор</w:t>
      </w:r>
      <w:r w:rsidR="00936360">
        <w:rPr>
          <w:rFonts w:ascii="StobiSerif Regular" w:hAnsi="StobiSerif Regular"/>
          <w:sz w:val="22"/>
          <w:szCs w:val="22"/>
          <w:lang w:val="mk-MK"/>
        </w:rPr>
        <w:t xml:space="preserve"> учествува со 14,04</w:t>
      </w:r>
      <w:r w:rsidR="009611F6">
        <w:rPr>
          <w:rFonts w:ascii="StobiSerif Regular" w:hAnsi="StobiSerif Regular"/>
          <w:sz w:val="22"/>
          <w:szCs w:val="22"/>
          <w:lang w:val="mk-MK"/>
        </w:rPr>
        <w:t>%..</w:t>
      </w:r>
    </w:p>
    <w:p w:rsidR="001F6B82" w:rsidRDefault="001F6B82" w:rsidP="00DE7988">
      <w:pPr>
        <w:pStyle w:val="Default"/>
        <w:jc w:val="both"/>
        <w:rPr>
          <w:rFonts w:ascii="StobiSerif Regular" w:hAnsi="StobiSerif Regular"/>
          <w:sz w:val="22"/>
          <w:szCs w:val="22"/>
          <w:lang w:val="mk-MK"/>
        </w:rPr>
      </w:pPr>
    </w:p>
    <w:p w:rsidR="00896D97" w:rsidRPr="000F770C" w:rsidRDefault="000F770C" w:rsidP="000F770C">
      <w:pPr>
        <w:spacing w:after="0" w:line="240" w:lineRule="auto"/>
      </w:pPr>
      <w:r>
        <w:rPr>
          <w:noProof/>
          <w:lang w:val="mk-MK" w:eastAsia="mk-MK" w:bidi="ar-SA"/>
        </w:rPr>
        <w:drawing>
          <wp:inline distT="0" distB="0" distL="0" distR="0">
            <wp:extent cx="6531241" cy="818707"/>
            <wp:effectExtent l="0" t="0" r="317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96D97" w:rsidRPr="000F770C" w:rsidRDefault="0084417C" w:rsidP="00CB5435">
      <w:pPr>
        <w:pStyle w:val="Heading1"/>
        <w:rPr>
          <w:color w:val="4F6228" w:themeColor="accent3" w:themeShade="80"/>
          <w:lang w:val="mk-MK"/>
        </w:rPr>
      </w:pPr>
      <w:bookmarkStart w:id="36" w:name="_Toc327269932"/>
      <w:r>
        <w:rPr>
          <w:color w:val="4F6228" w:themeColor="accent3" w:themeShade="80"/>
          <w:lang w:val="mk-MK"/>
        </w:rPr>
        <w:lastRenderedPageBreak/>
        <w:t>4</w:t>
      </w:r>
      <w:r w:rsidR="00CB5435" w:rsidRPr="000F770C">
        <w:rPr>
          <w:color w:val="4F6228" w:themeColor="accent3" w:themeShade="80"/>
          <w:lang w:val="mk-MK"/>
        </w:rPr>
        <w:t xml:space="preserve">. </w:t>
      </w:r>
      <w:r w:rsidR="00896D97" w:rsidRPr="000F770C">
        <w:rPr>
          <w:color w:val="4F6228" w:themeColor="accent3" w:themeShade="80"/>
          <w:lang w:val="mk-MK"/>
        </w:rPr>
        <w:t>Пристап до интернет</w:t>
      </w:r>
      <w:bookmarkEnd w:id="36"/>
    </w:p>
    <w:p w:rsidR="00E216D8" w:rsidRDefault="00936360" w:rsidP="00E216D8">
      <w:pPr>
        <w:rPr>
          <w:lang w:val="mk-MK"/>
        </w:rPr>
      </w:pPr>
      <w:r>
        <w:rPr>
          <w:lang w:val="mk-MK"/>
        </w:rPr>
        <w:t>Од 110</w:t>
      </w:r>
      <w:r w:rsidR="00E216D8" w:rsidRPr="00D20B82">
        <w:rPr>
          <w:lang w:val="mk-MK"/>
        </w:rPr>
        <w:t xml:space="preserve"> </w:t>
      </w:r>
      <w:r w:rsidR="00E216D8">
        <w:rPr>
          <w:lang w:val="mk-MK"/>
        </w:rPr>
        <w:t xml:space="preserve">нотифицирани субјекти во службената евиденција на АЕК, </w:t>
      </w:r>
      <w:r>
        <w:rPr>
          <w:lang w:val="mk-MK"/>
        </w:rPr>
        <w:t>100</w:t>
      </w:r>
      <w:r w:rsidR="00E216D8" w:rsidRPr="00D20B82">
        <w:rPr>
          <w:lang w:val="mk-MK"/>
        </w:rPr>
        <w:t xml:space="preserve"> </w:t>
      </w:r>
      <w:r w:rsidR="00E216D8">
        <w:rPr>
          <w:lang w:val="mk-MK"/>
        </w:rPr>
        <w:t>субјекти обезбедуваа услуг</w:t>
      </w:r>
      <w:r>
        <w:rPr>
          <w:lang w:val="mk-MK"/>
        </w:rPr>
        <w:t>а за пристап до интернет во 2011</w:t>
      </w:r>
      <w:r w:rsidR="00E216D8">
        <w:rPr>
          <w:lang w:val="mk-MK"/>
        </w:rPr>
        <w:t xml:space="preserve"> година, и тоа: </w:t>
      </w:r>
    </w:p>
    <w:p w:rsidR="000F770C" w:rsidRDefault="000F770C" w:rsidP="00E216D8">
      <w:pPr>
        <w:pStyle w:val="ListParagraph"/>
        <w:numPr>
          <w:ilvl w:val="0"/>
          <w:numId w:val="11"/>
        </w:numPr>
        <w:rPr>
          <w:lang w:val="mk-MK"/>
        </w:rPr>
        <w:sectPr w:rsidR="000F770C" w:rsidSect="00B57474">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lastRenderedPageBreak/>
        <w:t xml:space="preserve">Македонски Телеком-Скопје,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Неотел-Скопје,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Друштво за електронски дата сервиси-Скопје,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Аниц системи-Скопје,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Истел-Скопје,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Телесмарт Телеком-Скопје,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Д.Т.Ц. Корп-Скопје,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ВИП Оператор- 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Пеј плус-Скопје,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Близу-Скопје,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Ултранет ултра-Скопје,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Сонет-Скопје,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ОНЕ Оператор-Скопје,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Македонија он лине-Скопје,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Балкантел-Скопје,</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Т-Мобиле-Скопје,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Лонгуров-Штип,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Роби-Штип,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Теленет ком-Тетово,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Нет кабел-Струмица,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Тренд А-Струмица,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Профи соунд-Струга,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Г-ктв-Струга,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Кабел л нет-Струга,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Вип нет-Струга,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Канал 16-Ресен,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Ангелови груп-Ресен,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То ми-Радовиш,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Студио андес- Радовиш,</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 Кабел нет-Прилеп,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Инфел КТВ-Охрид,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Алтра сат 2000-Охрид,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Комбо 2003-Куманово,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Гајтанлес 2008-Крушево,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Глобал нет-Крушево,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Траншпед трејд-Крива Паланка,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Еуростил-Крива Паланка,</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Медиа поинт-Кочани,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Кале 2001-Кичево,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Адвансд дигитал нетворк-Кичево,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Инел техник-Кавадарци,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lastRenderedPageBreak/>
        <w:t>Инел Интернационал-Кавадарци,</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Г-он-Дебар,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Мултимедија нетворк-Гостивар,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Гив Иван-Гостивар,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Спајдер нет-Гевгелија,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Спајдер-Гевгелија,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Пет нет-Гевгелија,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Мактелко-Битола,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Микс нет-Битола,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Вива нет-Берово,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БИВ Пирамида-Делчево ,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2МГ-Скопје,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Стојев Дигитал-Ес-Нет- Кавадарци</w:t>
      </w:r>
      <w:r w:rsidRPr="00936360">
        <w:rPr>
          <w:rFonts w:ascii="StobiSerif Regular" w:hAnsi="StobiSerif Regular"/>
          <w:color w:val="000000"/>
          <w:szCs w:val="20"/>
          <w:lang w:val="mk-MK"/>
        </w:rPr>
        <w:t xml:space="preserve">,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color w:val="000000"/>
          <w:szCs w:val="20"/>
          <w:lang w:val="mk-MK"/>
        </w:rPr>
        <w:t>Оптикал-нет</w:t>
      </w:r>
      <w:r w:rsidRPr="00936360">
        <w:rPr>
          <w:rFonts w:ascii="StobiSerif Regular" w:hAnsi="StobiSerif Regular"/>
          <w:color w:val="FF0000"/>
          <w:szCs w:val="20"/>
          <w:lang w:val="mk-MK"/>
        </w:rPr>
        <w:t>-</w:t>
      </w:r>
      <w:r w:rsidRPr="00936360">
        <w:rPr>
          <w:rFonts w:ascii="StobiSerif Regular" w:hAnsi="StobiSerif Regular"/>
          <w:color w:val="000000"/>
          <w:szCs w:val="20"/>
          <w:lang w:val="mk-MK"/>
        </w:rPr>
        <w:t>Куманово,</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color w:val="000000"/>
          <w:szCs w:val="20"/>
          <w:lang w:val="mk-MK"/>
        </w:rPr>
        <w:t xml:space="preserve">Дигинет-Струмица,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color w:val="000000"/>
          <w:szCs w:val="20"/>
          <w:lang w:val="mk-MK"/>
        </w:rPr>
        <w:t xml:space="preserve">Софтнет ЕУ-Скопје,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color w:val="000000"/>
          <w:szCs w:val="20"/>
          <w:lang w:val="mk-MK"/>
        </w:rPr>
        <w:t>Дасто-Скопје</w:t>
      </w:r>
      <w:r w:rsidRPr="00936360">
        <w:rPr>
          <w:rFonts w:ascii="StobiSerif Regular" w:hAnsi="StobiSerif Regular"/>
          <w:szCs w:val="20"/>
          <w:lang w:val="mk-MK"/>
        </w:rPr>
        <w:t xml:space="preserve">,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Вокс-мунди- 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Актон- Скопје,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КДС-ВТ-Пробиштип,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Кабел- Струмица,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Дигиплус нет- Демир Хисар,</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Нетлинк- Струмица,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Јакуп корпоратион- Гостивар,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Неонет- Куманово,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Вин сат- Виница,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Егзит ком- Кичево,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 xml:space="preserve">Глобал комуникација- Радовиш, </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Пела дигитал 2008- Струга,</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Ман технолоџи телеком-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Астра плус- Кочани</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Алмак нет- Гевгелија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Фикаб- Тетово</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Сурффри- Ранковце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Медиа нет-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Сато нет- Брвеница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Ултранет системи- Битола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Бтв Нет-Битола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Каблекалл-Кичево</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Кабел кам-Росоман</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Кабел риз-Кочани</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Филаделфија 2002-Кочани</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lastRenderedPageBreak/>
        <w:t>К-Ристал-Струга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Коннектел МК-Скопје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Нет ипокс-Струга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Тренд ком-Штип</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Мобик телекомуникации-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Беко нет- Гостивар</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Пантел интернешнл-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Алфа телеком Македонија-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Б-КТВ- Струга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lastRenderedPageBreak/>
        <w:t>Споунет-Скопје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Когент Македонија- Скопје</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Кабел 2007- Струга</w:t>
      </w:r>
      <w:r w:rsidRPr="00936360">
        <w:rPr>
          <w:rFonts w:ascii="StobiSerif Regular" w:hAnsi="StobiSerif Regular"/>
          <w:szCs w:val="20"/>
        </w:rPr>
        <w:t>,</w:t>
      </w:r>
    </w:p>
    <w:p w:rsidR="00936360" w:rsidRPr="00936360" w:rsidRDefault="00936360" w:rsidP="00936360">
      <w:pPr>
        <w:pStyle w:val="ListParagraph"/>
        <w:numPr>
          <w:ilvl w:val="0"/>
          <w:numId w:val="11"/>
        </w:numPr>
        <w:rPr>
          <w:rFonts w:ascii="StobiSerif Regular" w:hAnsi="StobiSerif Regular"/>
          <w:szCs w:val="20"/>
          <w:lang w:val="mk-MK"/>
        </w:rPr>
      </w:pPr>
      <w:r w:rsidRPr="00936360">
        <w:rPr>
          <w:rFonts w:ascii="StobiSerif Regular" w:hAnsi="StobiSerif Regular"/>
          <w:szCs w:val="20"/>
          <w:lang w:val="mk-MK"/>
        </w:rPr>
        <w:t>Капитол кеибл- Скопје,</w:t>
      </w:r>
    </w:p>
    <w:p w:rsidR="00936360" w:rsidRPr="00936360" w:rsidRDefault="00936360" w:rsidP="00936360">
      <w:pPr>
        <w:pStyle w:val="ListParagraph"/>
        <w:numPr>
          <w:ilvl w:val="0"/>
          <w:numId w:val="11"/>
        </w:numPr>
        <w:ind w:left="567" w:hanging="141"/>
        <w:rPr>
          <w:rFonts w:ascii="StobiSerif Regular" w:hAnsi="StobiSerif Regular"/>
          <w:szCs w:val="20"/>
          <w:lang w:val="mk-MK"/>
        </w:rPr>
      </w:pPr>
      <w:r w:rsidRPr="00936360">
        <w:rPr>
          <w:rFonts w:ascii="StobiSerif Regular" w:hAnsi="StobiSerif Regular"/>
          <w:szCs w:val="20"/>
          <w:lang w:val="mk-MK"/>
        </w:rPr>
        <w:t>Спејс тел нет- Скопје,</w:t>
      </w:r>
    </w:p>
    <w:p w:rsidR="00936360" w:rsidRPr="00936360" w:rsidRDefault="00936360" w:rsidP="00936360">
      <w:pPr>
        <w:pStyle w:val="ListParagraph"/>
        <w:numPr>
          <w:ilvl w:val="0"/>
          <w:numId w:val="11"/>
        </w:numPr>
        <w:ind w:left="426" w:firstLine="0"/>
        <w:rPr>
          <w:rFonts w:ascii="StobiSerif Regular" w:hAnsi="StobiSerif Regular"/>
          <w:szCs w:val="20"/>
          <w:lang w:val="mk-MK"/>
        </w:rPr>
      </w:pPr>
      <w:r w:rsidRPr="00936360">
        <w:rPr>
          <w:rFonts w:ascii="StobiSerif Regular" w:hAnsi="StobiSerif Regular"/>
          <w:szCs w:val="20"/>
          <w:lang w:val="mk-MK"/>
        </w:rPr>
        <w:t xml:space="preserve"> Медиа сат – Дебар</w:t>
      </w:r>
    </w:p>
    <w:p w:rsidR="00936360" w:rsidRPr="00936360" w:rsidRDefault="00936360" w:rsidP="00936360">
      <w:pPr>
        <w:pStyle w:val="ListParagraph"/>
        <w:numPr>
          <w:ilvl w:val="0"/>
          <w:numId w:val="11"/>
        </w:numPr>
        <w:ind w:left="426" w:firstLine="0"/>
        <w:rPr>
          <w:rFonts w:ascii="StobiSerif Regular" w:hAnsi="StobiSerif Regular"/>
          <w:szCs w:val="20"/>
          <w:lang w:val="mk-MK"/>
        </w:rPr>
      </w:pPr>
      <w:r w:rsidRPr="00936360">
        <w:rPr>
          <w:rFonts w:ascii="StobiSerif Regular" w:hAnsi="StobiSerif Regular"/>
          <w:szCs w:val="20"/>
          <w:lang w:val="mk-MK"/>
        </w:rPr>
        <w:t>Инфинитинет- корпорација- Скопје,</w:t>
      </w:r>
    </w:p>
    <w:p w:rsidR="00936360" w:rsidRPr="00936360" w:rsidRDefault="00936360" w:rsidP="00936360">
      <w:pPr>
        <w:pStyle w:val="ListParagraph"/>
        <w:numPr>
          <w:ilvl w:val="0"/>
          <w:numId w:val="11"/>
        </w:numPr>
        <w:ind w:left="426" w:hanging="141"/>
        <w:rPr>
          <w:rFonts w:ascii="StobiSerif Regular" w:hAnsi="StobiSerif Regular"/>
          <w:szCs w:val="20"/>
          <w:lang w:val="mk-MK"/>
        </w:rPr>
      </w:pPr>
      <w:r w:rsidRPr="00936360">
        <w:rPr>
          <w:rFonts w:ascii="StobiSerif Regular" w:hAnsi="StobiSerif Regular"/>
          <w:szCs w:val="20"/>
          <w:lang w:val="mk-MK"/>
        </w:rPr>
        <w:t>Чулакнет- Битола.</w:t>
      </w:r>
    </w:p>
    <w:p w:rsidR="000F770C" w:rsidRDefault="000F770C" w:rsidP="00896D97">
      <w:pPr>
        <w:pStyle w:val="Caption"/>
        <w:rPr>
          <w:lang w:val="mk-MK"/>
        </w:rPr>
        <w:sectPr w:rsidR="000F770C" w:rsidSect="000F770C">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num="2" w:space="708"/>
          <w:titlePg/>
          <w:docGrid w:linePitch="360"/>
        </w:sect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94A21" w:rsidRDefault="00F94A21" w:rsidP="00896D97">
      <w:pPr>
        <w:pStyle w:val="Caption"/>
        <w:rPr>
          <w:lang w:val="mk-MK"/>
        </w:rPr>
      </w:pPr>
    </w:p>
    <w:p w:rsidR="00FB4D2D" w:rsidRPr="000F770C" w:rsidRDefault="00951091" w:rsidP="00951091">
      <w:pPr>
        <w:pStyle w:val="Caption"/>
        <w:rPr>
          <w:color w:val="4F6228" w:themeColor="accent3" w:themeShade="80"/>
          <w:lang w:val="mk-MK"/>
        </w:rPr>
      </w:pPr>
      <w:bookmarkStart w:id="37" w:name="_Toc327269968"/>
      <w:r w:rsidRPr="00951091">
        <w:rPr>
          <w:color w:val="4F6228" w:themeColor="accent3" w:themeShade="80"/>
        </w:rPr>
        <w:t xml:space="preserve">Табела </w:t>
      </w:r>
      <w:r w:rsidR="001E0707" w:rsidRPr="00951091">
        <w:rPr>
          <w:color w:val="4F6228" w:themeColor="accent3" w:themeShade="80"/>
        </w:rPr>
        <w:fldChar w:fldCharType="begin"/>
      </w:r>
      <w:r w:rsidRPr="00951091">
        <w:rPr>
          <w:color w:val="4F6228" w:themeColor="accent3" w:themeShade="80"/>
        </w:rPr>
        <w:instrText xml:space="preserve"> SEQ Табела \* ARABIC </w:instrText>
      </w:r>
      <w:r w:rsidR="001E0707" w:rsidRPr="00951091">
        <w:rPr>
          <w:color w:val="4F6228" w:themeColor="accent3" w:themeShade="80"/>
        </w:rPr>
        <w:fldChar w:fldCharType="separate"/>
      </w:r>
      <w:r w:rsidR="004E5FA2">
        <w:rPr>
          <w:noProof/>
          <w:color w:val="4F6228" w:themeColor="accent3" w:themeShade="80"/>
        </w:rPr>
        <w:t>5</w:t>
      </w:r>
      <w:r w:rsidR="001E0707" w:rsidRPr="00951091">
        <w:rPr>
          <w:color w:val="4F6228" w:themeColor="accent3" w:themeShade="80"/>
        </w:rPr>
        <w:fldChar w:fldCharType="end"/>
      </w:r>
      <w:r w:rsidRPr="00951091">
        <w:rPr>
          <w:color w:val="4F6228" w:themeColor="accent3" w:themeShade="80"/>
          <w:lang w:val="mk-MK"/>
        </w:rPr>
        <w:t xml:space="preserve"> Индикатори</w:t>
      </w:r>
      <w:r w:rsidRPr="000F770C">
        <w:rPr>
          <w:color w:val="4F6228" w:themeColor="accent3" w:themeShade="80"/>
          <w:lang w:val="mk-MK"/>
        </w:rPr>
        <w:t>- Пристап до интернет со тесен опсег и широк опсег</w:t>
      </w:r>
      <w:bookmarkEnd w:id="37"/>
    </w:p>
    <w:p w:rsidR="00FB4D2D" w:rsidRPr="002204F2" w:rsidRDefault="00D3204F" w:rsidP="00FB4D2D">
      <w:pPr>
        <w:rPr>
          <w:color w:val="FFFFFF" w:themeColor="background1"/>
          <w:lang w:val="mk-MK"/>
        </w:rPr>
      </w:pPr>
      <w:r>
        <w:rPr>
          <w:noProof/>
          <w:color w:val="FFFFFF" w:themeColor="background1"/>
          <w:lang w:bidi="ar-SA"/>
        </w:rPr>
        <w:lastRenderedPageBreak/>
        <w:pict>
          <v:shape id="_x0000_s1075" type="#_x0000_t75" style="position:absolute;left:0;text-align:left;margin-left:41.75pt;margin-top:9.45pt;width:436.7pt;height:547.15pt;z-index:251673600" wrapcoords="-35 0 -35 21528 21600 21528 21600 0 -35 0">
            <v:imagedata r:id="rId57" o:title=""/>
            <w10:wrap type="tight"/>
          </v:shape>
          <o:OLEObject Type="Embed" ProgID="Excel.Sheet.12" ShapeID="_x0000_s1075" DrawAspect="Content" ObjectID="_1401028522" r:id="rId58"/>
        </w:pict>
      </w:r>
      <w:r w:rsidR="002204F2" w:rsidRPr="002204F2">
        <w:rPr>
          <w:rStyle w:val="FootnoteReference"/>
          <w:color w:val="FFFFFF" w:themeColor="background1"/>
          <w:lang w:val="mk-MK"/>
        </w:rPr>
        <w:footnoteReference w:id="3"/>
      </w:r>
    </w:p>
    <w:p w:rsidR="00A972C6" w:rsidRDefault="00A972C6" w:rsidP="00A972C6">
      <w:pPr>
        <w:ind w:firstLine="720"/>
        <w:rPr>
          <w:lang w:val="mk-MK"/>
        </w:rPr>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D06BF2" w:rsidRDefault="00D06BF2" w:rsidP="00ED13EE">
      <w:pPr>
        <w:spacing w:after="0"/>
      </w:pPr>
    </w:p>
    <w:p w:rsidR="00E216D8" w:rsidRDefault="00ED13EE" w:rsidP="00ED13EE">
      <w:pPr>
        <w:spacing w:after="0"/>
        <w:rPr>
          <w:lang w:val="mk-MK"/>
        </w:rPr>
      </w:pPr>
      <w:r>
        <w:rPr>
          <w:lang w:val="mk-MK"/>
        </w:rPr>
        <w:t>Во табелата 5</w:t>
      </w:r>
      <w:r w:rsidRPr="000B2D44">
        <w:rPr>
          <w:lang w:val="mk-MK"/>
        </w:rPr>
        <w:t xml:space="preserve"> точка бр.1 е даден бројот на активни резиденцијални и деловни претплатници на пристап до интер</w:t>
      </w:r>
      <w:r>
        <w:rPr>
          <w:lang w:val="mk-MK"/>
        </w:rPr>
        <w:t xml:space="preserve">нет со тесен опсег во </w:t>
      </w:r>
      <w:r w:rsidR="00020F47">
        <w:rPr>
          <w:lang w:val="mk-MK"/>
        </w:rPr>
        <w:t>2011</w:t>
      </w:r>
      <w:r w:rsidRPr="000B2D44">
        <w:rPr>
          <w:lang w:val="mk-MK"/>
        </w:rPr>
        <w:t xml:space="preserve"> </w:t>
      </w:r>
      <w:r>
        <w:rPr>
          <w:lang w:val="mk-MK"/>
        </w:rPr>
        <w:t xml:space="preserve">и </w:t>
      </w:r>
      <w:r w:rsidR="00020F47">
        <w:rPr>
          <w:lang w:val="mk-MK"/>
        </w:rPr>
        <w:t>2010</w:t>
      </w:r>
      <w:r w:rsidRPr="000B2D44">
        <w:rPr>
          <w:lang w:val="mk-MK"/>
        </w:rPr>
        <w:t xml:space="preserve"> година, како и промената во проценти (%). Може да се забележи дека </w:t>
      </w:r>
      <w:r w:rsidRPr="000B2D44">
        <w:rPr>
          <w:lang w:val="mk-MK"/>
        </w:rPr>
        <w:lastRenderedPageBreak/>
        <w:t>вкупниот бројот на претплатници на пристап на и</w:t>
      </w:r>
      <w:r>
        <w:rPr>
          <w:lang w:val="mk-MK"/>
        </w:rPr>
        <w:t xml:space="preserve">нтернет со тесен опсег во </w:t>
      </w:r>
      <w:r w:rsidR="00020F47">
        <w:rPr>
          <w:lang w:val="mk-MK"/>
        </w:rPr>
        <w:t>2011</w:t>
      </w:r>
      <w:r w:rsidRPr="000B2D44">
        <w:rPr>
          <w:lang w:val="mk-MK"/>
        </w:rPr>
        <w:t xml:space="preserve"> годи</w:t>
      </w:r>
      <w:r w:rsidR="00020F47">
        <w:rPr>
          <w:lang w:val="mk-MK"/>
        </w:rPr>
        <w:t>на е опаднат за 34,74% во споредба со 2010</w:t>
      </w:r>
      <w:r w:rsidRPr="000B2D44">
        <w:rPr>
          <w:lang w:val="mk-MK"/>
        </w:rPr>
        <w:t xml:space="preserve"> година. </w:t>
      </w:r>
    </w:p>
    <w:p w:rsidR="002972E0" w:rsidRDefault="00ED13EE" w:rsidP="00ED13EE">
      <w:pPr>
        <w:spacing w:after="0"/>
        <w:rPr>
          <w:lang w:val="mk-MK"/>
        </w:rPr>
      </w:pPr>
      <w:r w:rsidRPr="000B2D44">
        <w:rPr>
          <w:lang w:val="mk-MK"/>
        </w:rPr>
        <w:t>Во точка бр.2  е даден бројот на претплатници на пристап до интернет со тесен опсег преку мобилна мрежа (2</w:t>
      </w:r>
      <w:r w:rsidRPr="000B2D44">
        <w:t xml:space="preserve">G),  </w:t>
      </w:r>
      <w:r>
        <w:rPr>
          <w:lang w:val="mk-MK"/>
        </w:rPr>
        <w:t>каде што</w:t>
      </w:r>
      <w:r w:rsidR="00020F47">
        <w:rPr>
          <w:lang w:val="mk-MK"/>
        </w:rPr>
        <w:t xml:space="preserve"> забележителен е растот од 97,44</w:t>
      </w:r>
      <w:r>
        <w:rPr>
          <w:lang w:val="mk-MK"/>
        </w:rPr>
        <w:t xml:space="preserve">% во </w:t>
      </w:r>
      <w:r w:rsidR="00020F47">
        <w:rPr>
          <w:lang w:val="mk-MK"/>
        </w:rPr>
        <w:t>однос на 2010</w:t>
      </w:r>
      <w:r w:rsidRPr="000B2D44">
        <w:rPr>
          <w:lang w:val="mk-MK"/>
        </w:rPr>
        <w:t xml:space="preserve"> година</w:t>
      </w:r>
      <w:r w:rsidR="002972E0">
        <w:rPr>
          <w:lang w:val="mk-MK"/>
        </w:rPr>
        <w:t xml:space="preserve">. </w:t>
      </w:r>
    </w:p>
    <w:p w:rsidR="002972E0" w:rsidRDefault="00ED13EE" w:rsidP="00ED13EE">
      <w:pPr>
        <w:spacing w:after="0"/>
        <w:rPr>
          <w:lang w:val="mk-MK"/>
        </w:rPr>
      </w:pPr>
      <w:r w:rsidRPr="000B2D44">
        <w:rPr>
          <w:lang w:val="mk-MK"/>
        </w:rPr>
        <w:t>Во точка бр.3 е даден бројот на претплатници на пристап до интернет со широк опсег преку мобилна мрежа (2</w:t>
      </w:r>
      <w:r w:rsidRPr="000B2D44">
        <w:t>G</w:t>
      </w:r>
      <w:r w:rsidRPr="000B2D44">
        <w:rPr>
          <w:lang w:val="mk-MK"/>
        </w:rPr>
        <w:t>/3</w:t>
      </w:r>
      <w:r>
        <w:t>G)</w:t>
      </w:r>
      <w:r w:rsidRPr="000B2D44">
        <w:t xml:space="preserve"> </w:t>
      </w:r>
      <w:r w:rsidRPr="000B2D44">
        <w:rPr>
          <w:lang w:val="mk-MK"/>
        </w:rPr>
        <w:t>каде што</w:t>
      </w:r>
      <w:r w:rsidR="00020F47">
        <w:rPr>
          <w:lang w:val="mk-MK"/>
        </w:rPr>
        <w:t xml:space="preserve"> може да се забележи намал</w:t>
      </w:r>
      <w:r w:rsidR="002972E0">
        <w:rPr>
          <w:lang w:val="mk-MK"/>
        </w:rPr>
        <w:t>ување на бројот на претплатниц</w:t>
      </w:r>
      <w:r w:rsidR="00020F47">
        <w:rPr>
          <w:lang w:val="mk-MK"/>
        </w:rPr>
        <w:t>и за период од една година од 3,41</w:t>
      </w:r>
      <w:r w:rsidR="002972E0">
        <w:rPr>
          <w:lang w:val="mk-MK"/>
        </w:rPr>
        <w:t>%</w:t>
      </w:r>
      <w:r w:rsidR="009611F6">
        <w:rPr>
          <w:lang w:val="mk-MK"/>
        </w:rPr>
        <w:t>.</w:t>
      </w:r>
      <w:r w:rsidRPr="000B2D44">
        <w:rPr>
          <w:lang w:val="mk-MK"/>
        </w:rPr>
        <w:t xml:space="preserve"> </w:t>
      </w:r>
      <w:r w:rsidR="002972E0">
        <w:rPr>
          <w:lang w:val="mk-MK"/>
        </w:rPr>
        <w:t xml:space="preserve"> </w:t>
      </w:r>
    </w:p>
    <w:p w:rsidR="00ED13EE" w:rsidRPr="00A74948" w:rsidRDefault="00ED13EE" w:rsidP="00ED13EE">
      <w:pPr>
        <w:spacing w:after="0"/>
        <w:rPr>
          <w:lang w:val="mk-MK"/>
        </w:rPr>
      </w:pPr>
      <w:r w:rsidRPr="00A74948">
        <w:rPr>
          <w:lang w:val="mk-MK"/>
        </w:rPr>
        <w:t>Во точка бр.4 е даден бројот на претплатници на пристап до интернет со широк опсег ( не се вклучени претплатниците преку мобилни мрежи)</w:t>
      </w:r>
      <w:r w:rsidR="00020F47">
        <w:rPr>
          <w:lang w:val="mk-MK"/>
        </w:rPr>
        <w:t xml:space="preserve"> и нивниот број изнесува 282.</w:t>
      </w:r>
      <w:r>
        <w:rPr>
          <w:lang w:val="mk-MK"/>
        </w:rPr>
        <w:t>3</w:t>
      </w:r>
      <w:r w:rsidR="00020F47">
        <w:rPr>
          <w:lang w:val="mk-MK"/>
        </w:rPr>
        <w:t>70</w:t>
      </w:r>
      <w:r w:rsidR="00CD69AB">
        <w:rPr>
          <w:lang w:val="mk-MK"/>
        </w:rPr>
        <w:t xml:space="preserve"> претплатници односно во однос на </w:t>
      </w:r>
      <w:r w:rsidR="00020F47">
        <w:rPr>
          <w:lang w:val="mk-MK"/>
        </w:rPr>
        <w:t>2010</w:t>
      </w:r>
      <w:r w:rsidRPr="00A74948">
        <w:rPr>
          <w:lang w:val="mk-MK"/>
        </w:rPr>
        <w:t xml:space="preserve"> година бројот на активни п</w:t>
      </w:r>
      <w:r w:rsidR="00020F47">
        <w:rPr>
          <w:lang w:val="mk-MK"/>
        </w:rPr>
        <w:t>ретплатници е  зголемен за 8,98</w:t>
      </w:r>
      <w:r w:rsidRPr="00A74948">
        <w:rPr>
          <w:lang w:val="mk-MK"/>
        </w:rPr>
        <w:t>%.</w:t>
      </w:r>
    </w:p>
    <w:p w:rsidR="00ED13EE" w:rsidRDefault="00ED13EE" w:rsidP="00ED13EE">
      <w:pPr>
        <w:spacing w:after="0"/>
        <w:rPr>
          <w:lang w:val="mk-MK"/>
        </w:rPr>
      </w:pPr>
      <w:r>
        <w:rPr>
          <w:lang w:val="mk-MK"/>
        </w:rPr>
        <w:t>Во подточките од точка бр.4 се поделени активните претплатници на пристап на интернет со широк опсег по технологии.</w:t>
      </w:r>
    </w:p>
    <w:p w:rsidR="00020F47" w:rsidRDefault="00020F47" w:rsidP="00020F47">
      <w:pPr>
        <w:spacing w:after="0"/>
        <w:rPr>
          <w:rFonts w:ascii="StobiSerif Regular" w:hAnsi="StobiSerif Regular"/>
          <w:lang w:val="mk-MK"/>
        </w:rPr>
      </w:pPr>
      <w:r w:rsidRPr="00020F47">
        <w:rPr>
          <w:rFonts w:ascii="StobiSerif Regular" w:hAnsi="StobiSerif Regular"/>
          <w:lang w:val="mk-MK"/>
        </w:rPr>
        <w:t xml:space="preserve">Во точка бр.4.1 е даден бројот на претплатници на пристап до интернет преку јавна комуникациска мрежа  </w:t>
      </w:r>
      <w:r w:rsidRPr="00020F47">
        <w:rPr>
          <w:rFonts w:ascii="StobiSerif Regular" w:hAnsi="StobiSerif Regular"/>
        </w:rPr>
        <w:t xml:space="preserve">xDSL  </w:t>
      </w:r>
      <w:r w:rsidRPr="00020F47">
        <w:rPr>
          <w:rFonts w:ascii="StobiSerif Regular" w:hAnsi="StobiSerif Regular"/>
          <w:lang w:val="mk-MK"/>
        </w:rPr>
        <w:t xml:space="preserve">каде што може да се забележи раст од </w:t>
      </w:r>
      <w:r>
        <w:rPr>
          <w:rFonts w:ascii="StobiSerif Regular" w:hAnsi="StobiSerif Regular"/>
          <w:lang w:val="mk-MK"/>
        </w:rPr>
        <w:t>3,74</w:t>
      </w:r>
      <w:r w:rsidRPr="00020F47">
        <w:rPr>
          <w:rFonts w:ascii="StobiSerif Regular" w:hAnsi="StobiSerif Regular"/>
          <w:lang w:val="mk-MK"/>
        </w:rPr>
        <w:t xml:space="preserve">% во однос на 2010 година. </w:t>
      </w:r>
    </w:p>
    <w:p w:rsidR="00020F47" w:rsidRDefault="00020F47" w:rsidP="00020F47">
      <w:pPr>
        <w:spacing w:after="0"/>
        <w:rPr>
          <w:rFonts w:ascii="StobiSerif Regular" w:hAnsi="StobiSerif Regular"/>
          <w:lang w:val="mk-MK"/>
        </w:rPr>
      </w:pPr>
      <w:r w:rsidRPr="00020F47">
        <w:rPr>
          <w:rFonts w:ascii="StobiSerif Regular" w:hAnsi="StobiSerif Regular"/>
          <w:lang w:val="mk-MK"/>
        </w:rPr>
        <w:t xml:space="preserve">Во точка бр.4.2 е даден бројот на претплатници на пристап до интернет преку јавна </w:t>
      </w:r>
      <w:r w:rsidRPr="00020F47">
        <w:rPr>
          <w:rFonts w:ascii="StobiSerif Regular" w:hAnsi="StobiSerif Regular"/>
        </w:rPr>
        <w:t xml:space="preserve">CaTV </w:t>
      </w:r>
      <w:r w:rsidRPr="00020F47">
        <w:rPr>
          <w:rFonts w:ascii="StobiSerif Regular" w:hAnsi="StobiSerif Regular"/>
          <w:lang w:val="mk-MK"/>
        </w:rPr>
        <w:t xml:space="preserve">мрежа кој изнесува 88.649 претплатници односно споредбено со </w:t>
      </w:r>
      <w:r w:rsidR="00C403EB">
        <w:rPr>
          <w:rFonts w:ascii="StobiSerif Regular" w:hAnsi="StobiSerif Regular"/>
          <w:lang w:val="mk-MK"/>
        </w:rPr>
        <w:t>претходната</w:t>
      </w:r>
      <w:r w:rsidRPr="00020F47">
        <w:rPr>
          <w:rFonts w:ascii="StobiSerif Regular" w:hAnsi="StobiSerif Regular"/>
          <w:lang w:val="mk-MK"/>
        </w:rPr>
        <w:t xml:space="preserve"> го</w:t>
      </w:r>
      <w:r w:rsidR="00C403EB">
        <w:rPr>
          <w:rFonts w:ascii="StobiSerif Regular" w:hAnsi="StobiSerif Regular"/>
          <w:lang w:val="mk-MK"/>
        </w:rPr>
        <w:t>дина се забележува раст од  14,48</w:t>
      </w:r>
      <w:r w:rsidRPr="00020F47">
        <w:rPr>
          <w:rFonts w:ascii="StobiSerif Regular" w:hAnsi="StobiSerif Regular"/>
          <w:lang w:val="mk-MK"/>
        </w:rPr>
        <w:t>%</w:t>
      </w:r>
      <w:r w:rsidR="00C403EB">
        <w:rPr>
          <w:rFonts w:ascii="StobiSerif Regular" w:hAnsi="StobiSerif Regular"/>
          <w:lang w:val="mk-MK"/>
        </w:rPr>
        <w:t>.</w:t>
      </w:r>
    </w:p>
    <w:p w:rsidR="00C403EB" w:rsidRDefault="00C403EB" w:rsidP="00020F47">
      <w:pPr>
        <w:spacing w:after="0"/>
        <w:rPr>
          <w:rFonts w:ascii="StobiSerif Regular" w:hAnsi="StobiSerif Regular"/>
          <w:lang w:val="mk-MK"/>
        </w:rPr>
      </w:pPr>
      <w:r w:rsidRPr="00C403EB">
        <w:rPr>
          <w:rFonts w:ascii="StobiSerif Regular" w:hAnsi="StobiSerif Regular"/>
          <w:lang w:val="mk-MK"/>
        </w:rPr>
        <w:t xml:space="preserve">Во точка бр.4.3 се дадени бројот на претплатници на пристап на интернет преку оптичка мрежа и нивниот број изнесува 4.187 претплатници. Споредено со </w:t>
      </w:r>
      <w:r>
        <w:rPr>
          <w:rFonts w:ascii="StobiSerif Regular" w:hAnsi="StobiSerif Regular"/>
          <w:lang w:val="mk-MK"/>
        </w:rPr>
        <w:t>2010 година се забележува раст од 93,57</w:t>
      </w:r>
      <w:r w:rsidRPr="00C403EB">
        <w:rPr>
          <w:rFonts w:ascii="StobiSerif Regular" w:hAnsi="StobiSerif Regular"/>
          <w:lang w:val="mk-MK"/>
        </w:rPr>
        <w:t xml:space="preserve">% кој преставува најголем раст споредено со другите технологии </w:t>
      </w:r>
      <w:r>
        <w:rPr>
          <w:rFonts w:ascii="StobiSerif Regular" w:hAnsi="StobiSerif Regular"/>
          <w:lang w:val="mk-MK"/>
        </w:rPr>
        <w:t>на фиксен широкопојасен пристап</w:t>
      </w:r>
      <w:r w:rsidR="00DD7020">
        <w:rPr>
          <w:rFonts w:ascii="StobiSerif Regular" w:hAnsi="StobiSerif Regular"/>
          <w:lang w:val="mk-MK"/>
        </w:rPr>
        <w:t xml:space="preserve"> на интернет</w:t>
      </w:r>
      <w:r>
        <w:rPr>
          <w:rFonts w:ascii="StobiSerif Regular" w:hAnsi="StobiSerif Regular"/>
          <w:lang w:val="mk-MK"/>
        </w:rPr>
        <w:t xml:space="preserve"> </w:t>
      </w:r>
      <w:r w:rsidRPr="00C403EB">
        <w:rPr>
          <w:rFonts w:ascii="StobiSerif Regular" w:hAnsi="StobiSerif Regular"/>
          <w:lang w:val="mk-MK"/>
        </w:rPr>
        <w:t>бидејќи станува збор за релативно нова технологија која е во развој.</w:t>
      </w:r>
    </w:p>
    <w:p w:rsidR="00DD7020" w:rsidRDefault="00DD7020" w:rsidP="00020F47">
      <w:pPr>
        <w:spacing w:after="0"/>
        <w:rPr>
          <w:rFonts w:ascii="StobiSerif Regular" w:hAnsi="StobiSerif Regular"/>
          <w:lang w:val="mk-MK"/>
        </w:rPr>
      </w:pPr>
      <w:r w:rsidRPr="00DD7020">
        <w:rPr>
          <w:rFonts w:ascii="StobiSerif Regular" w:hAnsi="StobiSerif Regular"/>
          <w:lang w:val="mk-MK"/>
        </w:rPr>
        <w:t>Во точка бр.4.4 е даден бројот на претплатници на пристап до интернет преку јавна радиокомуникациска мрежа кој изнесува 22.345 претплатници односно споредено со претходниот</w:t>
      </w:r>
      <w:r>
        <w:rPr>
          <w:rFonts w:ascii="StobiSerif Regular" w:hAnsi="StobiSerif Regular"/>
          <w:lang w:val="mk-MK"/>
        </w:rPr>
        <w:t xml:space="preserve"> година</w:t>
      </w:r>
      <w:r w:rsidRPr="00DD7020">
        <w:rPr>
          <w:rFonts w:ascii="StobiSerif Regular" w:hAnsi="StobiSerif Regular"/>
          <w:lang w:val="mk-MK"/>
        </w:rPr>
        <w:t xml:space="preserve"> се забе</w:t>
      </w:r>
      <w:r>
        <w:rPr>
          <w:rFonts w:ascii="StobiSerif Regular" w:hAnsi="StobiSerif Regular"/>
          <w:lang w:val="mk-MK"/>
        </w:rPr>
        <w:t>лежува  раст</w:t>
      </w:r>
      <w:r w:rsidRPr="00DD7020">
        <w:rPr>
          <w:rFonts w:ascii="StobiSerif Regular" w:hAnsi="StobiSerif Regular"/>
          <w:lang w:val="mk-MK"/>
        </w:rPr>
        <w:t xml:space="preserve"> од  </w:t>
      </w:r>
      <w:r>
        <w:rPr>
          <w:rFonts w:ascii="StobiSerif Regular" w:hAnsi="StobiSerif Regular"/>
          <w:lang w:val="mk-MK"/>
        </w:rPr>
        <w:t>8,79</w:t>
      </w:r>
      <w:r w:rsidRPr="00DD7020">
        <w:rPr>
          <w:rFonts w:ascii="StobiSerif Regular" w:hAnsi="StobiSerif Regular"/>
          <w:lang w:val="mk-MK"/>
        </w:rPr>
        <w:t>%</w:t>
      </w:r>
      <w:r>
        <w:rPr>
          <w:rFonts w:ascii="StobiSerif Regular" w:hAnsi="StobiSerif Regular"/>
          <w:lang w:val="mk-MK"/>
        </w:rPr>
        <w:t>.</w:t>
      </w:r>
    </w:p>
    <w:p w:rsidR="00DD7020" w:rsidRDefault="00DD7020" w:rsidP="00020F47">
      <w:pPr>
        <w:spacing w:after="0"/>
        <w:rPr>
          <w:rFonts w:ascii="StobiSerif Regular" w:hAnsi="StobiSerif Regular"/>
          <w:lang w:val="mk-MK"/>
        </w:rPr>
      </w:pPr>
      <w:r w:rsidRPr="00DD7020">
        <w:rPr>
          <w:rFonts w:ascii="StobiSerif Regular" w:hAnsi="StobiSerif Regular"/>
          <w:lang w:val="mk-MK"/>
        </w:rPr>
        <w:t xml:space="preserve">Во точка бр.4.5 е даден бројот на претплатници на пристап до интернет преку изнајмени линии, каде се забележува </w:t>
      </w:r>
      <w:r>
        <w:rPr>
          <w:rFonts w:ascii="StobiSerif Regular" w:hAnsi="StobiSerif Regular"/>
          <w:lang w:val="mk-MK"/>
        </w:rPr>
        <w:t>раст од 9,0</w:t>
      </w:r>
      <w:r w:rsidRPr="00DD7020">
        <w:rPr>
          <w:rFonts w:ascii="StobiSerif Regular" w:hAnsi="StobiSerif Regular"/>
          <w:lang w:val="mk-MK"/>
        </w:rPr>
        <w:t>8% споредено</w:t>
      </w:r>
      <w:r>
        <w:rPr>
          <w:rFonts w:ascii="StobiSerif Regular" w:hAnsi="StobiSerif Regular"/>
          <w:lang w:val="mk-MK"/>
        </w:rPr>
        <w:t xml:space="preserve"> со 2010</w:t>
      </w:r>
      <w:r w:rsidRPr="00DD7020">
        <w:rPr>
          <w:rFonts w:ascii="StobiSerif Regular" w:hAnsi="StobiSerif Regular"/>
          <w:lang w:val="mk-MK"/>
        </w:rPr>
        <w:t xml:space="preserve"> година</w:t>
      </w:r>
      <w:r>
        <w:rPr>
          <w:rFonts w:ascii="StobiSerif Regular" w:hAnsi="StobiSerif Regular"/>
          <w:lang w:val="mk-MK"/>
        </w:rPr>
        <w:t>.</w:t>
      </w:r>
    </w:p>
    <w:p w:rsidR="00DD7020" w:rsidRDefault="00DD7020" w:rsidP="00ED13EE">
      <w:pPr>
        <w:spacing w:after="0"/>
        <w:rPr>
          <w:rFonts w:ascii="StobiSerif Regular" w:hAnsi="StobiSerif Regular"/>
          <w:lang w:val="mk-MK"/>
        </w:rPr>
      </w:pPr>
      <w:r w:rsidRPr="00DD7020">
        <w:rPr>
          <w:rFonts w:ascii="StobiSerif Regular" w:hAnsi="StobiSerif Regular"/>
          <w:lang w:val="mk-MK"/>
        </w:rPr>
        <w:t xml:space="preserve">Во точка бр.4.6 е даден бројот на претплатници на пристап до интернет преку </w:t>
      </w:r>
      <w:r w:rsidRPr="00DD7020">
        <w:rPr>
          <w:rFonts w:ascii="StobiSerif Regular" w:hAnsi="StobiSerif Regular"/>
        </w:rPr>
        <w:t xml:space="preserve">LAN </w:t>
      </w:r>
      <w:r w:rsidRPr="00DD7020">
        <w:rPr>
          <w:rFonts w:ascii="StobiSerif Regular" w:hAnsi="StobiSerif Regular"/>
          <w:lang w:val="mk-MK"/>
        </w:rPr>
        <w:t xml:space="preserve">мрежи, каде  се  забележува раст од </w:t>
      </w:r>
      <w:r>
        <w:rPr>
          <w:rFonts w:ascii="StobiSerif Regular" w:hAnsi="StobiSerif Regular"/>
          <w:lang w:val="mk-MK"/>
        </w:rPr>
        <w:t>26,32</w:t>
      </w:r>
      <w:r w:rsidRPr="00DD7020">
        <w:rPr>
          <w:rFonts w:ascii="StobiSerif Regular" w:hAnsi="StobiSerif Regular"/>
          <w:lang w:val="mk-MK"/>
        </w:rPr>
        <w:t>%</w:t>
      </w:r>
      <w:r>
        <w:rPr>
          <w:rFonts w:ascii="StobiSerif Regular" w:hAnsi="StobiSerif Regular"/>
          <w:lang w:val="mk-MK"/>
        </w:rPr>
        <w:t xml:space="preserve"> во однос на претходната година.</w:t>
      </w:r>
    </w:p>
    <w:p w:rsidR="00CD69AB" w:rsidRPr="00DD7020" w:rsidRDefault="00CD69AB" w:rsidP="00ED13EE">
      <w:pPr>
        <w:spacing w:after="0"/>
        <w:rPr>
          <w:color w:val="FF0000"/>
          <w:lang w:val="mk-MK"/>
        </w:rPr>
      </w:pPr>
    </w:p>
    <w:p w:rsidR="001B6A15" w:rsidRDefault="00DA338B" w:rsidP="00F10E25">
      <w:pPr>
        <w:spacing w:after="0" w:line="240" w:lineRule="auto"/>
        <w:jc w:val="center"/>
      </w:pPr>
      <w:r>
        <w:rPr>
          <w:noProof/>
          <w:lang w:val="mk-MK" w:eastAsia="mk-MK" w:bidi="ar-SA"/>
        </w:rPr>
        <w:drawing>
          <wp:inline distT="0" distB="0" distL="0" distR="0">
            <wp:extent cx="5480116" cy="3182587"/>
            <wp:effectExtent l="19050" t="0" r="25334"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6A15" w:rsidRPr="003B70B4" w:rsidRDefault="00951091" w:rsidP="00951091">
      <w:pPr>
        <w:pStyle w:val="Caption"/>
        <w:jc w:val="center"/>
        <w:rPr>
          <w:color w:val="4F6228" w:themeColor="accent3" w:themeShade="80"/>
          <w:lang w:val="mk-MK"/>
        </w:rPr>
      </w:pPr>
      <w:bookmarkStart w:id="38" w:name="_Toc327269956"/>
      <w:r w:rsidRPr="00951091">
        <w:rPr>
          <w:color w:val="4F6228" w:themeColor="accent3" w:themeShade="80"/>
        </w:rPr>
        <w:t xml:space="preserve">Графикон </w:t>
      </w:r>
      <w:r w:rsidR="001E0707" w:rsidRPr="00951091">
        <w:rPr>
          <w:color w:val="4F6228" w:themeColor="accent3" w:themeShade="80"/>
        </w:rPr>
        <w:fldChar w:fldCharType="begin"/>
      </w:r>
      <w:r w:rsidRPr="00951091">
        <w:rPr>
          <w:color w:val="4F6228" w:themeColor="accent3" w:themeShade="80"/>
        </w:rPr>
        <w:instrText xml:space="preserve"> SEQ Графикон \* ARABIC </w:instrText>
      </w:r>
      <w:r w:rsidR="001E0707" w:rsidRPr="00951091">
        <w:rPr>
          <w:color w:val="4F6228" w:themeColor="accent3" w:themeShade="80"/>
        </w:rPr>
        <w:fldChar w:fldCharType="separate"/>
      </w:r>
      <w:r w:rsidR="004E5FA2">
        <w:rPr>
          <w:noProof/>
          <w:color w:val="4F6228" w:themeColor="accent3" w:themeShade="80"/>
        </w:rPr>
        <w:t>20</w:t>
      </w:r>
      <w:r w:rsidR="001E0707" w:rsidRPr="00951091">
        <w:rPr>
          <w:color w:val="4F6228" w:themeColor="accent3" w:themeShade="80"/>
        </w:rPr>
        <w:fldChar w:fldCharType="end"/>
      </w:r>
      <w:r w:rsidRPr="00951091">
        <w:rPr>
          <w:color w:val="4F6228" w:themeColor="accent3" w:themeShade="80"/>
          <w:lang w:val="mk-MK"/>
        </w:rPr>
        <w:t xml:space="preserve"> Број</w:t>
      </w:r>
      <w:r w:rsidRPr="003B70B4">
        <w:rPr>
          <w:color w:val="4F6228" w:themeColor="accent3" w:themeShade="80"/>
          <w:lang w:val="mk-MK"/>
        </w:rPr>
        <w:t xml:space="preserve"> на претплатници на пристап до интернет со</w:t>
      </w:r>
      <w:r w:rsidR="00DD7020">
        <w:rPr>
          <w:color w:val="4F6228" w:themeColor="accent3" w:themeShade="80"/>
          <w:lang w:val="mk-MK"/>
        </w:rPr>
        <w:t xml:space="preserve"> тесен опсег по квартали во 2011</w:t>
      </w:r>
      <w:r w:rsidRPr="003B70B4">
        <w:rPr>
          <w:color w:val="4F6228" w:themeColor="accent3" w:themeShade="80"/>
          <w:lang w:val="mk-MK"/>
        </w:rPr>
        <w:t xml:space="preserve"> година</w:t>
      </w:r>
      <w:bookmarkEnd w:id="38"/>
    </w:p>
    <w:p w:rsidR="001B6A15" w:rsidRDefault="001B6A15" w:rsidP="00F10E25">
      <w:pPr>
        <w:spacing w:after="0" w:line="240" w:lineRule="auto"/>
        <w:jc w:val="center"/>
      </w:pPr>
    </w:p>
    <w:p w:rsidR="00AD7B92" w:rsidRDefault="00FB4D2D" w:rsidP="00CB5435">
      <w:pPr>
        <w:spacing w:after="0"/>
        <w:rPr>
          <w:lang w:val="mk-MK"/>
        </w:rPr>
      </w:pPr>
      <w:r>
        <w:rPr>
          <w:lang w:val="mk-MK"/>
        </w:rPr>
        <w:t xml:space="preserve">Во графиконот </w:t>
      </w:r>
      <w:r w:rsidR="002B02FD">
        <w:rPr>
          <w:lang w:val="mk-MK"/>
        </w:rPr>
        <w:t>бр.20</w:t>
      </w:r>
      <w:r w:rsidR="000814B1">
        <w:rPr>
          <w:lang w:val="mk-MK"/>
        </w:rPr>
        <w:t xml:space="preserve"> е прикажан бројот на активни претплатници на пристап до интернет со</w:t>
      </w:r>
      <w:r w:rsidR="00E0659C">
        <w:rPr>
          <w:lang w:val="mk-MK"/>
        </w:rPr>
        <w:t xml:space="preserve"> тесен опсег по квартали во 2</w:t>
      </w:r>
      <w:r w:rsidR="00DD7020">
        <w:rPr>
          <w:lang w:val="mk-MK"/>
        </w:rPr>
        <w:t>011</w:t>
      </w:r>
      <w:r w:rsidR="000814B1">
        <w:rPr>
          <w:lang w:val="mk-MK"/>
        </w:rPr>
        <w:t xml:space="preserve"> година.</w:t>
      </w:r>
      <w:r w:rsidR="00AD7B92">
        <w:rPr>
          <w:lang w:val="mk-MK"/>
        </w:rPr>
        <w:t xml:space="preserve"> </w:t>
      </w:r>
      <w:r w:rsidR="000814B1">
        <w:rPr>
          <w:lang w:val="mk-MK"/>
        </w:rPr>
        <w:t>Од графиконот може да се забележи константен  пад на активните претплатници, при шт</w:t>
      </w:r>
      <w:r w:rsidR="00066584">
        <w:rPr>
          <w:lang w:val="mk-MK"/>
        </w:rPr>
        <w:t xml:space="preserve">о нивниот број </w:t>
      </w:r>
      <w:r w:rsidR="000814B1">
        <w:rPr>
          <w:lang w:val="mk-MK"/>
        </w:rPr>
        <w:t xml:space="preserve">во четвртиот квартал </w:t>
      </w:r>
      <w:r w:rsidR="00DD7020">
        <w:rPr>
          <w:lang w:val="mk-MK"/>
        </w:rPr>
        <w:t>од 2011 година изнесува 1.080</w:t>
      </w:r>
      <w:r w:rsidR="00066584">
        <w:rPr>
          <w:lang w:val="mk-MK"/>
        </w:rPr>
        <w:t xml:space="preserve"> претплатници.</w:t>
      </w:r>
      <w:r w:rsidR="00AD7B92">
        <w:rPr>
          <w:lang w:val="mk-MK"/>
        </w:rPr>
        <w:t xml:space="preserve"> </w:t>
      </w:r>
      <w:r w:rsidR="00066584">
        <w:rPr>
          <w:lang w:val="mk-MK"/>
        </w:rPr>
        <w:t>Споредено со првиот квартал од истата година се забележува</w:t>
      </w:r>
      <w:r w:rsidR="00DD7020">
        <w:rPr>
          <w:lang w:val="mk-MK"/>
        </w:rPr>
        <w:t xml:space="preserve"> пад од 27,0</w:t>
      </w:r>
      <w:r w:rsidR="00E0659C">
        <w:rPr>
          <w:lang w:val="mk-MK"/>
        </w:rPr>
        <w:t>7</w:t>
      </w:r>
      <w:r w:rsidR="00AD7B92">
        <w:rPr>
          <w:lang w:val="mk-MK"/>
        </w:rPr>
        <w:t>%.</w:t>
      </w:r>
      <w:r w:rsidR="00066584">
        <w:rPr>
          <w:lang w:val="mk-MK"/>
        </w:rPr>
        <w:t xml:space="preserve"> </w:t>
      </w:r>
    </w:p>
    <w:p w:rsidR="00AD7B92" w:rsidRDefault="00AD7B92" w:rsidP="00AD7B92">
      <w:pPr>
        <w:spacing w:after="0" w:line="240" w:lineRule="auto"/>
        <w:rPr>
          <w:lang w:val="mk-MK"/>
        </w:rPr>
      </w:pPr>
    </w:p>
    <w:p w:rsidR="00AD7B92" w:rsidRDefault="00AD7B92" w:rsidP="00AD7B92">
      <w:pPr>
        <w:spacing w:after="0" w:line="240" w:lineRule="auto"/>
        <w:rPr>
          <w:lang w:val="mk-MK"/>
        </w:rPr>
      </w:pPr>
    </w:p>
    <w:p w:rsidR="00F10E25" w:rsidRDefault="001B6A15" w:rsidP="00AD7B92">
      <w:pPr>
        <w:spacing w:after="0" w:line="240" w:lineRule="auto"/>
        <w:jc w:val="center"/>
        <w:rPr>
          <w:lang w:val="mk-MK"/>
        </w:rPr>
      </w:pPr>
      <w:r>
        <w:rPr>
          <w:noProof/>
          <w:lang w:val="mk-MK" w:eastAsia="mk-MK" w:bidi="ar-SA"/>
        </w:rPr>
        <w:drawing>
          <wp:inline distT="0" distB="0" distL="0" distR="0">
            <wp:extent cx="5490830" cy="3359888"/>
            <wp:effectExtent l="19050" t="0" r="1462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91FCD" w:rsidRDefault="00291FCD" w:rsidP="00AD7B92">
      <w:pPr>
        <w:spacing w:after="0" w:line="240" w:lineRule="auto"/>
        <w:jc w:val="center"/>
        <w:rPr>
          <w:lang w:val="mk-MK"/>
        </w:rPr>
      </w:pPr>
    </w:p>
    <w:p w:rsidR="00896D97" w:rsidRPr="00951091" w:rsidRDefault="00951091" w:rsidP="00951091">
      <w:pPr>
        <w:pStyle w:val="Caption"/>
        <w:jc w:val="center"/>
        <w:rPr>
          <w:color w:val="4F6228" w:themeColor="accent3" w:themeShade="80"/>
          <w:lang w:val="mk-MK"/>
        </w:rPr>
      </w:pPr>
      <w:bookmarkStart w:id="39" w:name="_Toc327269957"/>
      <w:r w:rsidRPr="00951091">
        <w:rPr>
          <w:color w:val="4F6228" w:themeColor="accent3" w:themeShade="80"/>
        </w:rPr>
        <w:t xml:space="preserve">Графикон </w:t>
      </w:r>
      <w:r w:rsidR="001E0707" w:rsidRPr="00951091">
        <w:rPr>
          <w:color w:val="4F6228" w:themeColor="accent3" w:themeShade="80"/>
        </w:rPr>
        <w:fldChar w:fldCharType="begin"/>
      </w:r>
      <w:r w:rsidRPr="00951091">
        <w:rPr>
          <w:color w:val="4F6228" w:themeColor="accent3" w:themeShade="80"/>
        </w:rPr>
        <w:instrText xml:space="preserve"> SEQ Графикон \* ARABIC </w:instrText>
      </w:r>
      <w:r w:rsidR="001E0707" w:rsidRPr="00951091">
        <w:rPr>
          <w:color w:val="4F6228" w:themeColor="accent3" w:themeShade="80"/>
        </w:rPr>
        <w:fldChar w:fldCharType="separate"/>
      </w:r>
      <w:r w:rsidR="004E5FA2">
        <w:rPr>
          <w:noProof/>
          <w:color w:val="4F6228" w:themeColor="accent3" w:themeShade="80"/>
        </w:rPr>
        <w:t>21</w:t>
      </w:r>
      <w:r w:rsidR="001E0707" w:rsidRPr="00951091">
        <w:rPr>
          <w:color w:val="4F6228" w:themeColor="accent3" w:themeShade="80"/>
        </w:rPr>
        <w:fldChar w:fldCharType="end"/>
      </w:r>
      <w:r w:rsidRPr="00951091">
        <w:rPr>
          <w:color w:val="4F6228" w:themeColor="accent3" w:themeShade="80"/>
          <w:lang w:val="mk-MK"/>
        </w:rPr>
        <w:t xml:space="preserve"> Број на претплатници на пристап до интернет со </w:t>
      </w:r>
      <w:r w:rsidR="00095BEC">
        <w:rPr>
          <w:color w:val="4F6228" w:themeColor="accent3" w:themeShade="80"/>
          <w:lang w:val="mk-MK"/>
        </w:rPr>
        <w:t>широк опсег по квартали</w:t>
      </w:r>
      <w:r w:rsidR="00095BEC">
        <w:rPr>
          <w:color w:val="4F6228" w:themeColor="accent3" w:themeShade="80"/>
          <w:lang w:val="mk-MK"/>
        </w:rPr>
        <w:br/>
        <w:t xml:space="preserve"> во 2011</w:t>
      </w:r>
      <w:r w:rsidRPr="00951091">
        <w:rPr>
          <w:color w:val="4F6228" w:themeColor="accent3" w:themeShade="80"/>
          <w:lang w:val="mk-MK"/>
        </w:rPr>
        <w:t xml:space="preserve"> година</w:t>
      </w:r>
      <w:bookmarkEnd w:id="39"/>
    </w:p>
    <w:p w:rsidR="00AD7B92" w:rsidRDefault="00AD7B92" w:rsidP="00CB5435">
      <w:pPr>
        <w:spacing w:after="0"/>
        <w:rPr>
          <w:lang w:val="mk-MK"/>
        </w:rPr>
      </w:pPr>
    </w:p>
    <w:p w:rsidR="00F10E25" w:rsidRPr="00E55156" w:rsidRDefault="00AD7B92" w:rsidP="00CB5435">
      <w:pPr>
        <w:spacing w:after="0"/>
        <w:rPr>
          <w:color w:val="FF0000"/>
          <w:lang w:val="mk-MK"/>
        </w:rPr>
      </w:pPr>
      <w:r>
        <w:rPr>
          <w:lang w:val="mk-MK"/>
        </w:rPr>
        <w:t xml:space="preserve">Во графиконот </w:t>
      </w:r>
      <w:r w:rsidR="002B02FD">
        <w:rPr>
          <w:lang w:val="mk-MK"/>
        </w:rPr>
        <w:t>бр.21</w:t>
      </w:r>
      <w:r w:rsidR="00AB4A28">
        <w:rPr>
          <w:lang w:val="mk-MK"/>
        </w:rPr>
        <w:t xml:space="preserve"> </w:t>
      </w:r>
      <w:r w:rsidR="00066584">
        <w:rPr>
          <w:lang w:val="mk-MK"/>
        </w:rPr>
        <w:t xml:space="preserve">е прикажан бројот на активни претплатници на пристап на интернет </w:t>
      </w:r>
      <w:r>
        <w:rPr>
          <w:lang w:val="mk-MK"/>
        </w:rPr>
        <w:t xml:space="preserve">со широк опсег </w:t>
      </w:r>
      <w:r w:rsidR="00095BEC">
        <w:rPr>
          <w:lang w:val="mk-MK"/>
        </w:rPr>
        <w:t>по квартали во 2011</w:t>
      </w:r>
      <w:r w:rsidR="00066584">
        <w:rPr>
          <w:lang w:val="mk-MK"/>
        </w:rPr>
        <w:t xml:space="preserve"> година.</w:t>
      </w:r>
      <w:r>
        <w:rPr>
          <w:lang w:val="mk-MK"/>
        </w:rPr>
        <w:t xml:space="preserve"> </w:t>
      </w:r>
      <w:r w:rsidR="00066584">
        <w:rPr>
          <w:lang w:val="mk-MK"/>
        </w:rPr>
        <w:t>Од графиконот може да се забележи константен  раст на активните пре</w:t>
      </w:r>
      <w:r>
        <w:rPr>
          <w:lang w:val="mk-MK"/>
        </w:rPr>
        <w:t>тплатници, при што нивниот број</w:t>
      </w:r>
      <w:r w:rsidR="00066584">
        <w:rPr>
          <w:lang w:val="mk-MK"/>
        </w:rPr>
        <w:t xml:space="preserve"> во четвртиот квартал</w:t>
      </w:r>
      <w:r w:rsidR="00095BEC">
        <w:rPr>
          <w:lang w:val="mk-MK"/>
        </w:rPr>
        <w:t xml:space="preserve"> од 2011 година изнесува 282.370</w:t>
      </w:r>
      <w:r w:rsidR="00066584">
        <w:rPr>
          <w:lang w:val="mk-MK"/>
        </w:rPr>
        <w:t xml:space="preserve"> претплатници.</w:t>
      </w:r>
      <w:r>
        <w:rPr>
          <w:lang w:val="mk-MK"/>
        </w:rPr>
        <w:t xml:space="preserve"> </w:t>
      </w:r>
      <w:r w:rsidR="00066584">
        <w:rPr>
          <w:lang w:val="mk-MK"/>
        </w:rPr>
        <w:t>Споредено со првиот квартал од истата год</w:t>
      </w:r>
      <w:r w:rsidR="00095BEC">
        <w:rPr>
          <w:lang w:val="mk-MK"/>
        </w:rPr>
        <w:t>ина се забележува раст  од 7,07</w:t>
      </w:r>
      <w:r w:rsidR="00066584">
        <w:rPr>
          <w:lang w:val="mk-MK"/>
        </w:rPr>
        <w:t>%.</w:t>
      </w:r>
      <w:r w:rsidR="00AB4A28">
        <w:rPr>
          <w:lang w:val="mk-MK"/>
        </w:rPr>
        <w:t xml:space="preserve"> </w:t>
      </w:r>
    </w:p>
    <w:p w:rsidR="00F10E25" w:rsidRDefault="00E216D8" w:rsidP="00E216D8">
      <w:pPr>
        <w:spacing w:after="0" w:line="240" w:lineRule="auto"/>
        <w:jc w:val="center"/>
        <w:rPr>
          <w:color w:val="FF0000"/>
          <w:lang w:val="mk-MK"/>
        </w:rPr>
      </w:pPr>
      <w:r w:rsidRPr="00E216D8">
        <w:rPr>
          <w:noProof/>
          <w:color w:val="FF0000"/>
          <w:lang w:val="mk-MK" w:eastAsia="mk-MK" w:bidi="ar-SA"/>
        </w:rPr>
        <w:lastRenderedPageBreak/>
        <w:drawing>
          <wp:inline distT="0" distB="0" distL="0" distR="0">
            <wp:extent cx="5712311" cy="3345628"/>
            <wp:effectExtent l="19050" t="0" r="21739" b="7172"/>
            <wp:docPr id="5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51091" w:rsidRPr="00E216D8" w:rsidRDefault="00951091" w:rsidP="00E216D8">
      <w:pPr>
        <w:spacing w:after="0" w:line="240" w:lineRule="auto"/>
        <w:jc w:val="center"/>
        <w:rPr>
          <w:color w:val="FF0000"/>
          <w:lang w:val="mk-MK"/>
        </w:rPr>
      </w:pPr>
    </w:p>
    <w:p w:rsidR="00951091" w:rsidRPr="00951091" w:rsidRDefault="00951091" w:rsidP="00951091">
      <w:pPr>
        <w:pStyle w:val="Caption"/>
        <w:jc w:val="center"/>
        <w:rPr>
          <w:color w:val="4F6228" w:themeColor="accent3" w:themeShade="80"/>
          <w:lang w:val="mk-MK"/>
        </w:rPr>
      </w:pPr>
      <w:bookmarkStart w:id="40" w:name="_Toc327269958"/>
      <w:r w:rsidRPr="00951091">
        <w:rPr>
          <w:color w:val="4F6228" w:themeColor="accent3" w:themeShade="80"/>
        </w:rPr>
        <w:t xml:space="preserve">Графикон </w:t>
      </w:r>
      <w:r w:rsidR="001E0707" w:rsidRPr="00951091">
        <w:rPr>
          <w:color w:val="4F6228" w:themeColor="accent3" w:themeShade="80"/>
        </w:rPr>
        <w:fldChar w:fldCharType="begin"/>
      </w:r>
      <w:r w:rsidRPr="00951091">
        <w:rPr>
          <w:color w:val="4F6228" w:themeColor="accent3" w:themeShade="80"/>
        </w:rPr>
        <w:instrText xml:space="preserve"> SEQ Графикон \* ARABIC </w:instrText>
      </w:r>
      <w:r w:rsidR="001E0707" w:rsidRPr="00951091">
        <w:rPr>
          <w:color w:val="4F6228" w:themeColor="accent3" w:themeShade="80"/>
        </w:rPr>
        <w:fldChar w:fldCharType="separate"/>
      </w:r>
      <w:r w:rsidR="004E5FA2">
        <w:rPr>
          <w:noProof/>
          <w:color w:val="4F6228" w:themeColor="accent3" w:themeShade="80"/>
        </w:rPr>
        <w:t>22</w:t>
      </w:r>
      <w:r w:rsidR="001E0707" w:rsidRPr="00951091">
        <w:rPr>
          <w:color w:val="4F6228" w:themeColor="accent3" w:themeShade="80"/>
        </w:rPr>
        <w:fldChar w:fldCharType="end"/>
      </w:r>
      <w:r w:rsidRPr="00951091">
        <w:rPr>
          <w:color w:val="4F6228" w:themeColor="accent3" w:themeShade="80"/>
        </w:rPr>
        <w:t xml:space="preserve"> Удел на бројот на претплатници на пристап до интернет по технологии </w:t>
      </w:r>
      <w:r w:rsidRPr="00951091">
        <w:rPr>
          <w:color w:val="4F6228" w:themeColor="accent3" w:themeShade="80"/>
          <w:lang w:val="mk-MK"/>
        </w:rPr>
        <w:br/>
      </w:r>
      <w:r w:rsidR="00095BEC">
        <w:rPr>
          <w:color w:val="4F6228" w:themeColor="accent3" w:themeShade="80"/>
        </w:rPr>
        <w:t>во 201</w:t>
      </w:r>
      <w:r w:rsidR="00095BEC">
        <w:rPr>
          <w:color w:val="4F6228" w:themeColor="accent3" w:themeShade="80"/>
          <w:lang w:val="mk-MK"/>
        </w:rPr>
        <w:t>1</w:t>
      </w:r>
      <w:r w:rsidRPr="00951091">
        <w:rPr>
          <w:color w:val="4F6228" w:themeColor="accent3" w:themeShade="80"/>
        </w:rPr>
        <w:t xml:space="preserve"> година</w:t>
      </w:r>
      <w:bookmarkEnd w:id="40"/>
    </w:p>
    <w:p w:rsidR="00951091" w:rsidRDefault="00951091" w:rsidP="00951091">
      <w:pPr>
        <w:pStyle w:val="Caption"/>
        <w:jc w:val="center"/>
      </w:pPr>
    </w:p>
    <w:p w:rsidR="00E216D8" w:rsidRPr="006D0D57" w:rsidRDefault="00E216D8" w:rsidP="00E216D8">
      <w:pPr>
        <w:pStyle w:val="Default"/>
        <w:spacing w:line="276" w:lineRule="auto"/>
        <w:jc w:val="both"/>
        <w:rPr>
          <w:rFonts w:asciiTheme="minorHAnsi" w:hAnsiTheme="minorHAnsi"/>
          <w:sz w:val="22"/>
          <w:szCs w:val="22"/>
        </w:rPr>
      </w:pPr>
      <w:r w:rsidRPr="009A58B9">
        <w:rPr>
          <w:rFonts w:asciiTheme="minorHAnsi" w:hAnsiTheme="minorHAnsi"/>
          <w:sz w:val="22"/>
          <w:szCs w:val="22"/>
          <w:lang w:val="mk-MK"/>
        </w:rPr>
        <w:t xml:space="preserve">Во </w:t>
      </w:r>
      <w:r w:rsidRPr="006350C4">
        <w:rPr>
          <w:rFonts w:asciiTheme="minorHAnsi" w:hAnsiTheme="minorHAnsi"/>
          <w:color w:val="auto"/>
          <w:sz w:val="22"/>
          <w:szCs w:val="22"/>
          <w:lang w:val="mk-MK"/>
        </w:rPr>
        <w:t xml:space="preserve">Графиконот </w:t>
      </w:r>
      <w:r w:rsidR="002B02FD">
        <w:rPr>
          <w:rFonts w:asciiTheme="minorHAnsi" w:hAnsiTheme="minorHAnsi"/>
          <w:color w:val="auto"/>
          <w:sz w:val="22"/>
          <w:szCs w:val="22"/>
          <w:lang w:val="mk-MK"/>
        </w:rPr>
        <w:t>бр.22</w:t>
      </w:r>
      <w:r w:rsidRPr="006350C4">
        <w:rPr>
          <w:rFonts w:asciiTheme="minorHAnsi" w:hAnsiTheme="minorHAnsi"/>
          <w:color w:val="auto"/>
          <w:sz w:val="22"/>
          <w:szCs w:val="22"/>
          <w:lang w:val="mk-MK"/>
        </w:rPr>
        <w:t xml:space="preserve"> е даден</w:t>
      </w:r>
      <w:r>
        <w:rPr>
          <w:rFonts w:asciiTheme="minorHAnsi" w:hAnsiTheme="minorHAnsi"/>
          <w:sz w:val="22"/>
          <w:szCs w:val="22"/>
          <w:lang w:val="mk-MK"/>
        </w:rPr>
        <w:t xml:space="preserve"> уделот на претплатници на пристап д</w:t>
      </w:r>
      <w:r w:rsidR="00095BEC">
        <w:rPr>
          <w:rFonts w:asciiTheme="minorHAnsi" w:hAnsiTheme="minorHAnsi"/>
          <w:sz w:val="22"/>
          <w:szCs w:val="22"/>
          <w:lang w:val="mk-MK"/>
        </w:rPr>
        <w:t>о интернет по технологии во 2011</w:t>
      </w:r>
      <w:r>
        <w:rPr>
          <w:rFonts w:asciiTheme="minorHAnsi" w:hAnsiTheme="minorHAnsi"/>
          <w:sz w:val="22"/>
          <w:szCs w:val="22"/>
          <w:lang w:val="mk-MK"/>
        </w:rPr>
        <w:t xml:space="preserve"> година, од графиконот може да се забележи дека најголем процент им припаѓа на оние претплатници кои имаат пристап до интернет преку јавна комуникациска мрежа </w:t>
      </w:r>
      <w:r>
        <w:rPr>
          <w:rFonts w:asciiTheme="minorHAnsi" w:hAnsiTheme="minorHAnsi"/>
          <w:sz w:val="22"/>
          <w:szCs w:val="22"/>
        </w:rPr>
        <w:t xml:space="preserve">xDSL </w:t>
      </w:r>
      <w:r w:rsidR="00095BEC">
        <w:rPr>
          <w:rFonts w:asciiTheme="minorHAnsi" w:hAnsiTheme="minorHAnsi"/>
          <w:sz w:val="22"/>
          <w:szCs w:val="22"/>
          <w:lang w:val="mk-MK"/>
        </w:rPr>
        <w:t>кој изнесува 54,48</w:t>
      </w:r>
      <w:r>
        <w:rPr>
          <w:rFonts w:asciiTheme="minorHAnsi" w:hAnsiTheme="minorHAnsi"/>
          <w:sz w:val="22"/>
          <w:szCs w:val="22"/>
          <w:lang w:val="mk-MK"/>
        </w:rPr>
        <w:t xml:space="preserve">%. Понатаму следуваат претплатниците кои имаат пристап до интернет преку јавна </w:t>
      </w:r>
      <w:r>
        <w:rPr>
          <w:rFonts w:asciiTheme="minorHAnsi" w:hAnsiTheme="minorHAnsi"/>
          <w:sz w:val="22"/>
          <w:szCs w:val="22"/>
        </w:rPr>
        <w:t xml:space="preserve">CaTV </w:t>
      </w:r>
      <w:r>
        <w:rPr>
          <w:rFonts w:asciiTheme="minorHAnsi" w:hAnsiTheme="minorHAnsi"/>
          <w:sz w:val="22"/>
          <w:szCs w:val="22"/>
          <w:lang w:val="mk-MK"/>
        </w:rPr>
        <w:t>мрежа</w:t>
      </w:r>
      <w:r>
        <w:rPr>
          <w:rFonts w:asciiTheme="minorHAnsi" w:hAnsiTheme="minorHAnsi"/>
          <w:sz w:val="22"/>
          <w:szCs w:val="22"/>
        </w:rPr>
        <w:t xml:space="preserve"> </w:t>
      </w:r>
      <w:r w:rsidR="00095BEC">
        <w:rPr>
          <w:rFonts w:asciiTheme="minorHAnsi" w:hAnsiTheme="minorHAnsi"/>
          <w:sz w:val="22"/>
          <w:szCs w:val="22"/>
          <w:lang w:val="mk-MK"/>
        </w:rPr>
        <w:t>нивниот удел е 31,39</w:t>
      </w:r>
      <w:r>
        <w:rPr>
          <w:rFonts w:asciiTheme="minorHAnsi" w:hAnsiTheme="minorHAnsi"/>
          <w:sz w:val="22"/>
          <w:szCs w:val="22"/>
          <w:lang w:val="mk-MK"/>
        </w:rPr>
        <w:t>%, следуваат претплатниците преку јавна радиокомуникациска мрежа (не се вклучени пре</w:t>
      </w:r>
      <w:r w:rsidR="00095BEC">
        <w:rPr>
          <w:rFonts w:asciiTheme="minorHAnsi" w:hAnsiTheme="minorHAnsi"/>
          <w:sz w:val="22"/>
          <w:szCs w:val="22"/>
          <w:lang w:val="mk-MK"/>
        </w:rPr>
        <w:t>тплатници преку мобилни мрежи) 7,9</w:t>
      </w:r>
      <w:r>
        <w:rPr>
          <w:rFonts w:asciiTheme="minorHAnsi" w:hAnsiTheme="minorHAnsi"/>
          <w:sz w:val="22"/>
          <w:szCs w:val="22"/>
          <w:lang w:val="mk-MK"/>
        </w:rPr>
        <w:t>2%, изнајмени линии 0,29%</w:t>
      </w:r>
      <w:r w:rsidR="00095BEC">
        <w:rPr>
          <w:rFonts w:asciiTheme="minorHAnsi" w:hAnsiTheme="minorHAnsi"/>
          <w:sz w:val="22"/>
          <w:szCs w:val="22"/>
          <w:lang w:val="mk-MK"/>
        </w:rPr>
        <w:t xml:space="preserve">, јавна оптичка мрежа 1,48% и јавна </w:t>
      </w:r>
      <w:r w:rsidR="00095BEC">
        <w:rPr>
          <w:rFonts w:asciiTheme="minorHAnsi" w:hAnsiTheme="minorHAnsi"/>
          <w:sz w:val="22"/>
          <w:szCs w:val="22"/>
        </w:rPr>
        <w:t xml:space="preserve">LAN </w:t>
      </w:r>
      <w:r w:rsidR="00095BEC">
        <w:rPr>
          <w:rFonts w:asciiTheme="minorHAnsi" w:hAnsiTheme="minorHAnsi"/>
          <w:sz w:val="22"/>
          <w:szCs w:val="22"/>
          <w:lang w:val="mk-MK"/>
        </w:rPr>
        <w:t>мрежа</w:t>
      </w:r>
      <w:r>
        <w:rPr>
          <w:rFonts w:asciiTheme="minorHAnsi" w:hAnsiTheme="minorHAnsi"/>
          <w:sz w:val="22"/>
          <w:szCs w:val="22"/>
          <w:lang w:val="mk-MK"/>
        </w:rPr>
        <w:t xml:space="preserve"> </w:t>
      </w:r>
      <w:r w:rsidR="00095BEC">
        <w:rPr>
          <w:rFonts w:asciiTheme="minorHAnsi" w:hAnsiTheme="minorHAnsi"/>
          <w:sz w:val="22"/>
          <w:szCs w:val="22"/>
          <w:lang w:val="mk-MK"/>
        </w:rPr>
        <w:t>4,44%.</w:t>
      </w:r>
    </w:p>
    <w:p w:rsidR="00E216D8" w:rsidRPr="00E216D8" w:rsidRDefault="00E216D8" w:rsidP="00E216D8">
      <w:pPr>
        <w:rPr>
          <w:lang w:val="mk-MK"/>
        </w:rPr>
      </w:pPr>
    </w:p>
    <w:p w:rsidR="00E216D8" w:rsidRPr="00E216D8" w:rsidRDefault="00E216D8" w:rsidP="00E216D8">
      <w:pPr>
        <w:spacing w:after="0" w:line="240" w:lineRule="auto"/>
        <w:jc w:val="center"/>
        <w:rPr>
          <w:color w:val="FF0000"/>
          <w:lang w:val="mk-MK"/>
        </w:rPr>
      </w:pPr>
    </w:p>
    <w:p w:rsidR="00E216D8" w:rsidRDefault="00E216D8" w:rsidP="00E216D8">
      <w:pPr>
        <w:spacing w:after="0" w:line="240" w:lineRule="auto"/>
        <w:jc w:val="center"/>
        <w:rPr>
          <w:color w:val="FF0000"/>
          <w:lang w:val="mk-MK"/>
        </w:rPr>
      </w:pPr>
    </w:p>
    <w:p w:rsidR="00E216D8" w:rsidRDefault="00E216D8" w:rsidP="00E216D8">
      <w:pPr>
        <w:spacing w:after="0" w:line="240" w:lineRule="auto"/>
        <w:jc w:val="center"/>
        <w:rPr>
          <w:color w:val="FF0000"/>
          <w:lang w:val="mk-MK"/>
        </w:rPr>
      </w:pPr>
    </w:p>
    <w:p w:rsidR="00E216D8" w:rsidRDefault="00E216D8" w:rsidP="00E216D8">
      <w:pPr>
        <w:spacing w:after="0" w:line="240" w:lineRule="auto"/>
        <w:jc w:val="center"/>
        <w:rPr>
          <w:color w:val="FF0000"/>
          <w:lang w:val="mk-MK"/>
        </w:rPr>
      </w:pPr>
    </w:p>
    <w:p w:rsidR="00E216D8" w:rsidRDefault="00E216D8" w:rsidP="00E216D8">
      <w:pPr>
        <w:spacing w:after="0" w:line="240" w:lineRule="auto"/>
        <w:jc w:val="center"/>
        <w:rPr>
          <w:color w:val="FF0000"/>
          <w:lang w:val="mk-MK"/>
        </w:rPr>
      </w:pPr>
    </w:p>
    <w:p w:rsidR="00E216D8" w:rsidRDefault="00E216D8" w:rsidP="00E216D8">
      <w:pPr>
        <w:spacing w:after="0" w:line="240" w:lineRule="auto"/>
        <w:jc w:val="center"/>
        <w:rPr>
          <w:color w:val="FF0000"/>
          <w:lang w:val="mk-MK"/>
        </w:rPr>
      </w:pPr>
    </w:p>
    <w:p w:rsidR="00E216D8" w:rsidRPr="00E55156" w:rsidRDefault="00E216D8" w:rsidP="00E216D8">
      <w:pPr>
        <w:spacing w:after="0" w:line="240" w:lineRule="auto"/>
        <w:jc w:val="center"/>
        <w:rPr>
          <w:color w:val="FF0000"/>
          <w:lang w:val="mk-MK"/>
        </w:rPr>
      </w:pPr>
    </w:p>
    <w:p w:rsidR="00F10E25" w:rsidRDefault="00F10E25">
      <w:pPr>
        <w:spacing w:after="0" w:line="240" w:lineRule="auto"/>
        <w:rPr>
          <w:lang w:val="mk-MK"/>
        </w:rPr>
      </w:pPr>
    </w:p>
    <w:p w:rsidR="00BB6095" w:rsidRDefault="00BB6095">
      <w:pPr>
        <w:spacing w:after="0" w:line="240" w:lineRule="auto"/>
        <w:rPr>
          <w:lang w:val="mk-MK"/>
        </w:rPr>
      </w:pPr>
    </w:p>
    <w:p w:rsidR="00D77D9F" w:rsidRDefault="00D77D9F" w:rsidP="00CB5435">
      <w:pPr>
        <w:spacing w:after="0"/>
        <w:rPr>
          <w:lang w:val="mk-MK"/>
        </w:rPr>
      </w:pPr>
      <w:r>
        <w:rPr>
          <w:lang w:val="mk-MK"/>
        </w:rPr>
        <w:br w:type="page"/>
      </w:r>
    </w:p>
    <w:p w:rsidR="0026084A" w:rsidRDefault="0026084A" w:rsidP="00CB5435">
      <w:pPr>
        <w:pStyle w:val="Heading1"/>
        <w:rPr>
          <w:lang w:val="mk-MK"/>
        </w:rPr>
      </w:pPr>
      <w:r>
        <w:rPr>
          <w:noProof/>
          <w:lang w:val="mk-MK" w:eastAsia="mk-MK" w:bidi="ar-SA"/>
        </w:rPr>
        <w:lastRenderedPageBreak/>
        <w:drawing>
          <wp:inline distT="0" distB="0" distL="0" distR="0">
            <wp:extent cx="6555356" cy="1020726"/>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6084A" w:rsidRDefault="0026084A" w:rsidP="00CB5435">
      <w:pPr>
        <w:pStyle w:val="Heading1"/>
        <w:rPr>
          <w:lang w:val="mk-MK"/>
        </w:rPr>
      </w:pPr>
    </w:p>
    <w:p w:rsidR="0026084A" w:rsidRDefault="0026084A" w:rsidP="00CB5435">
      <w:pPr>
        <w:pStyle w:val="Heading1"/>
        <w:rPr>
          <w:lang w:val="mk-MK"/>
        </w:rPr>
      </w:pPr>
    </w:p>
    <w:p w:rsidR="00E47DA7" w:rsidRPr="0032184F" w:rsidRDefault="0084417C" w:rsidP="00CB5435">
      <w:pPr>
        <w:pStyle w:val="Heading1"/>
        <w:rPr>
          <w:color w:val="403152" w:themeColor="accent4" w:themeShade="80"/>
          <w:lang w:val="mk-MK"/>
        </w:rPr>
      </w:pPr>
      <w:bookmarkStart w:id="41" w:name="_Toc327269933"/>
      <w:r>
        <w:rPr>
          <w:color w:val="403152" w:themeColor="accent4" w:themeShade="80"/>
          <w:lang w:val="mk-MK"/>
        </w:rPr>
        <w:t>5</w:t>
      </w:r>
      <w:r w:rsidR="00CB5435" w:rsidRPr="0032184F">
        <w:rPr>
          <w:color w:val="403152" w:themeColor="accent4" w:themeShade="80"/>
          <w:lang w:val="mk-MK"/>
        </w:rPr>
        <w:t xml:space="preserve">. </w:t>
      </w:r>
      <w:r w:rsidR="00D476FB" w:rsidRPr="0032184F">
        <w:rPr>
          <w:color w:val="403152" w:themeColor="accent4" w:themeShade="80"/>
          <w:lang w:val="mk-MK"/>
        </w:rPr>
        <w:t>Пренос на радио и ТВ сигнали до крајни корисници</w:t>
      </w:r>
      <w:bookmarkEnd w:id="41"/>
    </w:p>
    <w:p w:rsidR="00FC27E4" w:rsidRPr="00FC27E4" w:rsidRDefault="00FC27E4" w:rsidP="00FC27E4">
      <w:pPr>
        <w:rPr>
          <w:lang w:val="mk-MK"/>
        </w:rPr>
      </w:pPr>
    </w:p>
    <w:p w:rsidR="002C0685" w:rsidRDefault="002C0685" w:rsidP="002C0685">
      <w:pPr>
        <w:rPr>
          <w:lang w:val="mk-MK"/>
        </w:rPr>
      </w:pPr>
      <w:r w:rsidRPr="003B411F">
        <w:rPr>
          <w:lang w:val="mk-MK"/>
        </w:rPr>
        <w:t>Од</w:t>
      </w:r>
      <w:r w:rsidRPr="00295940">
        <w:rPr>
          <w:color w:val="FF0000"/>
          <w:lang w:val="mk-MK"/>
        </w:rPr>
        <w:t xml:space="preserve"> </w:t>
      </w:r>
      <w:r w:rsidR="00E9557B">
        <w:rPr>
          <w:lang w:val="mk-MK"/>
        </w:rPr>
        <w:t>86</w:t>
      </w:r>
      <w:r w:rsidRPr="00EA2375">
        <w:rPr>
          <w:lang w:val="mk-MK"/>
        </w:rPr>
        <w:t xml:space="preserve"> </w:t>
      </w:r>
      <w:r w:rsidRPr="003B411F">
        <w:rPr>
          <w:lang w:val="mk-MK"/>
        </w:rPr>
        <w:t xml:space="preserve">нотифицирани субјекти во службената евиденција на АЕК за обезбедување на услуги </w:t>
      </w:r>
      <w:r>
        <w:rPr>
          <w:lang w:val="mk-MK"/>
        </w:rPr>
        <w:t>поврзани со радиодифузија, како што се како што се: пренос на терестријални радио програмски сервиси, пренос на терестријални телевизиски програмски сервиси, реемитување на радио програмски сервиси, реемитување на т</w:t>
      </w:r>
      <w:r w:rsidR="00E9557B">
        <w:rPr>
          <w:lang w:val="mk-MK"/>
        </w:rPr>
        <w:t>елевизиски програмски сервиси 83</w:t>
      </w:r>
      <w:r w:rsidRPr="003B411F">
        <w:rPr>
          <w:lang w:val="mk-MK"/>
        </w:rPr>
        <w:t xml:space="preserve"> субјекти беа активни</w:t>
      </w:r>
      <w:r>
        <w:rPr>
          <w:lang w:val="mk-MK"/>
        </w:rPr>
        <w:t xml:space="preserve"> во </w:t>
      </w:r>
      <w:r w:rsidR="00E9557B">
        <w:rPr>
          <w:lang w:val="mk-MK"/>
        </w:rPr>
        <w:t>2011</w:t>
      </w:r>
      <w:r w:rsidRPr="003B411F">
        <w:rPr>
          <w:lang w:val="mk-MK"/>
        </w:rPr>
        <w:t xml:space="preserve"> година</w:t>
      </w:r>
      <w:r>
        <w:rPr>
          <w:lang w:val="mk-MK"/>
        </w:rPr>
        <w:t xml:space="preserve"> </w:t>
      </w:r>
      <w:r w:rsidRPr="003B411F">
        <w:rPr>
          <w:lang w:val="mk-MK"/>
        </w:rPr>
        <w:t>и тоа:</w:t>
      </w:r>
    </w:p>
    <w:p w:rsidR="0026084A" w:rsidRDefault="0026084A" w:rsidP="002C0685">
      <w:pPr>
        <w:pStyle w:val="ListParagraph"/>
        <w:numPr>
          <w:ilvl w:val="0"/>
          <w:numId w:val="12"/>
        </w:numPr>
        <w:rPr>
          <w:lang w:val="mk-MK"/>
        </w:rPr>
        <w:sectPr w:rsidR="0026084A" w:rsidSect="001F1E7E">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lastRenderedPageBreak/>
        <w:t xml:space="preserve">Близу-Скопје,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Империјал С-Скопје,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Систем кабел-Скопје,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Ани кабел сат-Скопје,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Ри-го кабел сат-Скопје,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Боди нет-Скопје,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Цаблетон-Скопје,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Тотал ТВ-Скопје,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ОНЕ-Скопје,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Македонски Телеком- 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Вива нет-Берово,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Микс нет-Битола,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Игмас нет-Битола,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 Омега 2 нет-Битола,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Галавизион 5 компани-Битола,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Сато нет-Брвеница,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Супер кабел-Брвеница,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Камсат-Виница,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Вин сат-Виница,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Крателсат-Виница,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КТВ 69-Виница,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Алмак сат-Гевгелија,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Спајдер-Гевгелија,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Спајдер нет-Гевгелија,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ГИВ Иван-Гостивар,</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Мултимедија нетворк-Гостивар,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Супер хит-Градско,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Г-он-Дебар,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БИВ Пирамида-Делчево,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Интерлајф-Демир Капија,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Омега нет-Демир Хисар,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Инел интернационал-Кавадарци,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Пешна-Кичево,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Кале 2001-Кичево,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lastRenderedPageBreak/>
        <w:t xml:space="preserve">Б2 нет-Кичево,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Астра плус-Кочани,</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риз-Кочани,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Филаделфија 2002-Кочани,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визион-Кочани,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Евростил-Крива Паланка,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Траншпед трејд-Крива Паланка,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Глобал нет-Крушево,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Оптикал нет-Куманово,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Парма шпед-Куманово,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Херби нет-Куманово,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Алтра сат 200-Охрид,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Инфел-Охрид,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ски-Прилеп,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нет-Прилеп,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КДС-ВТ-Пробиштип,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Студио андес-Радовиш,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То ми-Радовиш,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Канал 16-Ресен,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кам-Росоман,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Бамби нет-Ростуше,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л нет-Струга,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Градска ктв-Струга,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Арт нет-Струга,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Г-ктв-Струга,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К-ристал-Струга,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Профи соунд-Струга,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Кабел нет-Струмица,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ТРД Кабел-Струмица,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Скрембл-Струмица,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Теленет ком-Тетово,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Роби-Штип,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Пела Дигитал 2008- Струга,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Кабел ТВ ХДВ-Скопје,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lastRenderedPageBreak/>
        <w:t>Диги Плус Милтимедиа- Скопје,</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Тринг макс-Скопје,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Инел техник- Кавадарци,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Беко нет- Гостивар,</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 xml:space="preserve">Интер бим- Тетово,  </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Спејс тел нет- Скопје,</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Херби Нет Еден- Куманово,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Мултимедиа-Нет-Скопје</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lastRenderedPageBreak/>
        <w:t>БТВ Нет-Битола,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Кабелкалл- Кичево,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Скупи кабле-Скопје,</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Илинден медиа- Свети Николе,</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Фикаб- Тетово</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Кабел 2007-Струга</w:t>
      </w:r>
    </w:p>
    <w:p w:rsidR="00E9557B" w:rsidRPr="00E9557B" w:rsidRDefault="00E9557B" w:rsidP="00E9557B">
      <w:pPr>
        <w:pStyle w:val="ListParagraph"/>
        <w:numPr>
          <w:ilvl w:val="0"/>
          <w:numId w:val="12"/>
        </w:numPr>
        <w:ind w:left="927"/>
        <w:rPr>
          <w:rFonts w:ascii="StobiSerif Regular" w:hAnsi="StobiSerif Regular"/>
          <w:sz w:val="20"/>
          <w:szCs w:val="20"/>
          <w:lang w:val="mk-MK"/>
        </w:rPr>
      </w:pPr>
      <w:r w:rsidRPr="00E9557B">
        <w:rPr>
          <w:rFonts w:ascii="StobiSerif Regular" w:hAnsi="StobiSerif Regular"/>
          <w:sz w:val="20"/>
          <w:szCs w:val="20"/>
          <w:lang w:val="mk-MK"/>
        </w:rPr>
        <w:t>МедиаСат-Дебар.</w:t>
      </w:r>
    </w:p>
    <w:p w:rsidR="0026084A" w:rsidRDefault="0026084A" w:rsidP="00055979">
      <w:pPr>
        <w:pStyle w:val="Caption"/>
        <w:rPr>
          <w:lang w:val="mk-MK"/>
        </w:rPr>
        <w:sectPr w:rsidR="0026084A" w:rsidSect="0026084A">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num="2" w:space="708"/>
          <w:titlePg/>
          <w:docGrid w:linePitch="360"/>
        </w:sectPr>
      </w:pPr>
    </w:p>
    <w:p w:rsidR="00FC3A9F" w:rsidRDefault="00FC3A9F" w:rsidP="00055979">
      <w:pPr>
        <w:pStyle w:val="Caption"/>
        <w:rPr>
          <w:lang w:val="mk-MK"/>
        </w:rPr>
      </w:pPr>
    </w:p>
    <w:p w:rsidR="00A972C6" w:rsidRPr="0026084A" w:rsidRDefault="00D3204F" w:rsidP="00951091">
      <w:pPr>
        <w:pStyle w:val="Caption"/>
        <w:rPr>
          <w:color w:val="403152" w:themeColor="accent4" w:themeShade="80"/>
          <w:lang w:val="mk-MK"/>
        </w:rPr>
      </w:pPr>
      <w:r>
        <w:rPr>
          <w:noProof/>
          <w:color w:val="403152" w:themeColor="accent4" w:themeShade="80"/>
          <w:lang w:bidi="ar-SA"/>
        </w:rPr>
        <w:pict>
          <v:shape id="_x0000_s1076" type="#_x0000_t75" style="position:absolute;left:0;text-align:left;margin-left:40.9pt;margin-top:40.65pt;width:386.3pt;height:221.8pt;z-index:251674624">
            <v:imagedata r:id="rId67" o:title=""/>
            <w10:wrap type="square"/>
          </v:shape>
          <o:OLEObject Type="Embed" ProgID="Excel.Sheet.12" ShapeID="_x0000_s1076" DrawAspect="Content" ObjectID="_1401028523" r:id="rId68"/>
        </w:pict>
      </w:r>
      <w:bookmarkStart w:id="42" w:name="_Toc327269969"/>
      <w:r w:rsidR="00951091" w:rsidRPr="00951091">
        <w:rPr>
          <w:color w:val="403152" w:themeColor="accent4" w:themeShade="80"/>
        </w:rPr>
        <w:t xml:space="preserve">Табела </w:t>
      </w:r>
      <w:r w:rsidR="001E0707" w:rsidRPr="00951091">
        <w:rPr>
          <w:color w:val="403152" w:themeColor="accent4" w:themeShade="80"/>
        </w:rPr>
        <w:fldChar w:fldCharType="begin"/>
      </w:r>
      <w:r w:rsidR="00951091" w:rsidRPr="00951091">
        <w:rPr>
          <w:color w:val="403152" w:themeColor="accent4" w:themeShade="80"/>
        </w:rPr>
        <w:instrText xml:space="preserve"> SEQ Табела \* ARABIC </w:instrText>
      </w:r>
      <w:r w:rsidR="001E0707" w:rsidRPr="00951091">
        <w:rPr>
          <w:color w:val="403152" w:themeColor="accent4" w:themeShade="80"/>
        </w:rPr>
        <w:fldChar w:fldCharType="separate"/>
      </w:r>
      <w:r w:rsidR="004E5FA2">
        <w:rPr>
          <w:noProof/>
          <w:color w:val="403152" w:themeColor="accent4" w:themeShade="80"/>
        </w:rPr>
        <w:t>6</w:t>
      </w:r>
      <w:r w:rsidR="001E0707" w:rsidRPr="00951091">
        <w:rPr>
          <w:color w:val="403152" w:themeColor="accent4" w:themeShade="80"/>
        </w:rPr>
        <w:fldChar w:fldCharType="end"/>
      </w:r>
      <w:r w:rsidR="00951091" w:rsidRPr="00951091">
        <w:rPr>
          <w:color w:val="403152" w:themeColor="accent4" w:themeShade="80"/>
          <w:lang w:val="mk-MK"/>
        </w:rPr>
        <w:t xml:space="preserve"> Индикатори</w:t>
      </w:r>
      <w:r w:rsidR="00951091" w:rsidRPr="0026084A">
        <w:rPr>
          <w:color w:val="403152" w:themeColor="accent4" w:themeShade="80"/>
          <w:lang w:val="mk-MK"/>
        </w:rPr>
        <w:t>- пренос на радио и ТВ сигнали до крајни корисници</w:t>
      </w:r>
      <w:bookmarkEnd w:id="42"/>
    </w:p>
    <w:p w:rsidR="00665DDB" w:rsidRDefault="00665DDB" w:rsidP="00A972C6">
      <w:pPr>
        <w:ind w:firstLine="720"/>
        <w:rPr>
          <w:lang w:val="mk-MK"/>
        </w:rPr>
      </w:pPr>
    </w:p>
    <w:p w:rsidR="00241269" w:rsidRDefault="00241269" w:rsidP="00665DDB">
      <w:pPr>
        <w:rPr>
          <w:sz w:val="23"/>
          <w:szCs w:val="23"/>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2C0685" w:rsidP="00665DDB">
      <w:pPr>
        <w:rPr>
          <w:lang w:val="mk-MK"/>
        </w:rPr>
      </w:pPr>
    </w:p>
    <w:p w:rsidR="002C0685" w:rsidRDefault="00FC3A9F" w:rsidP="00665DDB">
      <w:pPr>
        <w:rPr>
          <w:lang w:val="mk-MK"/>
        </w:rPr>
      </w:pPr>
      <w:r w:rsidRPr="00660ECF">
        <w:rPr>
          <w:lang w:val="mk-MK"/>
        </w:rPr>
        <w:t xml:space="preserve">Во табела </w:t>
      </w:r>
      <w:r w:rsidR="00282E1D" w:rsidRPr="00660ECF">
        <w:rPr>
          <w:lang w:val="mk-MK"/>
        </w:rPr>
        <w:t xml:space="preserve">6 точка бр.1 е даден </w:t>
      </w:r>
      <w:r w:rsidR="00C050CC">
        <w:rPr>
          <w:lang w:val="mk-MK"/>
        </w:rPr>
        <w:t>вкупниот број на активни претплатници на ТВ-Услуги</w:t>
      </w:r>
      <w:r w:rsidR="00282E1D" w:rsidRPr="00660ECF">
        <w:rPr>
          <w:lang w:val="mk-MK"/>
        </w:rPr>
        <w:t xml:space="preserve"> </w:t>
      </w:r>
      <w:r w:rsidR="00E9557B">
        <w:rPr>
          <w:lang w:val="mk-MK"/>
        </w:rPr>
        <w:t>во 2011</w:t>
      </w:r>
      <w:r w:rsidR="00D87656" w:rsidRPr="00660ECF">
        <w:rPr>
          <w:lang w:val="mk-MK"/>
        </w:rPr>
        <w:t xml:space="preserve"> и </w:t>
      </w:r>
      <w:r w:rsidR="00E9557B">
        <w:rPr>
          <w:lang w:val="mk-MK"/>
        </w:rPr>
        <w:t>во 2010</w:t>
      </w:r>
      <w:r w:rsidR="00D87656" w:rsidRPr="00660ECF">
        <w:rPr>
          <w:lang w:val="mk-MK"/>
        </w:rPr>
        <w:t xml:space="preserve"> година и промената во проценти</w:t>
      </w:r>
      <w:r w:rsidRPr="00660ECF">
        <w:rPr>
          <w:lang w:val="mk-MK"/>
        </w:rPr>
        <w:t xml:space="preserve"> </w:t>
      </w:r>
      <w:r w:rsidR="00D87656" w:rsidRPr="00660ECF">
        <w:rPr>
          <w:lang w:val="mk-MK"/>
        </w:rPr>
        <w:t>(%).</w:t>
      </w:r>
      <w:r w:rsidRPr="00660ECF">
        <w:rPr>
          <w:lang w:val="mk-MK"/>
        </w:rPr>
        <w:t xml:space="preserve"> </w:t>
      </w:r>
      <w:r w:rsidR="00D87656" w:rsidRPr="00660ECF">
        <w:rPr>
          <w:lang w:val="mk-MK"/>
        </w:rPr>
        <w:t xml:space="preserve">Од табелата може да се забележи дека бројот на активни претплатници на кабелска телевизија </w:t>
      </w:r>
      <w:r w:rsidR="00E9557B">
        <w:rPr>
          <w:lang w:val="mk-MK"/>
        </w:rPr>
        <w:t>во 2011 година е намален за 3,33</w:t>
      </w:r>
      <w:r w:rsidR="000F5A57" w:rsidRPr="00660ECF">
        <w:rPr>
          <w:lang w:val="mk-MK"/>
        </w:rPr>
        <w:t>%</w:t>
      </w:r>
      <w:r w:rsidRPr="00660ECF">
        <w:rPr>
          <w:lang w:val="mk-MK"/>
        </w:rPr>
        <w:t xml:space="preserve"> во однос на претходната година</w:t>
      </w:r>
      <w:r w:rsidR="001F1BDF" w:rsidRPr="00660ECF">
        <w:rPr>
          <w:lang w:val="mk-MK"/>
        </w:rPr>
        <w:t xml:space="preserve">. </w:t>
      </w:r>
    </w:p>
    <w:p w:rsidR="002C0685" w:rsidRDefault="001F1BDF" w:rsidP="00665DDB">
      <w:pPr>
        <w:rPr>
          <w:lang w:val="mk-MK"/>
        </w:rPr>
      </w:pPr>
      <w:r w:rsidRPr="00660ECF">
        <w:rPr>
          <w:lang w:val="mk-MK"/>
        </w:rPr>
        <w:t>Во точка бр.2 е даден бројот на активни претплатници на</w:t>
      </w:r>
      <w:r w:rsidR="00241269" w:rsidRPr="00660ECF">
        <w:rPr>
          <w:lang w:val="mk-MK"/>
        </w:rPr>
        <w:t xml:space="preserve"> </w:t>
      </w:r>
      <w:r w:rsidR="00241269" w:rsidRPr="00660ECF">
        <w:t xml:space="preserve">IPTV </w:t>
      </w:r>
      <w:r w:rsidR="00E9557B">
        <w:rPr>
          <w:lang w:val="mk-MK"/>
        </w:rPr>
        <w:t>кој во 2011 година изнесува 40.129</w:t>
      </w:r>
      <w:r w:rsidR="00C050CC">
        <w:rPr>
          <w:lang w:val="mk-MK"/>
        </w:rPr>
        <w:t xml:space="preserve"> п</w:t>
      </w:r>
      <w:r w:rsidR="00E9557B">
        <w:rPr>
          <w:lang w:val="mk-MK"/>
        </w:rPr>
        <w:t>ретплатници и бележи раст од 33,22% во споредба со 2010</w:t>
      </w:r>
      <w:r w:rsidR="00C050CC">
        <w:rPr>
          <w:lang w:val="mk-MK"/>
        </w:rPr>
        <w:t xml:space="preserve"> година</w:t>
      </w:r>
      <w:r w:rsidR="00BD7494" w:rsidRPr="00660ECF">
        <w:rPr>
          <w:lang w:val="mk-MK"/>
        </w:rPr>
        <w:t xml:space="preserve">. </w:t>
      </w:r>
    </w:p>
    <w:p w:rsidR="002C0685" w:rsidRDefault="00E24BE7" w:rsidP="00125059">
      <w:pPr>
        <w:spacing w:after="0"/>
        <w:rPr>
          <w:lang w:val="mk-MK"/>
        </w:rPr>
      </w:pPr>
      <w:r w:rsidRPr="00660ECF">
        <w:rPr>
          <w:lang w:val="mk-MK"/>
        </w:rPr>
        <w:t xml:space="preserve">Во точка бр.3 е даден бројот на претплатници на </w:t>
      </w:r>
      <w:r w:rsidRPr="00660ECF">
        <w:t>DVB-T.</w:t>
      </w:r>
      <w:r w:rsidR="00BD7494" w:rsidRPr="00660ECF">
        <w:rPr>
          <w:lang w:val="mk-MK"/>
        </w:rPr>
        <w:t xml:space="preserve"> </w:t>
      </w:r>
      <w:r w:rsidRPr="00660ECF">
        <w:rPr>
          <w:lang w:val="mk-MK"/>
        </w:rPr>
        <w:t>Со доделувањето на одобрение за користење на радиофреквенции во Јуни 2009 година на ОНЕ Оператор АД- Скопје (подоцна пренесено на Диги Плус Мултимедија- Скопје) ОНЕ почна со обезбедување на услугата дигитална телевизија преку терестријален предавател</w:t>
      </w:r>
      <w:r w:rsidRPr="00660ECF">
        <w:t xml:space="preserve"> </w:t>
      </w:r>
      <w:r w:rsidRPr="00660ECF">
        <w:rPr>
          <w:lang w:val="mk-MK"/>
        </w:rPr>
        <w:t>(</w:t>
      </w:r>
      <w:r w:rsidRPr="00660ECF">
        <w:t xml:space="preserve">DVB-T) </w:t>
      </w:r>
      <w:r w:rsidRPr="00660ECF">
        <w:rPr>
          <w:lang w:val="mk-MK"/>
        </w:rPr>
        <w:t>во Ноември 2009 година.</w:t>
      </w:r>
      <w:r w:rsidR="00BD7494" w:rsidRPr="00660ECF">
        <w:rPr>
          <w:lang w:val="mk-MK"/>
        </w:rPr>
        <w:t xml:space="preserve"> </w:t>
      </w:r>
      <w:r w:rsidRPr="00660ECF">
        <w:rPr>
          <w:lang w:val="mk-MK"/>
        </w:rPr>
        <w:t xml:space="preserve">Бројот на претплатници кои ја користат услугата </w:t>
      </w:r>
      <w:r w:rsidRPr="00660ECF">
        <w:t xml:space="preserve">DVB-T </w:t>
      </w:r>
      <w:r w:rsidR="00E9557B">
        <w:rPr>
          <w:lang w:val="mk-MK"/>
        </w:rPr>
        <w:t>изнесува 50.435</w:t>
      </w:r>
      <w:r w:rsidRPr="00660ECF">
        <w:rPr>
          <w:lang w:val="mk-MK"/>
        </w:rPr>
        <w:t xml:space="preserve"> претплатници</w:t>
      </w:r>
      <w:r w:rsidR="00C050CC">
        <w:rPr>
          <w:lang w:val="mk-MK"/>
        </w:rPr>
        <w:t xml:space="preserve"> и бележи раст</w:t>
      </w:r>
      <w:r w:rsidR="00E9557B">
        <w:rPr>
          <w:lang w:val="mk-MK"/>
        </w:rPr>
        <w:t xml:space="preserve"> во период од една година од 17,59</w:t>
      </w:r>
      <w:r w:rsidR="00C050CC">
        <w:rPr>
          <w:lang w:val="mk-MK"/>
        </w:rPr>
        <w:t>%.</w:t>
      </w:r>
    </w:p>
    <w:p w:rsidR="00125059" w:rsidRDefault="00125059" w:rsidP="00125059">
      <w:pPr>
        <w:spacing w:after="0"/>
        <w:rPr>
          <w:lang w:val="mk-MK"/>
        </w:rPr>
      </w:pPr>
      <w:r>
        <w:rPr>
          <w:lang w:val="mk-MK"/>
        </w:rPr>
        <w:t xml:space="preserve">Во точка бр.4 </w:t>
      </w:r>
      <w:r w:rsidRPr="00660ECF">
        <w:rPr>
          <w:lang w:val="mk-MK"/>
        </w:rPr>
        <w:t>е даден</w:t>
      </w:r>
      <w:r w:rsidRPr="00125059">
        <w:rPr>
          <w:lang w:val="mk-MK"/>
        </w:rPr>
        <w:t xml:space="preserve"> </w:t>
      </w:r>
      <w:r w:rsidRPr="00660ECF">
        <w:rPr>
          <w:lang w:val="mk-MK"/>
        </w:rPr>
        <w:t>бројот на претплатници на сателитска телевизија</w:t>
      </w:r>
      <w:r>
        <w:rPr>
          <w:lang w:val="mk-MK"/>
        </w:rPr>
        <w:t xml:space="preserve"> кој</w:t>
      </w:r>
      <w:r w:rsidRPr="00125059">
        <w:rPr>
          <w:lang w:val="mk-MK"/>
        </w:rPr>
        <w:t xml:space="preserve"> </w:t>
      </w:r>
      <w:r>
        <w:rPr>
          <w:lang w:val="mk-MK"/>
        </w:rPr>
        <w:t>во 2011 година бележи најголем раст од 126,45% во споредба со 2010 година</w:t>
      </w:r>
    </w:p>
    <w:p w:rsidR="006F3110" w:rsidRDefault="002C0685" w:rsidP="00125059">
      <w:pPr>
        <w:spacing w:after="0"/>
        <w:rPr>
          <w:lang w:val="mk-MK"/>
        </w:rPr>
      </w:pPr>
      <w:r>
        <w:rPr>
          <w:lang w:val="mk-MK"/>
        </w:rPr>
        <w:t>Во точка бр.5 е даден вкупниот број на претплатници на</w:t>
      </w:r>
      <w:r w:rsidR="00125059">
        <w:rPr>
          <w:lang w:val="mk-MK"/>
        </w:rPr>
        <w:t xml:space="preserve"> ТВ-Услуги, нивниот број во 2011 година изнесува 251.584 или споредено со 2010</w:t>
      </w:r>
      <w:r>
        <w:rPr>
          <w:lang w:val="mk-MK"/>
        </w:rPr>
        <w:t xml:space="preserve"> година бројот </w:t>
      </w:r>
      <w:r w:rsidR="00125059">
        <w:rPr>
          <w:lang w:val="mk-MK"/>
        </w:rPr>
        <w:t>на претплатници е зголемен за 5,40</w:t>
      </w:r>
      <w:r>
        <w:rPr>
          <w:lang w:val="mk-MK"/>
        </w:rPr>
        <w:t>%.</w:t>
      </w:r>
    </w:p>
    <w:p w:rsidR="00F10E25" w:rsidRDefault="00AF2238">
      <w:pPr>
        <w:spacing w:after="0" w:line="240" w:lineRule="auto"/>
        <w:rPr>
          <w:lang w:val="mk-MK"/>
        </w:rPr>
      </w:pPr>
      <w:r>
        <w:rPr>
          <w:noProof/>
          <w:lang w:val="mk-MK" w:eastAsia="mk-MK" w:bidi="ar-SA"/>
        </w:rPr>
        <w:lastRenderedPageBreak/>
        <w:drawing>
          <wp:anchor distT="0" distB="0" distL="114300" distR="114300" simplePos="0" relativeHeight="251661312" behindDoc="0" locked="0" layoutInCell="1" allowOverlap="1">
            <wp:simplePos x="0" y="0"/>
            <wp:positionH relativeFrom="column">
              <wp:posOffset>102870</wp:posOffset>
            </wp:positionH>
            <wp:positionV relativeFrom="paragraph">
              <wp:posOffset>465455</wp:posOffset>
            </wp:positionV>
            <wp:extent cx="6123940" cy="2625725"/>
            <wp:effectExtent l="19050" t="0" r="10160" b="317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6F3110" w:rsidRDefault="006F3110">
      <w:pPr>
        <w:spacing w:after="0" w:line="240" w:lineRule="auto"/>
        <w:rPr>
          <w:lang w:val="mk-MK"/>
        </w:rPr>
      </w:pPr>
    </w:p>
    <w:p w:rsidR="002C0685" w:rsidRDefault="002C0685" w:rsidP="00055979">
      <w:pPr>
        <w:pStyle w:val="Caption"/>
        <w:rPr>
          <w:lang w:val="mk-MK"/>
        </w:rPr>
      </w:pPr>
    </w:p>
    <w:p w:rsidR="00055979" w:rsidRPr="0032184F" w:rsidRDefault="004658FB" w:rsidP="004658FB">
      <w:pPr>
        <w:pStyle w:val="Caption"/>
        <w:rPr>
          <w:color w:val="403152" w:themeColor="accent4" w:themeShade="80"/>
        </w:rPr>
      </w:pPr>
      <w:bookmarkStart w:id="43" w:name="_Toc327269959"/>
      <w:r w:rsidRPr="004658FB">
        <w:rPr>
          <w:color w:val="403152" w:themeColor="accent4" w:themeShade="80"/>
        </w:rPr>
        <w:t xml:space="preserve">Графикон </w:t>
      </w:r>
      <w:r w:rsidR="001E0707" w:rsidRPr="004658FB">
        <w:rPr>
          <w:color w:val="403152" w:themeColor="accent4" w:themeShade="80"/>
        </w:rPr>
        <w:fldChar w:fldCharType="begin"/>
      </w:r>
      <w:r w:rsidRPr="004658FB">
        <w:rPr>
          <w:color w:val="403152" w:themeColor="accent4" w:themeShade="80"/>
        </w:rPr>
        <w:instrText xml:space="preserve"> SEQ Графикон \* ARABIC </w:instrText>
      </w:r>
      <w:r w:rsidR="001E0707" w:rsidRPr="004658FB">
        <w:rPr>
          <w:color w:val="403152" w:themeColor="accent4" w:themeShade="80"/>
        </w:rPr>
        <w:fldChar w:fldCharType="separate"/>
      </w:r>
      <w:r w:rsidR="004E5FA2">
        <w:rPr>
          <w:noProof/>
          <w:color w:val="403152" w:themeColor="accent4" w:themeShade="80"/>
        </w:rPr>
        <w:t>23</w:t>
      </w:r>
      <w:r w:rsidR="001E0707" w:rsidRPr="004658FB">
        <w:rPr>
          <w:color w:val="403152" w:themeColor="accent4" w:themeShade="80"/>
        </w:rPr>
        <w:fldChar w:fldCharType="end"/>
      </w:r>
      <w:r w:rsidRPr="004658FB">
        <w:rPr>
          <w:color w:val="403152" w:themeColor="accent4" w:themeShade="80"/>
          <w:lang w:val="mk-MK"/>
        </w:rPr>
        <w:t xml:space="preserve"> Пренос</w:t>
      </w:r>
      <w:r w:rsidRPr="0032184F">
        <w:rPr>
          <w:color w:val="403152" w:themeColor="accent4" w:themeShade="80"/>
          <w:lang w:val="mk-MK"/>
        </w:rPr>
        <w:t xml:space="preserve"> на ТВ содржини до крајни к</w:t>
      </w:r>
      <w:r w:rsidR="00125059">
        <w:rPr>
          <w:color w:val="403152" w:themeColor="accent4" w:themeShade="80"/>
          <w:lang w:val="mk-MK"/>
        </w:rPr>
        <w:t>орисници (состојба на 31.12.2011</w:t>
      </w:r>
      <w:r w:rsidRPr="0032184F">
        <w:rPr>
          <w:color w:val="403152" w:themeColor="accent4" w:themeShade="80"/>
          <w:lang w:val="mk-MK"/>
        </w:rPr>
        <w:t xml:space="preserve"> година)</w:t>
      </w:r>
      <w:bookmarkEnd w:id="43"/>
    </w:p>
    <w:p w:rsidR="002C0685" w:rsidRDefault="002C0685" w:rsidP="002C0685">
      <w:pPr>
        <w:rPr>
          <w:lang w:val="mk-MK"/>
        </w:rPr>
      </w:pPr>
      <w:r w:rsidRPr="001C66AB">
        <w:rPr>
          <w:lang w:val="mk-MK"/>
        </w:rPr>
        <w:t>Во графиконот бр.</w:t>
      </w:r>
      <w:r w:rsidR="002B02FD">
        <w:rPr>
          <w:lang w:val="mk-MK"/>
        </w:rPr>
        <w:t>23</w:t>
      </w:r>
      <w:r w:rsidRPr="001C66AB">
        <w:rPr>
          <w:lang w:val="mk-MK"/>
        </w:rPr>
        <w:t xml:space="preserve"> е даден уделот во (%) на претплатници на ТВ-Услуги </w:t>
      </w:r>
      <w:r w:rsidR="00125059">
        <w:rPr>
          <w:lang w:val="mk-MK"/>
        </w:rPr>
        <w:t>поделени по технологии за 2011</w:t>
      </w:r>
      <w:r>
        <w:rPr>
          <w:lang w:val="mk-MK"/>
        </w:rPr>
        <w:t xml:space="preserve"> година. Уделот на претплатниците на</w:t>
      </w:r>
      <w:r w:rsidR="00125059">
        <w:rPr>
          <w:lang w:val="mk-MK"/>
        </w:rPr>
        <w:t xml:space="preserve"> кабелска телевизија изнесува 63,41</w:t>
      </w:r>
      <w:r>
        <w:rPr>
          <w:lang w:val="mk-MK"/>
        </w:rPr>
        <w:t xml:space="preserve">%,  претплатниците  на </w:t>
      </w:r>
      <w:r>
        <w:t xml:space="preserve">DVB-T </w:t>
      </w:r>
      <w:r w:rsidR="00125059">
        <w:rPr>
          <w:lang w:val="mk-MK"/>
        </w:rPr>
        <w:t>имаат удел од 20,05</w:t>
      </w:r>
      <w:r>
        <w:rPr>
          <w:lang w:val="mk-MK"/>
        </w:rPr>
        <w:t xml:space="preserve">% додека уделот на претплатници на </w:t>
      </w:r>
      <w:r>
        <w:t xml:space="preserve">IPTV  </w:t>
      </w:r>
      <w:r>
        <w:rPr>
          <w:lang w:val="mk-MK"/>
        </w:rPr>
        <w:t>и с</w:t>
      </w:r>
      <w:r w:rsidR="00125059">
        <w:rPr>
          <w:lang w:val="mk-MK"/>
        </w:rPr>
        <w:t>ателитска телевизија изнесува 15,95% односно 0,59</w:t>
      </w:r>
      <w:r>
        <w:rPr>
          <w:lang w:val="mk-MK"/>
        </w:rPr>
        <w:t>%.</w:t>
      </w:r>
    </w:p>
    <w:p w:rsidR="002C0685" w:rsidRDefault="002C0685" w:rsidP="002C0685">
      <w:pPr>
        <w:rPr>
          <w:lang w:val="mk-MK"/>
        </w:rPr>
      </w:pPr>
    </w:p>
    <w:p w:rsidR="002C0685" w:rsidRDefault="002C0685" w:rsidP="002C0685">
      <w:pPr>
        <w:rPr>
          <w:lang w:val="mk-MK"/>
        </w:rPr>
      </w:pPr>
    </w:p>
    <w:p w:rsidR="002C0685" w:rsidRPr="005E6D0D" w:rsidRDefault="002C0685" w:rsidP="002C0685">
      <w:pPr>
        <w:jc w:val="center"/>
        <w:rPr>
          <w:lang w:val="mk-MK"/>
        </w:rPr>
      </w:pPr>
      <w:r w:rsidRPr="002C0685">
        <w:rPr>
          <w:noProof/>
          <w:lang w:val="mk-MK" w:eastAsia="mk-MK" w:bidi="ar-SA"/>
        </w:rPr>
        <w:drawing>
          <wp:inline distT="0" distB="0" distL="0" distR="0">
            <wp:extent cx="5903285" cy="3200400"/>
            <wp:effectExtent l="19050" t="0" r="21265" b="0"/>
            <wp:docPr id="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658FB" w:rsidRPr="004658FB" w:rsidRDefault="004658FB" w:rsidP="004658FB">
      <w:pPr>
        <w:pStyle w:val="Caption"/>
        <w:jc w:val="center"/>
        <w:rPr>
          <w:b w:val="0"/>
          <w:color w:val="403152" w:themeColor="accent4" w:themeShade="80"/>
          <w:lang w:val="mk-MK"/>
        </w:rPr>
      </w:pPr>
      <w:bookmarkStart w:id="44" w:name="_Toc327269960"/>
      <w:r w:rsidRPr="004658FB">
        <w:rPr>
          <w:color w:val="403152" w:themeColor="accent4" w:themeShade="80"/>
        </w:rPr>
        <w:lastRenderedPageBreak/>
        <w:t xml:space="preserve">Графикон </w:t>
      </w:r>
      <w:r w:rsidR="001E0707" w:rsidRPr="004658FB">
        <w:rPr>
          <w:color w:val="403152" w:themeColor="accent4" w:themeShade="80"/>
        </w:rPr>
        <w:fldChar w:fldCharType="begin"/>
      </w:r>
      <w:r w:rsidRPr="004658FB">
        <w:rPr>
          <w:color w:val="403152" w:themeColor="accent4" w:themeShade="80"/>
        </w:rPr>
        <w:instrText xml:space="preserve"> SEQ Графикон \* ARABIC </w:instrText>
      </w:r>
      <w:r w:rsidR="001E0707" w:rsidRPr="004658FB">
        <w:rPr>
          <w:color w:val="403152" w:themeColor="accent4" w:themeShade="80"/>
        </w:rPr>
        <w:fldChar w:fldCharType="separate"/>
      </w:r>
      <w:r w:rsidR="004E5FA2">
        <w:rPr>
          <w:noProof/>
          <w:color w:val="403152" w:themeColor="accent4" w:themeShade="80"/>
        </w:rPr>
        <w:t>24</w:t>
      </w:r>
      <w:r w:rsidR="001E0707" w:rsidRPr="004658FB">
        <w:rPr>
          <w:color w:val="403152" w:themeColor="accent4" w:themeShade="80"/>
        </w:rPr>
        <w:fldChar w:fldCharType="end"/>
      </w:r>
      <w:r w:rsidRPr="004658FB">
        <w:rPr>
          <w:color w:val="403152" w:themeColor="accent4" w:themeShade="80"/>
        </w:rPr>
        <w:t xml:space="preserve"> Удел на операторите во пренос на ТВ содржини до крајни корисници</w:t>
      </w:r>
      <w:r w:rsidRPr="004658FB">
        <w:rPr>
          <w:color w:val="403152" w:themeColor="accent4" w:themeShade="80"/>
          <w:lang w:val="mk-MK"/>
        </w:rPr>
        <w:br/>
      </w:r>
      <w:r w:rsidR="001137C7">
        <w:rPr>
          <w:color w:val="403152" w:themeColor="accent4" w:themeShade="80"/>
        </w:rPr>
        <w:t xml:space="preserve"> во 2011</w:t>
      </w:r>
      <w:r w:rsidRPr="004658FB">
        <w:rPr>
          <w:color w:val="403152" w:themeColor="accent4" w:themeShade="80"/>
        </w:rPr>
        <w:t xml:space="preserve"> година</w:t>
      </w:r>
      <w:bookmarkEnd w:id="44"/>
    </w:p>
    <w:p w:rsidR="006F47F5" w:rsidRDefault="006F47F5" w:rsidP="004658FB">
      <w:pPr>
        <w:pStyle w:val="Caption"/>
        <w:jc w:val="center"/>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2C0685" w:rsidRDefault="002C0685" w:rsidP="00CB5435">
      <w:pPr>
        <w:pStyle w:val="Heading1"/>
        <w:rPr>
          <w:lang w:val="mk-MK"/>
        </w:rPr>
      </w:pPr>
    </w:p>
    <w:p w:rsidR="0032184F" w:rsidRPr="0032184F" w:rsidRDefault="0032184F" w:rsidP="0032184F">
      <w:pPr>
        <w:rPr>
          <w:lang w:val="mk-MK"/>
        </w:rPr>
      </w:pPr>
    </w:p>
    <w:p w:rsidR="002C0685" w:rsidRDefault="002C0685" w:rsidP="00CB5435">
      <w:pPr>
        <w:pStyle w:val="Heading1"/>
        <w:rPr>
          <w:lang w:val="mk-MK"/>
        </w:rPr>
      </w:pPr>
    </w:p>
    <w:p w:rsidR="0014730D" w:rsidRPr="0014730D" w:rsidRDefault="0014730D" w:rsidP="0014730D">
      <w:pPr>
        <w:rPr>
          <w:lang w:val="mk-MK"/>
        </w:rPr>
      </w:pPr>
    </w:p>
    <w:p w:rsidR="002C0685" w:rsidRDefault="000E3BEB" w:rsidP="00CB5435">
      <w:pPr>
        <w:pStyle w:val="Heading1"/>
        <w:rPr>
          <w:lang w:val="mk-MK"/>
        </w:rPr>
      </w:pPr>
      <w:r>
        <w:rPr>
          <w:noProof/>
          <w:lang w:val="mk-MK" w:eastAsia="mk-MK" w:bidi="ar-SA"/>
        </w:rPr>
        <w:drawing>
          <wp:inline distT="0" distB="0" distL="0" distR="0">
            <wp:extent cx="6505206" cy="595423"/>
            <wp:effectExtent l="0" t="0" r="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2C0685" w:rsidRDefault="002C0685" w:rsidP="00CB5435">
      <w:pPr>
        <w:pStyle w:val="Heading1"/>
        <w:rPr>
          <w:lang w:val="mk-MK"/>
        </w:rPr>
      </w:pPr>
    </w:p>
    <w:p w:rsidR="002C0685" w:rsidRDefault="002C0685" w:rsidP="00CB5435">
      <w:pPr>
        <w:pStyle w:val="Heading1"/>
        <w:rPr>
          <w:lang w:val="mk-MK"/>
        </w:rPr>
      </w:pPr>
    </w:p>
    <w:p w:rsidR="0013095D" w:rsidRPr="000E3BEB" w:rsidRDefault="0084417C" w:rsidP="00CB5435">
      <w:pPr>
        <w:pStyle w:val="Heading1"/>
        <w:rPr>
          <w:color w:val="215868" w:themeColor="accent5" w:themeShade="80"/>
          <w:lang w:val="mk-MK"/>
        </w:rPr>
      </w:pPr>
      <w:bookmarkStart w:id="45" w:name="_Toc327269934"/>
      <w:r>
        <w:rPr>
          <w:color w:val="215868" w:themeColor="accent5" w:themeShade="80"/>
          <w:lang w:val="mk-MK"/>
        </w:rPr>
        <w:t>6</w:t>
      </w:r>
      <w:r w:rsidR="00CB5435" w:rsidRPr="000E3BEB">
        <w:rPr>
          <w:color w:val="215868" w:themeColor="accent5" w:themeShade="80"/>
          <w:lang w:val="mk-MK"/>
        </w:rPr>
        <w:t xml:space="preserve">. </w:t>
      </w:r>
      <w:r w:rsidR="00447254" w:rsidRPr="000E3BEB">
        <w:rPr>
          <w:color w:val="215868" w:themeColor="accent5" w:themeShade="80"/>
          <w:lang w:val="mk-MK"/>
        </w:rPr>
        <w:t>Изнајмени линии</w:t>
      </w:r>
      <w:bookmarkEnd w:id="45"/>
    </w:p>
    <w:p w:rsidR="00BD7494" w:rsidRDefault="00BD7494" w:rsidP="005F1690">
      <w:pPr>
        <w:rPr>
          <w:lang w:val="mk-MK"/>
        </w:rPr>
      </w:pPr>
    </w:p>
    <w:p w:rsidR="000D5E5E" w:rsidRDefault="000D5E5E" w:rsidP="000D5E5E">
      <w:pPr>
        <w:rPr>
          <w:lang w:val="mk-MK"/>
        </w:rPr>
      </w:pPr>
      <w:r>
        <w:rPr>
          <w:lang w:val="mk-MK"/>
        </w:rPr>
        <w:t>Од</w:t>
      </w:r>
      <w:r w:rsidR="001137C7">
        <w:rPr>
          <w:lang w:val="mk-MK"/>
        </w:rPr>
        <w:t xml:space="preserve"> 2</w:t>
      </w:r>
      <w:r w:rsidR="001137C7">
        <w:t>3</w:t>
      </w:r>
      <w:r w:rsidRPr="00C83AD2">
        <w:rPr>
          <w:lang w:val="mk-MK"/>
        </w:rPr>
        <w:t xml:space="preserve"> </w:t>
      </w:r>
      <w:r>
        <w:rPr>
          <w:lang w:val="mk-MK"/>
        </w:rPr>
        <w:t>нотифицирани субјекти во служ</w:t>
      </w:r>
      <w:r w:rsidR="001137C7">
        <w:rPr>
          <w:lang w:val="mk-MK"/>
        </w:rPr>
        <w:t>бената евиденција на АЕК во 201</w:t>
      </w:r>
      <w:r w:rsidR="001137C7">
        <w:t>1</w:t>
      </w:r>
      <w:r w:rsidR="001137C7">
        <w:rPr>
          <w:lang w:val="mk-MK"/>
        </w:rPr>
        <w:t xml:space="preserve"> година година </w:t>
      </w:r>
      <w:r w:rsidR="00B3371A">
        <w:rPr>
          <w:lang w:val="mk-MK"/>
        </w:rPr>
        <w:t>19</w:t>
      </w:r>
      <w:r w:rsidRPr="00C83AD2">
        <w:rPr>
          <w:lang w:val="mk-MK"/>
        </w:rPr>
        <w:t xml:space="preserve"> </w:t>
      </w:r>
      <w:r w:rsidR="001137C7">
        <w:rPr>
          <w:lang w:val="mk-MK"/>
        </w:rPr>
        <w:t>субјект</w:t>
      </w:r>
      <w:r>
        <w:rPr>
          <w:lang w:val="mk-MK"/>
        </w:rPr>
        <w:t xml:space="preserve"> обезбедуваа услуги на давање на јавна електронска комуникациска мрежа под наем, како што се изнајмени линии и тоа: </w:t>
      </w:r>
    </w:p>
    <w:p w:rsidR="001137C7" w:rsidRPr="001137C7" w:rsidRDefault="001137C7" w:rsidP="001137C7">
      <w:pPr>
        <w:pStyle w:val="ListParagraph"/>
        <w:numPr>
          <w:ilvl w:val="0"/>
          <w:numId w:val="13"/>
        </w:numPr>
        <w:rPr>
          <w:rFonts w:ascii="StobiSerif Regular" w:hAnsi="StobiSerif Regular"/>
          <w:b/>
          <w:lang w:val="mk-MK"/>
        </w:rPr>
      </w:pPr>
      <w:bookmarkStart w:id="46" w:name="_Toc292193061"/>
      <w:r w:rsidRPr="001137C7">
        <w:rPr>
          <w:rFonts w:ascii="StobiSerif Regular" w:hAnsi="StobiSerif Regular"/>
          <w:lang w:val="mk-MK"/>
        </w:rPr>
        <w:t xml:space="preserve">Македонски Телеком- 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Неотел-Скопје,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Ултранет Ултра-Скопје,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Балкантел-Скопје,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ЈП МЖ Инфраструктура-Скопје,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Телесмарт Телеком-Скопје,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Мепсо-Скопје,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ОНЕ-Скопје,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ЈП Македонска Радиодифузија-Скопје,</w:t>
      </w:r>
      <w:r w:rsidRPr="001137C7">
        <w:rPr>
          <w:rFonts w:ascii="StobiSerif Regular" w:hAnsi="StobiSerif Regular"/>
        </w:rPr>
        <w:t xml:space="preserve">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Актон-Скопје,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rPr>
        <w:t xml:space="preserve"> </w:t>
      </w:r>
      <w:r w:rsidRPr="001137C7">
        <w:rPr>
          <w:rFonts w:ascii="StobiSerif Regular" w:hAnsi="StobiSerif Regular"/>
          <w:lang w:val="mk-MK"/>
        </w:rPr>
        <w:t xml:space="preserve">Близу- 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 xml:space="preserve">Ман технолоџи телеком- 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lastRenderedPageBreak/>
        <w:t xml:space="preserve">Дасто- Скопје, </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Софтнет ЕУ- 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2 МГ- 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Пантел Интернешнл-Скопје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Ало Телеком- 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Капитол Кеибл- Скопје</w:t>
      </w:r>
    </w:p>
    <w:p w:rsidR="001137C7" w:rsidRPr="001137C7" w:rsidRDefault="001137C7" w:rsidP="001137C7">
      <w:pPr>
        <w:pStyle w:val="ListParagraph"/>
        <w:numPr>
          <w:ilvl w:val="0"/>
          <w:numId w:val="13"/>
        </w:numPr>
        <w:rPr>
          <w:rFonts w:ascii="StobiSerif Regular" w:hAnsi="StobiSerif Regular"/>
          <w:b/>
          <w:lang w:val="mk-MK"/>
        </w:rPr>
      </w:pPr>
      <w:r w:rsidRPr="001137C7">
        <w:rPr>
          <w:rFonts w:ascii="StobiSerif Regular" w:hAnsi="StobiSerif Regular"/>
          <w:lang w:val="mk-MK"/>
        </w:rPr>
        <w:t>Космолине- Скопје.</w:t>
      </w:r>
    </w:p>
    <w:p w:rsidR="00AF2238" w:rsidRDefault="00AF2238" w:rsidP="000D5E5E">
      <w:pPr>
        <w:pStyle w:val="Caption"/>
        <w:rPr>
          <w:color w:val="215868" w:themeColor="accent5" w:themeShade="80"/>
        </w:rPr>
      </w:pPr>
    </w:p>
    <w:p w:rsidR="00AF2238" w:rsidRDefault="00AF2238" w:rsidP="000D5E5E">
      <w:pPr>
        <w:pStyle w:val="Caption"/>
        <w:rPr>
          <w:color w:val="215868" w:themeColor="accent5" w:themeShade="80"/>
        </w:rPr>
      </w:pPr>
    </w:p>
    <w:p w:rsidR="00AF2238" w:rsidRDefault="00AF2238" w:rsidP="000D5E5E">
      <w:pPr>
        <w:pStyle w:val="Caption"/>
        <w:rPr>
          <w:color w:val="215868" w:themeColor="accent5" w:themeShade="80"/>
          <w:lang w:val="mk-MK"/>
        </w:rPr>
      </w:pPr>
    </w:p>
    <w:p w:rsidR="00B3371A" w:rsidRPr="00B3371A" w:rsidRDefault="00B3371A" w:rsidP="00B3371A">
      <w:pPr>
        <w:rPr>
          <w:lang w:val="mk-MK"/>
        </w:rPr>
      </w:pPr>
    </w:p>
    <w:p w:rsidR="009B16CE" w:rsidRPr="001137C7" w:rsidRDefault="009B16CE" w:rsidP="00AF2238">
      <w:pPr>
        <w:pStyle w:val="Caption"/>
        <w:rPr>
          <w:color w:val="215868" w:themeColor="accent5" w:themeShade="80"/>
        </w:rPr>
      </w:pPr>
    </w:p>
    <w:p w:rsidR="004658FB" w:rsidRPr="00AF2238" w:rsidRDefault="004658FB" w:rsidP="004658FB">
      <w:pPr>
        <w:pStyle w:val="Caption"/>
        <w:rPr>
          <w:color w:val="215868" w:themeColor="accent5" w:themeShade="80"/>
        </w:rPr>
      </w:pPr>
      <w:bookmarkStart w:id="47" w:name="_Toc327269970"/>
      <w:bookmarkEnd w:id="46"/>
      <w:r w:rsidRPr="004658FB">
        <w:rPr>
          <w:color w:val="215868" w:themeColor="accent5" w:themeShade="80"/>
        </w:rPr>
        <w:t xml:space="preserve">Табела </w:t>
      </w:r>
      <w:r w:rsidR="001E0707" w:rsidRPr="004658FB">
        <w:rPr>
          <w:color w:val="215868" w:themeColor="accent5" w:themeShade="80"/>
        </w:rPr>
        <w:fldChar w:fldCharType="begin"/>
      </w:r>
      <w:r w:rsidRPr="004658FB">
        <w:rPr>
          <w:color w:val="215868" w:themeColor="accent5" w:themeShade="80"/>
        </w:rPr>
        <w:instrText xml:space="preserve"> SEQ Табела \* ARABIC </w:instrText>
      </w:r>
      <w:r w:rsidR="001E0707" w:rsidRPr="004658FB">
        <w:rPr>
          <w:color w:val="215868" w:themeColor="accent5" w:themeShade="80"/>
        </w:rPr>
        <w:fldChar w:fldCharType="separate"/>
      </w:r>
      <w:r w:rsidR="004E5FA2">
        <w:rPr>
          <w:noProof/>
          <w:color w:val="215868" w:themeColor="accent5" w:themeShade="80"/>
        </w:rPr>
        <w:t>7</w:t>
      </w:r>
      <w:r w:rsidR="001E0707" w:rsidRPr="004658FB">
        <w:rPr>
          <w:color w:val="215868" w:themeColor="accent5" w:themeShade="80"/>
        </w:rPr>
        <w:fldChar w:fldCharType="end"/>
      </w:r>
      <w:r w:rsidRPr="004658FB">
        <w:rPr>
          <w:color w:val="215868" w:themeColor="accent5" w:themeShade="80"/>
          <w:lang w:val="mk-MK"/>
        </w:rPr>
        <w:t xml:space="preserve"> Индикатори</w:t>
      </w:r>
      <w:r w:rsidRPr="000E3BEB">
        <w:rPr>
          <w:color w:val="215868" w:themeColor="accent5" w:themeShade="80"/>
          <w:lang w:val="mk-MK"/>
        </w:rPr>
        <w:t>- изнајмени линии</w:t>
      </w:r>
      <w:bookmarkEnd w:id="47"/>
    </w:p>
    <w:p w:rsidR="004658FB" w:rsidRDefault="004658FB" w:rsidP="004658FB">
      <w:pPr>
        <w:pStyle w:val="Caption"/>
      </w:pPr>
    </w:p>
    <w:p w:rsidR="000D5E5E" w:rsidRDefault="007442AE" w:rsidP="000D5E5E">
      <w:pPr>
        <w:jc w:val="center"/>
      </w:pPr>
      <w:r>
        <w:object w:dxaOrig="8952" w:dyaOrig="2184">
          <v:shape id="_x0000_i1027" type="#_x0000_t75" style="width:450.4pt;height:108.85pt" o:ole="">
            <v:imagedata r:id="rId76" o:title=""/>
          </v:shape>
          <o:OLEObject Type="Embed" ProgID="Excel.Sheet.12" ShapeID="_x0000_i1027" DrawAspect="Content" ObjectID="_1401028517" r:id="rId77"/>
        </w:object>
      </w:r>
    </w:p>
    <w:p w:rsidR="000D5E5E" w:rsidRPr="00807BE3" w:rsidRDefault="000D5E5E" w:rsidP="000D5E5E">
      <w:pPr>
        <w:rPr>
          <w:lang w:val="mk-MK"/>
        </w:rPr>
      </w:pPr>
      <w:r w:rsidRPr="001C66AB">
        <w:rPr>
          <w:lang w:val="mk-MK"/>
        </w:rPr>
        <w:t xml:space="preserve">Во табела </w:t>
      </w:r>
      <w:r w:rsidRPr="004658FB">
        <w:rPr>
          <w:lang w:val="mk-MK"/>
        </w:rPr>
        <w:t>бр.</w:t>
      </w:r>
      <w:r w:rsidR="00B63835" w:rsidRPr="004658FB">
        <w:rPr>
          <w:lang w:val="mk-MK"/>
        </w:rPr>
        <w:t>7</w:t>
      </w:r>
      <w:r w:rsidRPr="001C66AB">
        <w:rPr>
          <w:lang w:val="mk-MK"/>
        </w:rPr>
        <w:t xml:space="preserve"> е</w:t>
      </w:r>
      <w:r w:rsidRPr="001B567B">
        <w:rPr>
          <w:lang w:val="mk-MK"/>
        </w:rPr>
        <w:t xml:space="preserve"> даден бројот</w:t>
      </w:r>
      <w:r>
        <w:rPr>
          <w:color w:val="FF0000"/>
          <w:lang w:val="mk-MK"/>
        </w:rPr>
        <w:t xml:space="preserve"> </w:t>
      </w:r>
      <w:r>
        <w:rPr>
          <w:lang w:val="mk-MK"/>
        </w:rPr>
        <w:t>на инсталирани изнајмени линии: аналогни и дигитални (малопродажба). Вкупниот број на инста</w:t>
      </w:r>
      <w:r w:rsidR="007442AE">
        <w:rPr>
          <w:lang w:val="mk-MK"/>
        </w:rPr>
        <w:t>лирани изнајмени линии во 201</w:t>
      </w:r>
      <w:r w:rsidR="007442AE">
        <w:t>1</w:t>
      </w:r>
      <w:r w:rsidR="007442AE">
        <w:rPr>
          <w:lang w:val="mk-MK"/>
        </w:rPr>
        <w:t xml:space="preserve"> година изнесува </w:t>
      </w:r>
      <w:r w:rsidR="007442AE">
        <w:t>813</w:t>
      </w:r>
      <w:r w:rsidR="007442AE">
        <w:rPr>
          <w:lang w:val="mk-MK"/>
        </w:rPr>
        <w:t xml:space="preserve"> при што може да се забележи раст</w:t>
      </w:r>
      <w:r>
        <w:rPr>
          <w:lang w:val="mk-MK"/>
        </w:rPr>
        <w:t xml:space="preserve"> од 31,30% во однос на претходната година. Доколку ги разгледаме поединечно аналогните и</w:t>
      </w:r>
      <w:r w:rsidR="007442AE">
        <w:rPr>
          <w:lang w:val="mk-MK"/>
        </w:rPr>
        <w:t>знајмени линии бележат пад од 8,00</w:t>
      </w:r>
      <w:r>
        <w:rPr>
          <w:lang w:val="mk-MK"/>
        </w:rPr>
        <w:t>%, дод</w:t>
      </w:r>
      <w:r w:rsidR="007442AE">
        <w:rPr>
          <w:lang w:val="mk-MK"/>
        </w:rPr>
        <w:t>ека пак дигиталните  бележат раст од 36,77</w:t>
      </w:r>
      <w:r>
        <w:rPr>
          <w:lang w:val="mk-MK"/>
        </w:rPr>
        <w:t>%.</w:t>
      </w:r>
    </w:p>
    <w:p w:rsidR="00B63835" w:rsidRPr="00AF2238" w:rsidRDefault="004658FB" w:rsidP="004658FB">
      <w:pPr>
        <w:pStyle w:val="Caption"/>
        <w:rPr>
          <w:b w:val="0"/>
          <w:color w:val="215868" w:themeColor="accent5" w:themeShade="80"/>
          <w:lang w:val="mk-MK"/>
        </w:rPr>
      </w:pPr>
      <w:bookmarkStart w:id="48" w:name="_Toc327269971"/>
      <w:r w:rsidRPr="004658FB">
        <w:rPr>
          <w:color w:val="215868" w:themeColor="accent5" w:themeShade="80"/>
        </w:rPr>
        <w:t xml:space="preserve">Табела </w:t>
      </w:r>
      <w:r w:rsidR="001E0707" w:rsidRPr="004658FB">
        <w:rPr>
          <w:color w:val="215868" w:themeColor="accent5" w:themeShade="80"/>
        </w:rPr>
        <w:fldChar w:fldCharType="begin"/>
      </w:r>
      <w:r w:rsidRPr="004658FB">
        <w:rPr>
          <w:color w:val="215868" w:themeColor="accent5" w:themeShade="80"/>
        </w:rPr>
        <w:instrText xml:space="preserve"> SEQ Табела \* ARABIC </w:instrText>
      </w:r>
      <w:r w:rsidR="001E0707" w:rsidRPr="004658FB">
        <w:rPr>
          <w:color w:val="215868" w:themeColor="accent5" w:themeShade="80"/>
        </w:rPr>
        <w:fldChar w:fldCharType="separate"/>
      </w:r>
      <w:r w:rsidR="004E5FA2">
        <w:rPr>
          <w:noProof/>
          <w:color w:val="215868" w:themeColor="accent5" w:themeShade="80"/>
        </w:rPr>
        <w:t>8</w:t>
      </w:r>
      <w:r w:rsidR="001E0707" w:rsidRPr="004658FB">
        <w:rPr>
          <w:color w:val="215868" w:themeColor="accent5" w:themeShade="80"/>
        </w:rPr>
        <w:fldChar w:fldCharType="end"/>
      </w:r>
      <w:r w:rsidRPr="004658FB">
        <w:rPr>
          <w:color w:val="215868" w:themeColor="accent5" w:themeShade="80"/>
          <w:lang w:val="mk-MK"/>
        </w:rPr>
        <w:t xml:space="preserve"> </w:t>
      </w:r>
      <w:r w:rsidRPr="004658FB">
        <w:rPr>
          <w:color w:val="215868" w:themeColor="accent5" w:themeShade="80"/>
        </w:rPr>
        <w:t>Индикатор</w:t>
      </w:r>
      <w:r w:rsidRPr="00AF2238">
        <w:rPr>
          <w:color w:val="215868" w:themeColor="accent5" w:themeShade="80"/>
        </w:rPr>
        <w:t xml:space="preserve"> Големопродажба– Изнајмени линии</w:t>
      </w:r>
      <w:bookmarkEnd w:id="48"/>
    </w:p>
    <w:p w:rsidR="005F1690" w:rsidRPr="000D5E5E" w:rsidRDefault="007442AE" w:rsidP="00B63835">
      <w:pPr>
        <w:jc w:val="center"/>
      </w:pPr>
      <w:r>
        <w:object w:dxaOrig="8549" w:dyaOrig="2866">
          <v:shape id="_x0000_i1028" type="#_x0000_t75" style="width:443.7pt;height:2in" o:ole="">
            <v:imagedata r:id="rId78" o:title=""/>
          </v:shape>
          <o:OLEObject Type="Embed" ProgID="Excel.Sheet.12" ShapeID="_x0000_i1028" DrawAspect="Content" ObjectID="_1401028518" r:id="rId79"/>
        </w:object>
      </w:r>
    </w:p>
    <w:p w:rsidR="007B3609" w:rsidRDefault="00B63835" w:rsidP="007B3609">
      <w:pPr>
        <w:rPr>
          <w:lang w:val="mk-MK"/>
        </w:rPr>
      </w:pPr>
      <w:r w:rsidRPr="001C66AB">
        <w:rPr>
          <w:lang w:val="mk-MK"/>
        </w:rPr>
        <w:t xml:space="preserve">Во </w:t>
      </w:r>
      <w:r w:rsidRPr="004658FB">
        <w:rPr>
          <w:lang w:val="mk-MK"/>
        </w:rPr>
        <w:t>табела бр.</w:t>
      </w:r>
      <w:r w:rsidR="004658FB" w:rsidRPr="004658FB">
        <w:rPr>
          <w:lang w:val="mk-MK"/>
        </w:rPr>
        <w:t>8</w:t>
      </w:r>
      <w:r w:rsidRPr="001C66AB">
        <w:rPr>
          <w:lang w:val="mk-MK"/>
        </w:rPr>
        <w:t xml:space="preserve"> е</w:t>
      </w:r>
      <w:r w:rsidRPr="001B567B">
        <w:rPr>
          <w:lang w:val="mk-MK"/>
        </w:rPr>
        <w:t xml:space="preserve"> даден бројот</w:t>
      </w:r>
      <w:r>
        <w:rPr>
          <w:color w:val="FF0000"/>
          <w:lang w:val="mk-MK"/>
        </w:rPr>
        <w:t xml:space="preserve"> </w:t>
      </w:r>
      <w:r>
        <w:rPr>
          <w:lang w:val="mk-MK"/>
        </w:rPr>
        <w:t xml:space="preserve">на изнајмени линии (големопродажба). Вкупниот </w:t>
      </w:r>
      <w:r w:rsidR="007442AE">
        <w:rPr>
          <w:lang w:val="mk-MK"/>
        </w:rPr>
        <w:t>број на  изнајмени линии во 2011 година изнесува 881</w:t>
      </w:r>
      <w:r>
        <w:rPr>
          <w:lang w:val="mk-MK"/>
        </w:rPr>
        <w:t xml:space="preserve"> при што може да се забеле</w:t>
      </w:r>
      <w:r w:rsidR="007442AE">
        <w:rPr>
          <w:lang w:val="mk-MK"/>
        </w:rPr>
        <w:t>жи пад од  1,34</w:t>
      </w:r>
      <w:r>
        <w:rPr>
          <w:lang w:val="mk-MK"/>
        </w:rPr>
        <w:t>%  во однос на претходната година.</w:t>
      </w:r>
    </w:p>
    <w:p w:rsidR="007B3609" w:rsidRDefault="007B3609" w:rsidP="009E1BF3">
      <w:pPr>
        <w:rPr>
          <w:rFonts w:ascii="StobiSerif Regular" w:hAnsi="StobiSerif Regular" w:cs="StobiSerif Regular"/>
          <w:b/>
          <w:color w:val="000000"/>
          <w:lang w:val="mk-MK" w:bidi="ar-SA"/>
        </w:rPr>
      </w:pPr>
    </w:p>
    <w:p w:rsidR="007B3609" w:rsidRDefault="007B3609" w:rsidP="009E1BF3">
      <w:pPr>
        <w:rPr>
          <w:rFonts w:ascii="StobiSerif Regular" w:hAnsi="StobiSerif Regular" w:cs="StobiSerif Regular"/>
          <w:b/>
          <w:color w:val="000000"/>
          <w:lang w:val="mk-MK" w:bidi="ar-SA"/>
        </w:rPr>
      </w:pPr>
    </w:p>
    <w:p w:rsidR="007B3609" w:rsidRDefault="007B3609" w:rsidP="009E1BF3">
      <w:pPr>
        <w:rPr>
          <w:rFonts w:ascii="StobiSerif Regular" w:hAnsi="StobiSerif Regular" w:cs="StobiSerif Regular"/>
          <w:b/>
          <w:color w:val="000000"/>
          <w:lang w:val="mk-MK" w:bidi="ar-SA"/>
        </w:rPr>
      </w:pPr>
    </w:p>
    <w:p w:rsidR="007B3609" w:rsidRDefault="007B3609" w:rsidP="009E1BF3">
      <w:pPr>
        <w:rPr>
          <w:rFonts w:ascii="StobiSerif Regular" w:hAnsi="StobiSerif Regular" w:cs="StobiSerif Regular"/>
          <w:b/>
          <w:color w:val="000000"/>
          <w:lang w:val="mk-MK" w:bidi="ar-SA"/>
        </w:rPr>
      </w:pPr>
    </w:p>
    <w:p w:rsidR="007B3609" w:rsidRDefault="003A41F7" w:rsidP="009E1BF3">
      <w:pPr>
        <w:rPr>
          <w:rFonts w:ascii="StobiSerif Regular" w:hAnsi="StobiSerif Regular" w:cs="StobiSerif Regular"/>
          <w:b/>
          <w:color w:val="000000"/>
          <w:lang w:val="mk-MK" w:bidi="ar-SA"/>
        </w:rPr>
      </w:pPr>
      <w:r>
        <w:rPr>
          <w:rFonts w:ascii="StobiSerif Regular" w:hAnsi="StobiSerif Regular" w:cs="StobiSerif Regular"/>
          <w:b/>
          <w:noProof/>
          <w:color w:val="000000"/>
          <w:lang w:val="mk-MK" w:eastAsia="mk-MK" w:bidi="ar-SA"/>
        </w:rPr>
        <w:drawing>
          <wp:inline distT="0" distB="0" distL="0" distR="0">
            <wp:extent cx="6344610" cy="733646"/>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7B3609" w:rsidRDefault="0084417C" w:rsidP="0084417C">
      <w:pPr>
        <w:pStyle w:val="Heading1"/>
        <w:rPr>
          <w:color w:val="984806" w:themeColor="accent6" w:themeShade="80"/>
          <w:lang w:val="mk-MK" w:bidi="ar-SA"/>
        </w:rPr>
      </w:pPr>
      <w:bookmarkStart w:id="49" w:name="_Toc327269935"/>
      <w:r w:rsidRPr="0084417C">
        <w:rPr>
          <w:color w:val="984806" w:themeColor="accent6" w:themeShade="80"/>
          <w:lang w:val="mk-MK" w:bidi="ar-SA"/>
        </w:rPr>
        <w:t>7</w:t>
      </w:r>
      <w:r w:rsidR="00554718" w:rsidRPr="0084417C">
        <w:rPr>
          <w:color w:val="984806" w:themeColor="accent6" w:themeShade="80"/>
          <w:lang w:bidi="ar-SA"/>
        </w:rPr>
        <w:t xml:space="preserve">. </w:t>
      </w:r>
      <w:r w:rsidR="00554718" w:rsidRPr="0084417C">
        <w:rPr>
          <w:color w:val="984806" w:themeColor="accent6" w:themeShade="80"/>
          <w:lang w:val="mk-MK" w:bidi="ar-SA"/>
        </w:rPr>
        <w:t>Преносливост на броеви</w:t>
      </w:r>
      <w:bookmarkEnd w:id="49"/>
    </w:p>
    <w:p w:rsidR="00A30010" w:rsidRPr="00A30010" w:rsidRDefault="00A30010" w:rsidP="00A30010">
      <w:pPr>
        <w:rPr>
          <w:lang w:val="mk-MK" w:bidi="ar-SA"/>
        </w:rPr>
      </w:pPr>
    </w:p>
    <w:p w:rsidR="009E1BF3" w:rsidRPr="007B3609" w:rsidRDefault="00554718" w:rsidP="009E1BF3">
      <w:pPr>
        <w:rPr>
          <w:lang w:val="mk-MK"/>
        </w:rPr>
      </w:pPr>
      <w:r w:rsidRPr="00554718">
        <w:rPr>
          <w:rFonts w:ascii="StobiSerif Regular" w:hAnsi="StobiSerif Regular" w:cs="StobiSerif Regular"/>
          <w:color w:val="000000"/>
          <w:lang w:bidi="ar-SA"/>
        </w:rPr>
        <w:t xml:space="preserve"> </w:t>
      </w:r>
      <w:r w:rsidR="009E1BF3" w:rsidRPr="00554718">
        <w:rPr>
          <w:rFonts w:ascii="StobiSerif Regular" w:hAnsi="StobiSerif Regular" w:cs="StobiSerif Regular"/>
          <w:color w:val="000000"/>
          <w:lang w:bidi="ar-SA"/>
        </w:rPr>
        <w:t>Со цел да се поттикне процесот на создавање на конкурентен пазар во областа на електронските комуникации од 1 Септември 2008 година се овозможи географска преносливост и преносливост на број при промена на оператор на јавна комуникациска мрежа т.е. право на претплатникот да го задржи постојниот број при промена на мрежна завршна точка во исто географско нумерациско подрачје и/или промена на операторот на јавна ком</w:t>
      </w:r>
      <w:r w:rsidR="009E1BF3">
        <w:rPr>
          <w:rFonts w:ascii="StobiSerif Regular" w:hAnsi="StobiSerif Regular" w:cs="StobiSerif Regular"/>
          <w:color w:val="000000"/>
          <w:lang w:bidi="ar-SA"/>
        </w:rPr>
        <w:t xml:space="preserve">уникациска мрежа. </w:t>
      </w:r>
      <w:proofErr w:type="gramStart"/>
      <w:r w:rsidR="009E1BF3" w:rsidRPr="00036DB9">
        <w:rPr>
          <w:rFonts w:ascii="StobiSerif Regular" w:hAnsi="StobiSerif Regular" w:cs="StobiSerif Regular"/>
          <w:lang w:bidi="ar-SA"/>
        </w:rPr>
        <w:t xml:space="preserve">Во </w:t>
      </w:r>
      <w:r w:rsidR="009E1BF3" w:rsidRPr="00036DB9">
        <w:rPr>
          <w:rFonts w:ascii="StobiSerif Regular" w:hAnsi="StobiSerif Regular" w:cs="StobiSerif Regular"/>
          <w:lang w:val="mk-MK" w:bidi="ar-SA"/>
        </w:rPr>
        <w:t>графиконот бр.</w:t>
      </w:r>
      <w:r w:rsidR="002B02FD" w:rsidRPr="002B02FD">
        <w:rPr>
          <w:rFonts w:ascii="StobiSerif Regular" w:hAnsi="StobiSerif Regular" w:cs="StobiSerif Regular"/>
          <w:lang w:val="mk-MK" w:bidi="ar-SA"/>
        </w:rPr>
        <w:t>25</w:t>
      </w:r>
      <w:r w:rsidR="009E1BF3" w:rsidRPr="002B02FD">
        <w:rPr>
          <w:rFonts w:ascii="StobiSerif Regular" w:hAnsi="StobiSerif Regular" w:cs="StobiSerif Regular"/>
          <w:lang w:bidi="ar-SA"/>
        </w:rPr>
        <w:t xml:space="preserve"> е</w:t>
      </w:r>
      <w:r w:rsidR="009E1BF3" w:rsidRPr="00554718">
        <w:rPr>
          <w:rFonts w:ascii="StobiSerif Regular" w:hAnsi="StobiSerif Regular" w:cs="StobiSerif Regular"/>
          <w:color w:val="000000"/>
          <w:lang w:bidi="ar-SA"/>
        </w:rPr>
        <w:t xml:space="preserve"> даден бројот на претплатници кои го искористиле правото з</w:t>
      </w:r>
      <w:r w:rsidR="009E1BF3">
        <w:rPr>
          <w:rFonts w:ascii="StobiSerif Regular" w:hAnsi="StobiSerif Regular" w:cs="StobiSerif Regular"/>
          <w:color w:val="000000"/>
          <w:lang w:bidi="ar-SA"/>
        </w:rPr>
        <w:t>а задржување на постојниот број</w:t>
      </w:r>
      <w:r w:rsidR="009E1BF3">
        <w:rPr>
          <w:rFonts w:ascii="StobiSerif Regular" w:hAnsi="StobiSerif Regular" w:cs="StobiSerif Regular"/>
          <w:color w:val="000000"/>
          <w:lang w:val="mk-MK" w:bidi="ar-SA"/>
        </w:rPr>
        <w:t xml:space="preserve"> во периодот од 31.03.2009 до 3</w:t>
      </w:r>
      <w:r w:rsidR="009E1BF3">
        <w:rPr>
          <w:rFonts w:ascii="StobiSerif Regular" w:hAnsi="StobiSerif Regular" w:cs="StobiSerif Regular"/>
          <w:color w:val="000000"/>
          <w:lang w:bidi="ar-SA"/>
        </w:rPr>
        <w:t>1</w:t>
      </w:r>
      <w:r w:rsidR="009E1BF3">
        <w:rPr>
          <w:rFonts w:ascii="StobiSerif Regular" w:hAnsi="StobiSerif Regular" w:cs="StobiSerif Regular"/>
          <w:color w:val="000000"/>
          <w:lang w:val="mk-MK" w:bidi="ar-SA"/>
        </w:rPr>
        <w:t>.</w:t>
      </w:r>
      <w:r w:rsidR="009E1BF3">
        <w:rPr>
          <w:rFonts w:ascii="StobiSerif Regular" w:hAnsi="StobiSerif Regular" w:cs="StobiSerif Regular"/>
          <w:color w:val="000000"/>
          <w:lang w:bidi="ar-SA"/>
        </w:rPr>
        <w:t>12</w:t>
      </w:r>
      <w:r w:rsidR="007442AE">
        <w:rPr>
          <w:rFonts w:ascii="StobiSerif Regular" w:hAnsi="StobiSerif Regular" w:cs="StobiSerif Regular"/>
          <w:color w:val="000000"/>
          <w:lang w:val="mk-MK" w:bidi="ar-SA"/>
        </w:rPr>
        <w:t>.2011</w:t>
      </w:r>
      <w:r w:rsidR="009E1BF3">
        <w:rPr>
          <w:rFonts w:ascii="StobiSerif Regular" w:hAnsi="StobiSerif Regular" w:cs="StobiSerif Regular"/>
          <w:color w:val="000000"/>
          <w:lang w:val="mk-MK" w:bidi="ar-SA"/>
        </w:rPr>
        <w:t xml:space="preserve"> година.</w:t>
      </w:r>
      <w:proofErr w:type="gramEnd"/>
      <w:r w:rsidR="009E1BF3">
        <w:rPr>
          <w:rFonts w:ascii="StobiSerif Regular" w:hAnsi="StobiSerif Regular" w:cs="StobiSerif Regular"/>
          <w:color w:val="000000"/>
          <w:lang w:val="mk-MK" w:bidi="ar-SA"/>
        </w:rPr>
        <w:t xml:space="preserve"> </w:t>
      </w:r>
    </w:p>
    <w:p w:rsidR="00554718" w:rsidRPr="00554718" w:rsidRDefault="00554718" w:rsidP="00554718">
      <w:pPr>
        <w:autoSpaceDE w:val="0"/>
        <w:autoSpaceDN w:val="0"/>
        <w:adjustRightInd w:val="0"/>
        <w:spacing w:after="0" w:line="240" w:lineRule="auto"/>
        <w:jc w:val="left"/>
        <w:rPr>
          <w:rFonts w:ascii="StobiSerif Regular" w:hAnsi="StobiSerif Regular" w:cs="StobiSerif Regular"/>
          <w:color w:val="000000"/>
          <w:lang w:bidi="ar-SA"/>
        </w:rPr>
      </w:pPr>
    </w:p>
    <w:p w:rsidR="00F36E92" w:rsidRDefault="009E1BF3" w:rsidP="00554718">
      <w:pPr>
        <w:jc w:val="center"/>
        <w:rPr>
          <w:rFonts w:asciiTheme="majorHAnsi" w:eastAsiaTheme="majorEastAsia" w:hAnsiTheme="majorHAnsi" w:cstheme="majorBidi"/>
          <w:b/>
          <w:bCs/>
          <w:szCs w:val="28"/>
          <w:lang w:val="ru-RU"/>
        </w:rPr>
      </w:pPr>
      <w:r w:rsidRPr="009E1BF3">
        <w:rPr>
          <w:rFonts w:asciiTheme="majorHAnsi" w:eastAsiaTheme="majorEastAsia" w:hAnsiTheme="majorHAnsi" w:cstheme="majorBidi"/>
          <w:b/>
          <w:bCs/>
          <w:noProof/>
          <w:szCs w:val="28"/>
          <w:lang w:val="mk-MK" w:eastAsia="mk-MK" w:bidi="ar-SA"/>
        </w:rPr>
        <w:drawing>
          <wp:inline distT="0" distB="0" distL="0" distR="0">
            <wp:extent cx="6456178" cy="3508745"/>
            <wp:effectExtent l="19050" t="0" r="20822" b="0"/>
            <wp:docPr id="5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E1BF3" w:rsidRPr="004658FB" w:rsidRDefault="004658FB" w:rsidP="004658FB">
      <w:pPr>
        <w:pStyle w:val="Caption"/>
        <w:jc w:val="center"/>
        <w:rPr>
          <w:color w:val="984806" w:themeColor="accent6" w:themeShade="80"/>
        </w:rPr>
      </w:pPr>
      <w:bookmarkStart w:id="50" w:name="_Toc327269961"/>
      <w:r w:rsidRPr="004658FB">
        <w:rPr>
          <w:color w:val="984806" w:themeColor="accent6" w:themeShade="80"/>
        </w:rPr>
        <w:t xml:space="preserve">Графикон </w:t>
      </w:r>
      <w:r w:rsidR="001E0707" w:rsidRPr="004658FB">
        <w:rPr>
          <w:color w:val="984806" w:themeColor="accent6" w:themeShade="80"/>
        </w:rPr>
        <w:fldChar w:fldCharType="begin"/>
      </w:r>
      <w:r w:rsidRPr="004658FB">
        <w:rPr>
          <w:color w:val="984806" w:themeColor="accent6" w:themeShade="80"/>
        </w:rPr>
        <w:instrText xml:space="preserve"> SEQ Графикон \* ARABIC </w:instrText>
      </w:r>
      <w:r w:rsidR="001E0707" w:rsidRPr="004658FB">
        <w:rPr>
          <w:color w:val="984806" w:themeColor="accent6" w:themeShade="80"/>
        </w:rPr>
        <w:fldChar w:fldCharType="separate"/>
      </w:r>
      <w:r w:rsidR="004E5FA2">
        <w:rPr>
          <w:noProof/>
          <w:color w:val="984806" w:themeColor="accent6" w:themeShade="80"/>
        </w:rPr>
        <w:t>25</w:t>
      </w:r>
      <w:r w:rsidR="001E0707" w:rsidRPr="004658FB">
        <w:rPr>
          <w:color w:val="984806" w:themeColor="accent6" w:themeShade="80"/>
        </w:rPr>
        <w:fldChar w:fldCharType="end"/>
      </w:r>
      <w:r w:rsidRPr="004658FB">
        <w:rPr>
          <w:color w:val="984806" w:themeColor="accent6" w:themeShade="80"/>
        </w:rPr>
        <w:t xml:space="preserve"> Број на пренесени броеви (фиксни и мобилни) во периодот од 3</w:t>
      </w:r>
      <w:r w:rsidRPr="004658FB">
        <w:rPr>
          <w:color w:val="984806" w:themeColor="accent6" w:themeShade="80"/>
          <w:lang w:val="mk-MK"/>
        </w:rPr>
        <w:t>1</w:t>
      </w:r>
      <w:r w:rsidRPr="004658FB">
        <w:rPr>
          <w:color w:val="984806" w:themeColor="accent6" w:themeShade="80"/>
        </w:rPr>
        <w:t>.0</w:t>
      </w:r>
      <w:r w:rsidRPr="004658FB">
        <w:rPr>
          <w:color w:val="984806" w:themeColor="accent6" w:themeShade="80"/>
          <w:lang w:val="mk-MK"/>
        </w:rPr>
        <w:t>3</w:t>
      </w:r>
      <w:r w:rsidRPr="004658FB">
        <w:rPr>
          <w:color w:val="984806" w:themeColor="accent6" w:themeShade="80"/>
        </w:rPr>
        <w:t>.200</w:t>
      </w:r>
      <w:r w:rsidRPr="004658FB">
        <w:rPr>
          <w:color w:val="984806" w:themeColor="accent6" w:themeShade="80"/>
          <w:lang w:val="mk-MK"/>
        </w:rPr>
        <w:t>9</w:t>
      </w:r>
      <w:r w:rsidRPr="004658FB">
        <w:rPr>
          <w:color w:val="984806" w:themeColor="accent6" w:themeShade="80"/>
        </w:rPr>
        <w:t xml:space="preserve"> </w:t>
      </w:r>
      <w:r w:rsidRPr="004658FB">
        <w:rPr>
          <w:color w:val="984806" w:themeColor="accent6" w:themeShade="80"/>
          <w:lang w:val="mk-MK"/>
        </w:rPr>
        <w:br/>
      </w:r>
      <w:r w:rsidRPr="004658FB">
        <w:rPr>
          <w:color w:val="984806" w:themeColor="accent6" w:themeShade="80"/>
        </w:rPr>
        <w:t>до 31.12.20</w:t>
      </w:r>
      <w:r w:rsidR="007442AE">
        <w:rPr>
          <w:color w:val="984806" w:themeColor="accent6" w:themeShade="80"/>
          <w:lang w:val="mk-MK"/>
        </w:rPr>
        <w:t>11</w:t>
      </w:r>
      <w:r w:rsidRPr="004658FB">
        <w:rPr>
          <w:color w:val="984806" w:themeColor="accent6" w:themeShade="80"/>
        </w:rPr>
        <w:t xml:space="preserve"> година</w:t>
      </w:r>
      <w:bookmarkEnd w:id="50"/>
    </w:p>
    <w:p w:rsidR="00D014BB" w:rsidRPr="00D014BB" w:rsidRDefault="00D014BB" w:rsidP="009E1BF3">
      <w:pPr>
        <w:pStyle w:val="Caption"/>
      </w:pPr>
    </w:p>
    <w:p w:rsidR="007C5FDF" w:rsidRDefault="009E1BF3" w:rsidP="007C5FDF">
      <w:pPr>
        <w:pStyle w:val="Caption"/>
        <w:spacing w:line="276" w:lineRule="auto"/>
        <w:rPr>
          <w:rFonts w:ascii="StobiSerif Regular" w:hAnsi="StobiSerif Regular" w:cs="StobiSerif Regular"/>
          <w:b w:val="0"/>
          <w:color w:val="000000"/>
          <w:szCs w:val="22"/>
          <w:lang w:val="mk-MK" w:bidi="ar-SA"/>
        </w:rPr>
      </w:pPr>
      <w:r>
        <w:rPr>
          <w:b w:val="0"/>
          <w:lang w:val="mk-MK"/>
        </w:rPr>
        <w:lastRenderedPageBreak/>
        <w:t>О</w:t>
      </w:r>
      <w:r w:rsidR="0018281C">
        <w:rPr>
          <w:b w:val="0"/>
          <w:lang w:val="mk-MK"/>
        </w:rPr>
        <w:t>д графиконот</w:t>
      </w:r>
      <w:r w:rsidR="007C5FDF">
        <w:rPr>
          <w:b w:val="0"/>
          <w:lang w:val="mk-MK"/>
        </w:rPr>
        <w:t xml:space="preserve"> бр</w:t>
      </w:r>
      <w:r w:rsidR="007C5FDF" w:rsidRPr="004658FB">
        <w:rPr>
          <w:b w:val="0"/>
          <w:lang w:val="mk-MK"/>
        </w:rPr>
        <w:t>.</w:t>
      </w:r>
      <w:r w:rsidR="004658FB" w:rsidRPr="004658FB">
        <w:rPr>
          <w:b w:val="0"/>
          <w:lang w:val="mk-MK"/>
        </w:rPr>
        <w:t>2</w:t>
      </w:r>
      <w:r w:rsidR="002B02FD">
        <w:rPr>
          <w:b w:val="0"/>
          <w:lang w:val="mk-MK"/>
        </w:rPr>
        <w:t>5</w:t>
      </w:r>
      <w:r w:rsidRPr="004658FB">
        <w:rPr>
          <w:b w:val="0"/>
          <w:lang w:val="mk-MK"/>
        </w:rPr>
        <w:t xml:space="preserve"> може</w:t>
      </w:r>
      <w:r>
        <w:rPr>
          <w:b w:val="0"/>
          <w:lang w:val="mk-MK"/>
        </w:rPr>
        <w:t xml:space="preserve"> да се забележи</w:t>
      </w:r>
      <w:r w:rsidR="0018281C">
        <w:rPr>
          <w:b w:val="0"/>
          <w:lang w:val="mk-MK"/>
        </w:rPr>
        <w:t xml:space="preserve"> </w:t>
      </w:r>
      <w:r w:rsidR="007C5FDF">
        <w:rPr>
          <w:b w:val="0"/>
          <w:lang w:val="mk-MK"/>
        </w:rPr>
        <w:t xml:space="preserve">константен раст </w:t>
      </w:r>
      <w:r w:rsidR="007C5FDF">
        <w:rPr>
          <w:rFonts w:ascii="StobiSerif Regular" w:hAnsi="StobiSerif Regular" w:cs="StobiSerif Regular"/>
          <w:b w:val="0"/>
          <w:color w:val="000000"/>
          <w:szCs w:val="22"/>
          <w:lang w:val="mk-MK" w:bidi="ar-SA"/>
        </w:rPr>
        <w:t>на пренесените броеви ( фиксни и мобилни)</w:t>
      </w:r>
      <w:r w:rsidR="007C5FDF" w:rsidRPr="007C5FDF">
        <w:rPr>
          <w:rFonts w:ascii="StobiSerif Regular" w:hAnsi="StobiSerif Regular" w:cs="StobiSerif Regular"/>
          <w:b w:val="0"/>
          <w:color w:val="000000"/>
          <w:lang w:bidi="ar-SA"/>
        </w:rPr>
        <w:t xml:space="preserve"> </w:t>
      </w:r>
      <w:r w:rsidR="007C5FDF">
        <w:rPr>
          <w:rFonts w:ascii="StobiSerif Regular" w:hAnsi="StobiSerif Regular" w:cs="StobiSerif Regular"/>
          <w:b w:val="0"/>
          <w:color w:val="000000"/>
          <w:lang w:val="mk-MK" w:bidi="ar-SA"/>
        </w:rPr>
        <w:t xml:space="preserve">од почетокот на овозможување на услугата </w:t>
      </w:r>
      <w:r>
        <w:rPr>
          <w:rFonts w:ascii="StobiSerif Regular" w:hAnsi="StobiSerif Regular" w:cs="StobiSerif Regular"/>
          <w:b w:val="0"/>
          <w:color w:val="000000"/>
          <w:szCs w:val="22"/>
          <w:lang w:val="mk-MK" w:bidi="ar-SA"/>
        </w:rPr>
        <w:t xml:space="preserve">па се </w:t>
      </w:r>
      <w:r w:rsidR="00930F19">
        <w:rPr>
          <w:rFonts w:ascii="StobiSerif Regular" w:hAnsi="StobiSerif Regular" w:cs="StobiSerif Regular"/>
          <w:b w:val="0"/>
          <w:color w:val="000000"/>
          <w:szCs w:val="22"/>
          <w:lang w:val="mk-MK" w:bidi="ar-SA"/>
        </w:rPr>
        <w:t>до 31.12.201</w:t>
      </w:r>
      <w:r w:rsidR="00930F19">
        <w:rPr>
          <w:rFonts w:ascii="StobiSerif Regular" w:hAnsi="StobiSerif Regular" w:cs="StobiSerif Regular"/>
          <w:b w:val="0"/>
          <w:color w:val="000000"/>
          <w:szCs w:val="22"/>
          <w:lang w:bidi="ar-SA"/>
        </w:rPr>
        <w:t>1</w:t>
      </w:r>
      <w:r w:rsidR="00945FF7">
        <w:rPr>
          <w:rFonts w:ascii="StobiSerif Regular" w:hAnsi="StobiSerif Regular" w:cs="StobiSerif Regular"/>
          <w:b w:val="0"/>
          <w:color w:val="000000"/>
          <w:szCs w:val="22"/>
          <w:lang w:val="mk-MK" w:bidi="ar-SA"/>
        </w:rPr>
        <w:t xml:space="preserve"> година.</w:t>
      </w:r>
      <w:r w:rsidR="00CB1993">
        <w:rPr>
          <w:rFonts w:ascii="StobiSerif Regular" w:hAnsi="StobiSerif Regular" w:cs="StobiSerif Regular"/>
          <w:b w:val="0"/>
          <w:color w:val="000000"/>
          <w:szCs w:val="22"/>
          <w:lang w:val="mk-MK" w:bidi="ar-SA"/>
        </w:rPr>
        <w:t xml:space="preserve"> </w:t>
      </w:r>
      <w:r w:rsidR="0026674C">
        <w:rPr>
          <w:rFonts w:ascii="StobiSerif Regular" w:hAnsi="StobiSerif Regular" w:cs="StobiSerif Regular"/>
          <w:b w:val="0"/>
          <w:color w:val="000000"/>
          <w:szCs w:val="22"/>
          <w:lang w:val="mk-MK" w:bidi="ar-SA"/>
        </w:rPr>
        <w:t xml:space="preserve">На крајот на </w:t>
      </w:r>
      <w:r w:rsidR="009B7747">
        <w:rPr>
          <w:rFonts w:ascii="StobiSerif Regular" w:hAnsi="StobiSerif Regular" w:cs="StobiSerif Regular"/>
          <w:b w:val="0"/>
          <w:color w:val="000000"/>
          <w:szCs w:val="22"/>
          <w:lang w:val="mk-MK" w:bidi="ar-SA"/>
        </w:rPr>
        <w:t>четвртиот квартал од 2011</w:t>
      </w:r>
      <w:r w:rsidR="00945FF7">
        <w:rPr>
          <w:rFonts w:ascii="StobiSerif Regular" w:hAnsi="StobiSerif Regular" w:cs="StobiSerif Regular"/>
          <w:b w:val="0"/>
          <w:color w:val="000000"/>
          <w:szCs w:val="22"/>
          <w:lang w:val="mk-MK" w:bidi="ar-SA"/>
        </w:rPr>
        <w:t xml:space="preserve"> година кога бројот на пренесени броеви</w:t>
      </w:r>
      <w:r w:rsidR="00D62FD3" w:rsidRPr="00D62FD3">
        <w:rPr>
          <w:rFonts w:ascii="StobiSerif Regular" w:hAnsi="StobiSerif Regular" w:cs="StobiSerif Regular"/>
          <w:b w:val="0"/>
          <w:color w:val="000000"/>
          <w:szCs w:val="22"/>
          <w:lang w:val="mk-MK" w:bidi="ar-SA"/>
        </w:rPr>
        <w:t xml:space="preserve"> </w:t>
      </w:r>
      <w:r w:rsidR="00D62FD3">
        <w:rPr>
          <w:rFonts w:ascii="StobiSerif Regular" w:hAnsi="StobiSerif Regular" w:cs="StobiSerif Regular"/>
          <w:b w:val="0"/>
          <w:color w:val="000000"/>
          <w:szCs w:val="22"/>
          <w:lang w:val="mk-MK" w:bidi="ar-SA"/>
        </w:rPr>
        <w:t>во фиксната телефонија</w:t>
      </w:r>
      <w:r w:rsidR="009B7747">
        <w:rPr>
          <w:rFonts w:ascii="StobiSerif Regular" w:hAnsi="StobiSerif Regular" w:cs="StobiSerif Regular"/>
          <w:b w:val="0"/>
          <w:color w:val="000000"/>
          <w:szCs w:val="22"/>
          <w:lang w:val="mk-MK" w:bidi="ar-SA"/>
        </w:rPr>
        <w:t xml:space="preserve"> изнесува 76.790</w:t>
      </w:r>
      <w:r w:rsidR="00945FF7">
        <w:rPr>
          <w:rFonts w:ascii="StobiSerif Regular" w:hAnsi="StobiSerif Regular" w:cs="StobiSerif Regular"/>
          <w:b w:val="0"/>
          <w:color w:val="000000"/>
          <w:szCs w:val="22"/>
          <w:lang w:val="mk-MK" w:bidi="ar-SA"/>
        </w:rPr>
        <w:t xml:space="preserve"> споредено со истиот </w:t>
      </w:r>
      <w:r w:rsidR="0026674C">
        <w:rPr>
          <w:rFonts w:ascii="StobiSerif Regular" w:hAnsi="StobiSerif Regular" w:cs="StobiSerif Regular"/>
          <w:b w:val="0"/>
          <w:color w:val="000000"/>
          <w:szCs w:val="22"/>
          <w:lang w:val="mk-MK" w:bidi="ar-SA"/>
        </w:rPr>
        <w:t>период</w:t>
      </w:r>
      <w:r w:rsidR="009B7747">
        <w:rPr>
          <w:rFonts w:ascii="StobiSerif Regular" w:hAnsi="StobiSerif Regular" w:cs="StobiSerif Regular"/>
          <w:b w:val="0"/>
          <w:color w:val="000000"/>
          <w:szCs w:val="22"/>
          <w:lang w:val="mk-MK" w:bidi="ar-SA"/>
        </w:rPr>
        <w:t xml:space="preserve"> од 2010</w:t>
      </w:r>
      <w:r w:rsidR="00945FF7">
        <w:rPr>
          <w:rFonts w:ascii="StobiSerif Regular" w:hAnsi="StobiSerif Regular" w:cs="StobiSerif Regular"/>
          <w:b w:val="0"/>
          <w:color w:val="000000"/>
          <w:szCs w:val="22"/>
          <w:lang w:val="mk-MK" w:bidi="ar-SA"/>
        </w:rPr>
        <w:t xml:space="preserve"> </w:t>
      </w:r>
      <w:r w:rsidR="0026674C">
        <w:rPr>
          <w:rFonts w:ascii="StobiSerif Regular" w:hAnsi="StobiSerif Regular" w:cs="StobiSerif Regular"/>
          <w:b w:val="0"/>
          <w:color w:val="000000"/>
          <w:szCs w:val="22"/>
          <w:lang w:val="mk-MK" w:bidi="ar-SA"/>
        </w:rPr>
        <w:t xml:space="preserve">година </w:t>
      </w:r>
      <w:r w:rsidR="00945FF7">
        <w:rPr>
          <w:rFonts w:ascii="StobiSerif Regular" w:hAnsi="StobiSerif Regular" w:cs="StobiSerif Regular"/>
          <w:b w:val="0"/>
          <w:color w:val="000000"/>
          <w:szCs w:val="22"/>
          <w:lang w:val="mk-MK" w:bidi="ar-SA"/>
        </w:rPr>
        <w:t>каде што бројот изнесува</w:t>
      </w:r>
      <w:r w:rsidR="00D62FD3">
        <w:rPr>
          <w:rFonts w:ascii="StobiSerif Regular" w:hAnsi="StobiSerif Regular" w:cs="StobiSerif Regular"/>
          <w:b w:val="0"/>
          <w:color w:val="000000"/>
          <w:szCs w:val="22"/>
          <w:lang w:val="mk-MK" w:bidi="ar-SA"/>
        </w:rPr>
        <w:t>л</w:t>
      </w:r>
      <w:r w:rsidR="009B7747">
        <w:rPr>
          <w:rFonts w:ascii="StobiSerif Regular" w:hAnsi="StobiSerif Regular" w:cs="StobiSerif Regular"/>
          <w:b w:val="0"/>
          <w:color w:val="000000"/>
          <w:szCs w:val="22"/>
          <w:lang w:val="mk-MK" w:bidi="ar-SA"/>
        </w:rPr>
        <w:t xml:space="preserve"> 39.206</w:t>
      </w:r>
      <w:r w:rsidR="00945FF7">
        <w:rPr>
          <w:rFonts w:ascii="StobiSerif Regular" w:hAnsi="StobiSerif Regular" w:cs="StobiSerif Regular"/>
          <w:b w:val="0"/>
          <w:color w:val="000000"/>
          <w:szCs w:val="22"/>
          <w:lang w:val="mk-MK" w:bidi="ar-SA"/>
        </w:rPr>
        <w:t xml:space="preserve"> </w:t>
      </w:r>
      <w:r w:rsidR="009B7747">
        <w:rPr>
          <w:rFonts w:ascii="StobiSerif Regular" w:hAnsi="StobiSerif Regular" w:cs="StobiSerif Regular"/>
          <w:b w:val="0"/>
          <w:color w:val="000000"/>
          <w:szCs w:val="22"/>
          <w:lang w:val="mk-MK" w:bidi="ar-SA"/>
        </w:rPr>
        <w:t>евидентен е растот од 104</w:t>
      </w:r>
      <w:r w:rsidR="002677AD">
        <w:rPr>
          <w:rFonts w:ascii="StobiSerif Regular" w:hAnsi="StobiSerif Regular" w:cs="StobiSerif Regular"/>
          <w:b w:val="0"/>
          <w:color w:val="000000"/>
          <w:szCs w:val="22"/>
          <w:lang w:val="mk-MK" w:bidi="ar-SA"/>
        </w:rPr>
        <w:t>%</w:t>
      </w:r>
      <w:r w:rsidR="00D62FD3">
        <w:rPr>
          <w:rFonts w:ascii="StobiSerif Regular" w:hAnsi="StobiSerif Regular" w:cs="StobiSerif Regular"/>
          <w:b w:val="0"/>
          <w:color w:val="000000"/>
          <w:szCs w:val="22"/>
          <w:lang w:val="mk-MK" w:bidi="ar-SA"/>
        </w:rPr>
        <w:t xml:space="preserve"> </w:t>
      </w:r>
      <w:r w:rsidR="007C5FDF">
        <w:rPr>
          <w:rFonts w:ascii="StobiSerif Regular" w:hAnsi="StobiSerif Regular" w:cs="StobiSerif Regular"/>
          <w:b w:val="0"/>
          <w:color w:val="000000"/>
          <w:szCs w:val="22"/>
          <w:lang w:val="mk-MK" w:bidi="ar-SA"/>
        </w:rPr>
        <w:t>на пренесени броеви</w:t>
      </w:r>
      <w:r w:rsidR="00D62FD3">
        <w:rPr>
          <w:rFonts w:ascii="StobiSerif Regular" w:hAnsi="StobiSerif Regular" w:cs="StobiSerif Regular"/>
          <w:b w:val="0"/>
          <w:color w:val="000000"/>
          <w:szCs w:val="22"/>
          <w:lang w:val="mk-MK" w:bidi="ar-SA"/>
        </w:rPr>
        <w:t xml:space="preserve">. </w:t>
      </w:r>
      <w:r w:rsidR="001F02CF">
        <w:rPr>
          <w:rFonts w:ascii="StobiSerif Regular" w:hAnsi="StobiSerif Regular" w:cs="StobiSerif Regular"/>
          <w:b w:val="0"/>
          <w:color w:val="000000"/>
          <w:szCs w:val="22"/>
          <w:lang w:val="mk-MK" w:bidi="ar-SA"/>
        </w:rPr>
        <w:t>Идентична е</w:t>
      </w:r>
      <w:r w:rsidR="00D62FD3">
        <w:rPr>
          <w:rFonts w:ascii="StobiSerif Regular" w:hAnsi="StobiSerif Regular" w:cs="StobiSerif Regular"/>
          <w:b w:val="0"/>
          <w:color w:val="000000"/>
          <w:szCs w:val="22"/>
          <w:lang w:val="mk-MK" w:bidi="ar-SA"/>
        </w:rPr>
        <w:t xml:space="preserve"> ситуација</w:t>
      </w:r>
      <w:r w:rsidR="00D72975">
        <w:rPr>
          <w:rFonts w:ascii="StobiSerif Regular" w:hAnsi="StobiSerif Regular" w:cs="StobiSerif Regular"/>
          <w:b w:val="0"/>
          <w:color w:val="000000"/>
          <w:szCs w:val="22"/>
          <w:lang w:val="mk-MK" w:bidi="ar-SA"/>
        </w:rPr>
        <w:t>та</w:t>
      </w:r>
      <w:r w:rsidR="00D62FD3">
        <w:rPr>
          <w:rFonts w:ascii="StobiSerif Regular" w:hAnsi="StobiSerif Regular" w:cs="StobiSerif Regular"/>
          <w:b w:val="0"/>
          <w:color w:val="000000"/>
          <w:szCs w:val="22"/>
          <w:lang w:val="mk-MK" w:bidi="ar-SA"/>
        </w:rPr>
        <w:t xml:space="preserve"> и во мобилната  телефонија каде </w:t>
      </w:r>
      <w:r w:rsidR="0026674C">
        <w:rPr>
          <w:rFonts w:ascii="StobiSerif Regular" w:hAnsi="StobiSerif Regular" w:cs="StobiSerif Regular"/>
          <w:b w:val="0"/>
          <w:color w:val="000000"/>
          <w:szCs w:val="22"/>
          <w:lang w:val="mk-MK" w:bidi="ar-SA"/>
        </w:rPr>
        <w:t>што бројот на пренесени броеви на крајот на</w:t>
      </w:r>
      <w:r w:rsidR="00D62FD3">
        <w:rPr>
          <w:rFonts w:ascii="StobiSerif Regular" w:hAnsi="StobiSerif Regular" w:cs="StobiSerif Regular"/>
          <w:b w:val="0"/>
          <w:color w:val="000000"/>
          <w:szCs w:val="22"/>
          <w:lang w:val="mk-MK" w:bidi="ar-SA"/>
        </w:rPr>
        <w:t xml:space="preserve"> четвртиот квартал </w:t>
      </w:r>
      <w:r w:rsidR="009B7747">
        <w:rPr>
          <w:rFonts w:ascii="StobiSerif Regular" w:hAnsi="StobiSerif Regular" w:cs="StobiSerif Regular"/>
          <w:b w:val="0"/>
          <w:color w:val="000000"/>
          <w:szCs w:val="22"/>
          <w:lang w:val="mk-MK" w:bidi="ar-SA"/>
        </w:rPr>
        <w:t>од 2011</w:t>
      </w:r>
      <w:r w:rsidR="00D62FD3">
        <w:rPr>
          <w:rFonts w:ascii="StobiSerif Regular" w:hAnsi="StobiSerif Regular" w:cs="StobiSerif Regular"/>
          <w:b w:val="0"/>
          <w:color w:val="000000"/>
          <w:szCs w:val="22"/>
          <w:lang w:val="mk-MK" w:bidi="ar-SA"/>
        </w:rPr>
        <w:t xml:space="preserve"> година</w:t>
      </w:r>
      <w:r w:rsidR="009B7747">
        <w:rPr>
          <w:rFonts w:ascii="StobiSerif Regular" w:hAnsi="StobiSerif Regular" w:cs="StobiSerif Regular"/>
          <w:b w:val="0"/>
          <w:color w:val="000000"/>
          <w:szCs w:val="22"/>
          <w:lang w:val="mk-MK" w:bidi="ar-SA"/>
        </w:rPr>
        <w:t xml:space="preserve"> изнесува 59.354</w:t>
      </w:r>
      <w:r w:rsidR="0026674C">
        <w:rPr>
          <w:rFonts w:ascii="StobiSerif Regular" w:hAnsi="StobiSerif Regular" w:cs="StobiSerif Regular"/>
          <w:b w:val="0"/>
          <w:color w:val="000000"/>
          <w:szCs w:val="22"/>
          <w:lang w:val="mk-MK" w:bidi="ar-SA"/>
        </w:rPr>
        <w:t xml:space="preserve"> и споредено со истиот период</w:t>
      </w:r>
      <w:r w:rsidR="009B7747">
        <w:rPr>
          <w:rFonts w:ascii="StobiSerif Regular" w:hAnsi="StobiSerif Regular" w:cs="StobiSerif Regular"/>
          <w:b w:val="0"/>
          <w:color w:val="000000"/>
          <w:szCs w:val="22"/>
          <w:lang w:val="mk-MK" w:bidi="ar-SA"/>
        </w:rPr>
        <w:t xml:space="preserve"> од 2010</w:t>
      </w:r>
      <w:r w:rsidR="00D62FD3">
        <w:rPr>
          <w:rFonts w:ascii="StobiSerif Regular" w:hAnsi="StobiSerif Regular" w:cs="StobiSerif Regular"/>
          <w:b w:val="0"/>
          <w:color w:val="000000"/>
          <w:szCs w:val="22"/>
          <w:lang w:val="mk-MK" w:bidi="ar-SA"/>
        </w:rPr>
        <w:t xml:space="preserve"> го</w:t>
      </w:r>
      <w:r w:rsidR="009B7747">
        <w:rPr>
          <w:rFonts w:ascii="StobiSerif Regular" w:hAnsi="StobiSerif Regular" w:cs="StobiSerif Regular"/>
          <w:b w:val="0"/>
          <w:color w:val="000000"/>
          <w:szCs w:val="22"/>
          <w:lang w:val="mk-MK" w:bidi="ar-SA"/>
        </w:rPr>
        <w:t>дина кога овој број изнесува 25.986 евидентен е растот од 128</w:t>
      </w:r>
      <w:r w:rsidR="00D62FD3">
        <w:rPr>
          <w:rFonts w:ascii="StobiSerif Regular" w:hAnsi="StobiSerif Regular" w:cs="StobiSerif Regular"/>
          <w:b w:val="0"/>
          <w:color w:val="000000"/>
          <w:szCs w:val="22"/>
          <w:lang w:val="mk-MK" w:bidi="ar-SA"/>
        </w:rPr>
        <w:t>% на пренесени броеви во моб</w:t>
      </w:r>
      <w:r w:rsidR="007C5FDF">
        <w:rPr>
          <w:rFonts w:ascii="StobiSerif Regular" w:hAnsi="StobiSerif Regular" w:cs="StobiSerif Regular"/>
          <w:b w:val="0"/>
          <w:color w:val="000000"/>
          <w:szCs w:val="22"/>
          <w:lang w:val="mk-MK" w:bidi="ar-SA"/>
        </w:rPr>
        <w:t>илната телефонија</w:t>
      </w:r>
      <w:r w:rsidR="00D62FD3">
        <w:rPr>
          <w:rFonts w:ascii="StobiSerif Regular" w:hAnsi="StobiSerif Regular" w:cs="StobiSerif Regular"/>
          <w:b w:val="0"/>
          <w:color w:val="000000"/>
          <w:szCs w:val="22"/>
          <w:lang w:val="mk-MK" w:bidi="ar-SA"/>
        </w:rPr>
        <w:t>.</w:t>
      </w:r>
    </w:p>
    <w:p w:rsidR="007C5FDF" w:rsidRPr="007C5FDF" w:rsidRDefault="007C5FDF" w:rsidP="007C5FDF">
      <w:pPr>
        <w:rPr>
          <w:lang w:val="mk-MK" w:bidi="ar-SA"/>
        </w:rPr>
      </w:pPr>
    </w:p>
    <w:p w:rsidR="00E27642" w:rsidRPr="00554718" w:rsidRDefault="007C5FDF" w:rsidP="00D96C24">
      <w:pPr>
        <w:jc w:val="center"/>
        <w:rPr>
          <w:rFonts w:asciiTheme="majorHAnsi" w:eastAsiaTheme="majorEastAsia" w:hAnsiTheme="majorHAnsi" w:cstheme="majorBidi"/>
          <w:b/>
          <w:bCs/>
          <w:szCs w:val="28"/>
          <w:lang w:val="ru-RU"/>
        </w:rPr>
      </w:pPr>
      <w:r w:rsidRPr="007C5FDF">
        <w:rPr>
          <w:rFonts w:asciiTheme="majorHAnsi" w:eastAsiaTheme="majorEastAsia" w:hAnsiTheme="majorHAnsi" w:cstheme="majorBidi"/>
          <w:b/>
          <w:bCs/>
          <w:noProof/>
          <w:szCs w:val="28"/>
          <w:lang w:val="mk-MK" w:eastAsia="mk-MK" w:bidi="ar-SA"/>
        </w:rPr>
        <w:drawing>
          <wp:inline distT="0" distB="0" distL="0" distR="0">
            <wp:extent cx="5488615" cy="3530009"/>
            <wp:effectExtent l="19050" t="0" r="16835" b="0"/>
            <wp:docPr id="6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C5FDF" w:rsidRDefault="007C5FDF" w:rsidP="00721079">
      <w:pPr>
        <w:pStyle w:val="Caption"/>
        <w:rPr>
          <w:lang w:val="mk-MK"/>
        </w:rPr>
      </w:pPr>
    </w:p>
    <w:p w:rsidR="00721079" w:rsidRPr="004658FB" w:rsidRDefault="004658FB" w:rsidP="004658FB">
      <w:pPr>
        <w:pStyle w:val="Caption"/>
        <w:jc w:val="center"/>
        <w:rPr>
          <w:color w:val="984806" w:themeColor="accent6" w:themeShade="80"/>
          <w:lang w:val="mk-MK"/>
        </w:rPr>
      </w:pPr>
      <w:bookmarkStart w:id="51" w:name="_Toc327269962"/>
      <w:r w:rsidRPr="004658FB">
        <w:rPr>
          <w:color w:val="984806" w:themeColor="accent6" w:themeShade="80"/>
        </w:rPr>
        <w:t xml:space="preserve">Графикон </w:t>
      </w:r>
      <w:r w:rsidR="001E0707" w:rsidRPr="004658FB">
        <w:rPr>
          <w:color w:val="984806" w:themeColor="accent6" w:themeShade="80"/>
        </w:rPr>
        <w:fldChar w:fldCharType="begin"/>
      </w:r>
      <w:r w:rsidRPr="004658FB">
        <w:rPr>
          <w:color w:val="984806" w:themeColor="accent6" w:themeShade="80"/>
        </w:rPr>
        <w:instrText xml:space="preserve"> SEQ Графикон \* ARABIC </w:instrText>
      </w:r>
      <w:r w:rsidR="001E0707" w:rsidRPr="004658FB">
        <w:rPr>
          <w:color w:val="984806" w:themeColor="accent6" w:themeShade="80"/>
        </w:rPr>
        <w:fldChar w:fldCharType="separate"/>
      </w:r>
      <w:r w:rsidR="004E5FA2">
        <w:rPr>
          <w:noProof/>
          <w:color w:val="984806" w:themeColor="accent6" w:themeShade="80"/>
        </w:rPr>
        <w:t>26</w:t>
      </w:r>
      <w:r w:rsidR="001E0707" w:rsidRPr="004658FB">
        <w:rPr>
          <w:color w:val="984806" w:themeColor="accent6" w:themeShade="80"/>
        </w:rPr>
        <w:fldChar w:fldCharType="end"/>
      </w:r>
      <w:r w:rsidRPr="004658FB">
        <w:rPr>
          <w:color w:val="984806" w:themeColor="accent6" w:themeShade="80"/>
          <w:lang w:val="mk-MK"/>
        </w:rPr>
        <w:t xml:space="preserve"> Удел во однос на пренесени броеви во фиксни м</w:t>
      </w:r>
      <w:r w:rsidR="009B7747">
        <w:rPr>
          <w:color w:val="984806" w:themeColor="accent6" w:themeShade="80"/>
          <w:lang w:val="mk-MK"/>
        </w:rPr>
        <w:t>режи (состојба на ден 31.12.2011</w:t>
      </w:r>
      <w:r w:rsidRPr="004658FB">
        <w:rPr>
          <w:color w:val="984806" w:themeColor="accent6" w:themeShade="80"/>
          <w:lang w:val="mk-MK"/>
        </w:rPr>
        <w:t xml:space="preserve"> година)</w:t>
      </w:r>
      <w:bookmarkEnd w:id="51"/>
    </w:p>
    <w:p w:rsidR="00940820" w:rsidRDefault="007C5FDF" w:rsidP="00721079">
      <w:pPr>
        <w:rPr>
          <w:lang w:val="mk-MK"/>
        </w:rPr>
      </w:pPr>
      <w:r w:rsidRPr="00036DB9">
        <w:rPr>
          <w:lang w:val="mk-MK"/>
        </w:rPr>
        <w:t>Во графиконот бр</w:t>
      </w:r>
      <w:r w:rsidRPr="004658FB">
        <w:rPr>
          <w:lang w:val="mk-MK"/>
        </w:rPr>
        <w:t>.</w:t>
      </w:r>
      <w:r w:rsidR="004658FB" w:rsidRPr="004658FB">
        <w:rPr>
          <w:lang w:val="mk-MK"/>
        </w:rPr>
        <w:t>2</w:t>
      </w:r>
      <w:r w:rsidR="002B02FD">
        <w:rPr>
          <w:lang w:val="mk-MK"/>
        </w:rPr>
        <w:t>6</w:t>
      </w:r>
      <w:r w:rsidRPr="007C5FDF">
        <w:rPr>
          <w:color w:val="FF0000"/>
          <w:lang w:val="mk-MK"/>
        </w:rPr>
        <w:t xml:space="preserve">  </w:t>
      </w:r>
      <w:r w:rsidRPr="00036DB9">
        <w:rPr>
          <w:lang w:val="mk-MK"/>
        </w:rPr>
        <w:t>е даден уделот во однос на пренесени броеви во фиксни мрежи. Од самиот графикон може</w:t>
      </w:r>
      <w:r>
        <w:rPr>
          <w:lang w:val="mk-MK"/>
        </w:rPr>
        <w:t xml:space="preserve"> да се  забележи дека најголем процент од пренесените броеви се во мрежата </w:t>
      </w:r>
      <w:r w:rsidR="00940820">
        <w:rPr>
          <w:lang w:val="mk-MK"/>
        </w:rPr>
        <w:t>ОНЕ Оператор со 54,38%.</w:t>
      </w:r>
      <w:r w:rsidR="001D5F95">
        <w:t>.</w:t>
      </w:r>
      <w:r w:rsidR="00940820">
        <w:rPr>
          <w:lang w:val="mk-MK"/>
        </w:rPr>
        <w:t>Понатаму следуваат Близу со 14,54%, Неотел 11,68%, Аикол 10,42%, Македонски Телеком 6,73% и Инфел Нет Плус со 2,24%..</w:t>
      </w:r>
    </w:p>
    <w:p w:rsidR="00940820" w:rsidRDefault="00940820" w:rsidP="00721079">
      <w:pPr>
        <w:rPr>
          <w:lang w:val="mk-MK"/>
        </w:rPr>
      </w:pPr>
    </w:p>
    <w:p w:rsidR="00721079" w:rsidRPr="00721079" w:rsidRDefault="00443D0F" w:rsidP="00721079">
      <w:pPr>
        <w:jc w:val="center"/>
        <w:rPr>
          <w:lang w:val="mk-MK"/>
        </w:rPr>
      </w:pPr>
      <w:r w:rsidRPr="00443D0F">
        <w:rPr>
          <w:noProof/>
          <w:lang w:val="mk-MK" w:eastAsia="mk-MK" w:bidi="ar-SA"/>
        </w:rPr>
        <w:lastRenderedPageBreak/>
        <w:drawing>
          <wp:inline distT="0" distB="0" distL="0" distR="0">
            <wp:extent cx="4850662" cy="2806995"/>
            <wp:effectExtent l="19050" t="0" r="26138" b="0"/>
            <wp:docPr id="6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21079" w:rsidRPr="004658FB" w:rsidRDefault="004658FB" w:rsidP="004658FB">
      <w:pPr>
        <w:pStyle w:val="Caption"/>
        <w:jc w:val="center"/>
        <w:rPr>
          <w:color w:val="984806" w:themeColor="accent6" w:themeShade="80"/>
          <w:lang w:val="mk-MK"/>
        </w:rPr>
      </w:pPr>
      <w:bookmarkStart w:id="52" w:name="_Toc327269963"/>
      <w:r w:rsidRPr="004658FB">
        <w:rPr>
          <w:color w:val="984806" w:themeColor="accent6" w:themeShade="80"/>
        </w:rPr>
        <w:t xml:space="preserve">Графикон </w:t>
      </w:r>
      <w:r w:rsidR="001E0707" w:rsidRPr="004658FB">
        <w:rPr>
          <w:color w:val="984806" w:themeColor="accent6" w:themeShade="80"/>
        </w:rPr>
        <w:fldChar w:fldCharType="begin"/>
      </w:r>
      <w:r w:rsidRPr="004658FB">
        <w:rPr>
          <w:color w:val="984806" w:themeColor="accent6" w:themeShade="80"/>
        </w:rPr>
        <w:instrText xml:space="preserve"> SEQ Графикон \* ARABIC </w:instrText>
      </w:r>
      <w:r w:rsidR="001E0707" w:rsidRPr="004658FB">
        <w:rPr>
          <w:color w:val="984806" w:themeColor="accent6" w:themeShade="80"/>
        </w:rPr>
        <w:fldChar w:fldCharType="separate"/>
      </w:r>
      <w:r w:rsidR="004E5FA2">
        <w:rPr>
          <w:noProof/>
          <w:color w:val="984806" w:themeColor="accent6" w:themeShade="80"/>
        </w:rPr>
        <w:t>27</w:t>
      </w:r>
      <w:r w:rsidR="001E0707" w:rsidRPr="004658FB">
        <w:rPr>
          <w:color w:val="984806" w:themeColor="accent6" w:themeShade="80"/>
        </w:rPr>
        <w:fldChar w:fldCharType="end"/>
      </w:r>
      <w:r w:rsidRPr="004658FB">
        <w:rPr>
          <w:color w:val="984806" w:themeColor="accent6" w:themeShade="80"/>
          <w:lang w:val="mk-MK"/>
        </w:rPr>
        <w:t xml:space="preserve"> Удел во однос на пренесени броеви во мобилни м</w:t>
      </w:r>
      <w:r w:rsidR="002A5895">
        <w:rPr>
          <w:color w:val="984806" w:themeColor="accent6" w:themeShade="80"/>
          <w:lang w:val="mk-MK"/>
        </w:rPr>
        <w:t>режи (состојба на ден 31.12.201</w:t>
      </w:r>
      <w:r w:rsidR="002A5895">
        <w:rPr>
          <w:color w:val="984806" w:themeColor="accent6" w:themeShade="80"/>
        </w:rPr>
        <w:t>1</w:t>
      </w:r>
      <w:r w:rsidRPr="004658FB">
        <w:rPr>
          <w:color w:val="984806" w:themeColor="accent6" w:themeShade="80"/>
          <w:lang w:val="mk-MK"/>
        </w:rPr>
        <w:t xml:space="preserve"> година)</w:t>
      </w:r>
      <w:bookmarkEnd w:id="52"/>
    </w:p>
    <w:p w:rsidR="00443D0F" w:rsidRDefault="00443D0F" w:rsidP="00443D0F">
      <w:pPr>
        <w:rPr>
          <w:lang w:val="mk-MK"/>
        </w:rPr>
      </w:pPr>
      <w:r w:rsidRPr="00036DB9">
        <w:rPr>
          <w:lang w:val="mk-MK"/>
        </w:rPr>
        <w:t>Во графиконо</w:t>
      </w:r>
      <w:r w:rsidRPr="004658FB">
        <w:rPr>
          <w:lang w:val="mk-MK"/>
        </w:rPr>
        <w:t>т бр.</w:t>
      </w:r>
      <w:r w:rsidR="002B02FD">
        <w:rPr>
          <w:lang w:val="mk-MK"/>
        </w:rPr>
        <w:t>27</w:t>
      </w:r>
      <w:r w:rsidRPr="004658FB">
        <w:rPr>
          <w:lang w:val="mk-MK"/>
        </w:rPr>
        <w:t xml:space="preserve">  </w:t>
      </w:r>
      <w:r w:rsidRPr="00036DB9">
        <w:rPr>
          <w:lang w:val="mk-MK"/>
        </w:rPr>
        <w:t xml:space="preserve">е даден уделот во однос на пренесени броеви </w:t>
      </w:r>
      <w:r>
        <w:rPr>
          <w:lang w:val="mk-MK"/>
        </w:rPr>
        <w:t>во мобилни</w:t>
      </w:r>
      <w:r w:rsidRPr="00036DB9">
        <w:rPr>
          <w:lang w:val="mk-MK"/>
        </w:rPr>
        <w:t xml:space="preserve"> мрежи. Од самиот графикон може</w:t>
      </w:r>
      <w:r>
        <w:rPr>
          <w:lang w:val="mk-MK"/>
        </w:rPr>
        <w:t xml:space="preserve"> да се  забележи дека најголем процент од пренесените броеви се в</w:t>
      </w:r>
      <w:r w:rsidR="002A5895">
        <w:rPr>
          <w:lang w:val="mk-MK"/>
        </w:rPr>
        <w:t>о мрежата на ВИП кој изнесува 7</w:t>
      </w:r>
      <w:r w:rsidR="002A5895">
        <w:t>1</w:t>
      </w:r>
      <w:r w:rsidR="002A5895">
        <w:rPr>
          <w:lang w:val="mk-MK"/>
        </w:rPr>
        <w:t>,</w:t>
      </w:r>
      <w:r w:rsidR="002A5895">
        <w:t>14</w:t>
      </w:r>
      <w:r w:rsidR="002A5895">
        <w:rPr>
          <w:lang w:val="mk-MK"/>
        </w:rPr>
        <w:t>%, понатаму следува Т-Мобиле со  15,18</w:t>
      </w:r>
      <w:r>
        <w:rPr>
          <w:lang w:val="mk-MK"/>
        </w:rPr>
        <w:t>%</w:t>
      </w:r>
      <w:r w:rsidR="002A5895" w:rsidRPr="002A5895">
        <w:rPr>
          <w:lang w:val="mk-MK"/>
        </w:rPr>
        <w:t xml:space="preserve"> </w:t>
      </w:r>
      <w:r w:rsidR="002A5895">
        <w:rPr>
          <w:lang w:val="mk-MK"/>
        </w:rPr>
        <w:t>и ОНЕ Оператор со 13,68%</w:t>
      </w:r>
      <w:r>
        <w:rPr>
          <w:lang w:val="mk-MK"/>
        </w:rPr>
        <w:t>.</w:t>
      </w:r>
    </w:p>
    <w:p w:rsidR="00443D0F" w:rsidRPr="00443D0F" w:rsidRDefault="00443D0F" w:rsidP="00443D0F">
      <w:pPr>
        <w:rPr>
          <w:lang w:val="mk-MK"/>
        </w:rPr>
      </w:pPr>
    </w:p>
    <w:p w:rsidR="00155474" w:rsidRDefault="00155474" w:rsidP="0023223F"/>
    <w:p w:rsidR="00155474" w:rsidRDefault="00155474">
      <w:pPr>
        <w:jc w:val="left"/>
      </w:pPr>
      <w:r>
        <w:br w:type="page"/>
      </w:r>
    </w:p>
    <w:p w:rsidR="00BD7494" w:rsidRPr="00A30010" w:rsidRDefault="00A30010" w:rsidP="00A30010">
      <w:pPr>
        <w:pStyle w:val="Heading1"/>
        <w:rPr>
          <w:lang w:val="mk-MK"/>
        </w:rPr>
      </w:pPr>
      <w:bookmarkStart w:id="53" w:name="_Toc327269936"/>
      <w:r w:rsidRPr="00A30010">
        <w:lastRenderedPageBreak/>
        <w:t xml:space="preserve">8. </w:t>
      </w:r>
      <w:r w:rsidR="00155474" w:rsidRPr="00A30010">
        <w:t>Нотифицирани оператори/ даватели на услуги врз основа на чии податоци е изготвен овој извештај</w:t>
      </w:r>
      <w:bookmarkEnd w:id="53"/>
    </w:p>
    <w:p w:rsidR="00615815" w:rsidRPr="004D1518" w:rsidRDefault="00615815" w:rsidP="00615815">
      <w:r w:rsidRPr="004D1518">
        <w:t>Нотифицирани оператори/ даватели на услуги врз основа на чии податоци е изготвен овој извештај:</w:t>
      </w:r>
    </w:p>
    <w:p w:rsidR="00C103AC" w:rsidRPr="00C103AC" w:rsidRDefault="00C103AC" w:rsidP="00C103AC">
      <w:pPr>
        <w:rPr>
          <w:rFonts w:ascii="StobiSerif Regular" w:hAnsi="StobiSerif Regular"/>
          <w:lang w:val="mk-MK"/>
        </w:rPr>
      </w:pPr>
      <w:r w:rsidRPr="00C103AC">
        <w:rPr>
          <w:rFonts w:ascii="StobiSerif Regular" w:hAnsi="StobiSerif Regular"/>
          <w:lang w:val="mk-MK"/>
        </w:rPr>
        <w:t>Македонски Телеком-Скопје, Близу- Скопје, Аикол- Штип, Неотел- Скопје, Инфел Нет Плус- Охрид,  Анутел- Скопје, Т-Мобиле- Скопје, Актон-Скопје, Зоринс Нет- Скопје, Ултранет Ултра- Скопје, Никомсистемс- Скопје, Пц4алл- Скопје, Туше- Охрид, Инсиде- Охрид, Нетплус- Охрид, Трикомпани- Охрид, Интерспејс- Прилеп, Планета Јаху- Прилеп, Стаелт- Прилеп, Мергимтари- Струга, Спајдер компјутери-Струга, Албан Нет- Дебар, Мемтел- Ресен, ММ Софт- Ресен,</w:t>
      </w:r>
      <w:r w:rsidRPr="00C103AC">
        <w:rPr>
          <w:rFonts w:ascii="StobiSerif Regular" w:hAnsi="StobiSerif Regular"/>
        </w:rPr>
        <w:t xml:space="preserve"> </w:t>
      </w:r>
      <w:r w:rsidRPr="00C103AC">
        <w:rPr>
          <w:rFonts w:ascii="StobiSerif Regular" w:hAnsi="StobiSerif Regular"/>
          <w:lang w:val="mk-MK"/>
        </w:rPr>
        <w:t>Пејоски Шпед- Кичево, Медиа Нет Компјутерс- Кочани, Мегалајн- Кочани, Компјутер Инженеринг- Македонска Каменица, М- Инженеринг- Штип</w:t>
      </w:r>
      <w:r w:rsidRPr="00C103AC">
        <w:rPr>
          <w:rFonts w:ascii="StobiSerif Regular" w:hAnsi="StobiSerif Regular"/>
        </w:rPr>
        <w:t>,</w:t>
      </w:r>
      <w:r w:rsidRPr="00C103AC">
        <w:rPr>
          <w:rFonts w:ascii="StobiSerif Regular" w:hAnsi="StobiSerif Regular"/>
          <w:lang w:val="mk-MK"/>
        </w:rPr>
        <w:t xml:space="preserve"> Тастер- Битола</w:t>
      </w:r>
      <w:r w:rsidRPr="00C103AC">
        <w:rPr>
          <w:rFonts w:ascii="StobiSerif Regular" w:hAnsi="StobiSerif Regular"/>
        </w:rPr>
        <w:t xml:space="preserve"> </w:t>
      </w:r>
      <w:r w:rsidRPr="00C103AC">
        <w:rPr>
          <w:rFonts w:ascii="StobiSerif Regular" w:hAnsi="StobiSerif Regular"/>
          <w:lang w:val="mk-MK"/>
        </w:rPr>
        <w:t>и Хидрон- Гостивар.Друштво за електронски дата сервиси-Скопје, Ани</w:t>
      </w:r>
      <w:r w:rsidR="00B3371A">
        <w:rPr>
          <w:rFonts w:ascii="StobiSerif Regular" w:hAnsi="StobiSerif Regular"/>
          <w:lang w:val="mk-MK"/>
        </w:rPr>
        <w:t>ц системи-Скопје, Истел-Скопје</w:t>
      </w:r>
      <w:r w:rsidRPr="00C103AC">
        <w:rPr>
          <w:rFonts w:ascii="StobiSerif Regular" w:hAnsi="StobiSerif Regular"/>
          <w:lang w:val="mk-MK"/>
        </w:rPr>
        <w:t>, Телесмарт Телеком-Скопје, Д.Т.Ц. Корп-Скопје, ВИП Оператор- Скопје,  Ултра-Скопје, Пеј плус-Скопје, Софт нет-Скопје, Близу-Скопје, Сонет-Скопје, ОНЕ Оператор-Скопје, Македонија он лине-Скопје, Балкантел-Скопје, Итв нет-Скопје, Лонгуров-Штип, Роби-Штип, Нетком-Струмица, Тренд А-Струмица, Вип нет-Струга, Канал 16-Ресен, Ангелови груп-Ресен, То ми-Радовиш, Студио андес- Радовиш, Кабел нет-Прилеп, Инфел КТВ-Охрид, Алтра сат 2000-Охрид, Комбо 2003-Куманово, Оптикал нет-Куманово, Гајтанлес 2008-Крушево, Глобал нет-Крушево, Траншпед трејд-Крива Паланка, Еуростил-Крива Паланка, Медиа поинт-Кочани, Кале 2001-Кичево, Адвансд дигитал нетворк-Кичево, Инел техник-Кавадарци, Инел Интернационал-Кавадарци, Спајдер нет-Гевгелија, Спајдер-Гевгелија, Пет нет-Гевгелија, Мактелко-Битола, Микс нет-Битола, ГИВ-Делчево, 2МГ-Скопје, Стојев Дигитал-Ес-Нет 2- Кавадарци, Дигинет-Струмица, Софтнет ЕУ-Скопје, Дасто-Скопје, Вокс-мунди- Скопје, Вортекс компјутери- Скопје, КДС-ВТ-Пробиштип, ЈП МЖ Инфраструктура-Скопје, ЈП Македонска Радиодифузија- Скопје, Мепсо- Скопје, Империјал С-Скопје, Систем кабел-Скопје, Ани кабел сат-Скопје, Ри-го кабел сат-Скопје, Боди нет-Скопје, Цаблетон-Скопје, Тотал ТВ-Скопје,  Вива нет-Берово, Игмас нет-Битола, Омега 2 нет-Битола, Галавизион 5 компани-Битола, Сато нет-Брвеница, Супер кабел-Брвеница, Камсат-Виница, Вин сат-Виница, Крателсат-Виница, КТВ 69-Виница, Алмак сат-Гевгелија, ГИВ Иван-Гостивар, Мултимедија нетворк-Гостивар, Супер хит-Градско, Г-он-Дебар, Интерлајф-Демир Капија, Омега нет-Демир Хисар, Пешна-Кичево, Б2 нет-Кичево, Астра плус-Кочани, Кабел риз-Кочани, Филаделфија 2002-Кочани, Кабел визион-Кочани,Глобал нет-Крушево, Парма шпед-Куманово, Херби нет еден-Куманово, Кабел ски-Прилеп, Кабел кам-Росоман, Бамби нет-Ростуше, Кабел л нет-Струга, Арт нет-Струга, Г-ктв-Струга, К-ристал-Струга, Профи соунд-Струга, Кабел нет-Струмица, ТРД Кабел-Струмица, Скрембл-Струмица, Теленет ком-Тетово,  Пела Дигитал 2008- Струга, Кабел ТВ ХДВ-Скопје, Диги Плус Милтимедиа- Скопје.</w:t>
      </w:r>
      <w:r w:rsidRPr="00C103AC">
        <w:rPr>
          <w:rFonts w:ascii="StobiSerif Regular" w:hAnsi="StobiSerif Regular"/>
          <w:color w:val="FF0000"/>
          <w:lang w:val="mk-MK"/>
        </w:rPr>
        <w:t xml:space="preserve"> </w:t>
      </w:r>
      <w:r w:rsidRPr="00C103AC">
        <w:rPr>
          <w:rFonts w:ascii="StobiSerif Regular" w:hAnsi="StobiSerif Regular"/>
          <w:lang w:val="mk-MK"/>
        </w:rPr>
        <w:t>Дип блу плус- Прилеп, Ман технолоџи телеком- Скопје, Беко нет- Гостивар, Јакуп корпоратион- Гостивар, Тринг макс-Скопје, Неонет- Куманово, Нетплус комуникации- Скопје, Спејс тел нет- Скопје,  Егзит ком- Кичево, Глобал комуникација- Радовиш, Ултранет системи- Битола, Пела дигитал 2008- Струга, Медиа нет- Скопје, Сурффри- Ранковци, Панел интернешнал- Скопје, Фикаб- Тетово, Мултимедиа нет- Скопје, Ариста системи- Струмица, Ибо конекцион- Прилеп, БТВ-Нет-Битола, Кабел Калл-Кичево</w:t>
      </w:r>
      <w:r w:rsidRPr="00C103AC">
        <w:rPr>
          <w:rFonts w:ascii="StobiSerif Regular" w:hAnsi="StobiSerif Regular"/>
        </w:rPr>
        <w:t xml:space="preserve">, </w:t>
      </w:r>
      <w:r w:rsidRPr="00C103AC">
        <w:rPr>
          <w:rFonts w:ascii="StobiSerif Regular" w:hAnsi="StobiSerif Regular"/>
          <w:lang w:val="mk-MK"/>
        </w:rPr>
        <w:t>Скупи кабле-Скопје</w:t>
      </w:r>
      <w:r w:rsidRPr="00C103AC">
        <w:rPr>
          <w:rFonts w:ascii="StobiSerif Regular" w:hAnsi="StobiSerif Regular"/>
        </w:rPr>
        <w:t>,</w:t>
      </w:r>
      <w:r w:rsidRPr="00C103AC">
        <w:rPr>
          <w:rFonts w:ascii="StobiSerif Regular" w:hAnsi="StobiSerif Regular"/>
          <w:sz w:val="20"/>
          <w:szCs w:val="20"/>
          <w:lang w:val="mk-MK"/>
        </w:rPr>
        <w:t xml:space="preserve"> </w:t>
      </w:r>
      <w:r w:rsidRPr="00C103AC">
        <w:rPr>
          <w:rFonts w:ascii="StobiSerif Regular" w:hAnsi="StobiSerif Regular"/>
          <w:lang w:val="mk-MK"/>
        </w:rPr>
        <w:t>Илинден медиа- Свети Николе</w:t>
      </w:r>
      <w:r w:rsidRPr="00C103AC">
        <w:rPr>
          <w:rFonts w:ascii="StobiSerif Regular" w:hAnsi="StobiSerif Regular"/>
        </w:rPr>
        <w:t>,</w:t>
      </w:r>
      <w:r w:rsidRPr="00C103AC">
        <w:rPr>
          <w:rFonts w:ascii="StobiSerif Regular" w:hAnsi="StobiSerif Regular"/>
          <w:lang w:val="mk-MK"/>
        </w:rPr>
        <w:t xml:space="preserve"> Кабел 2007- Струга, Когент Македонија- Скопје, Споунет- Скопје, Алфа телеком Македонија- Скопје, Б-КТВ- Струга,Космолине-Скопје, Капитал Кеибл- Скопје, АлоТелеком- Скопје, Чулак Нет- Битола, Инфинити Нет Корпорација- Скопје .</w:t>
      </w:r>
    </w:p>
    <w:p w:rsidR="009261C3" w:rsidRPr="00C103AC" w:rsidRDefault="009261C3" w:rsidP="009261C3">
      <w:pPr>
        <w:rPr>
          <w:rFonts w:ascii="StobiSerif Regular" w:hAnsi="StobiSerif Regular"/>
          <w:lang w:val="mk-MK"/>
        </w:rPr>
      </w:pPr>
    </w:p>
    <w:p w:rsidR="00155474" w:rsidRDefault="00155474"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p>
    <w:p w:rsidR="00BD3E1E" w:rsidRDefault="00BD3E1E" w:rsidP="0023223F">
      <w:pPr>
        <w:rPr>
          <w:lang w:val="mk-MK"/>
        </w:rPr>
      </w:pPr>
      <w:r>
        <w:rPr>
          <w:noProof/>
          <w:lang w:val="mk-MK" w:eastAsia="mk-MK" w:bidi="ar-SA"/>
        </w:rPr>
        <w:drawing>
          <wp:anchor distT="0" distB="0" distL="114300" distR="114300" simplePos="0" relativeHeight="251680768" behindDoc="1" locked="0" layoutInCell="1" allowOverlap="1">
            <wp:simplePos x="0" y="0"/>
            <wp:positionH relativeFrom="column">
              <wp:posOffset>-685800</wp:posOffset>
            </wp:positionH>
            <wp:positionV relativeFrom="paragraph">
              <wp:posOffset>-549275</wp:posOffset>
            </wp:positionV>
            <wp:extent cx="7774305" cy="1159954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7774305" cy="11599545"/>
                    </a:xfrm>
                    <a:prstGeom prst="rect">
                      <a:avLst/>
                    </a:prstGeom>
                    <a:noFill/>
                    <a:ln w="9525">
                      <a:noFill/>
                      <a:miter lim="800000"/>
                      <a:headEnd/>
                      <a:tailEnd/>
                    </a:ln>
                  </pic:spPr>
                </pic:pic>
              </a:graphicData>
            </a:graphic>
          </wp:anchor>
        </w:drawing>
      </w:r>
    </w:p>
    <w:p w:rsidR="00BD3E1E" w:rsidRPr="00BD3E1E" w:rsidRDefault="00BD3E1E" w:rsidP="0023223F">
      <w:pPr>
        <w:rPr>
          <w:lang w:val="mk-MK"/>
        </w:rPr>
      </w:pPr>
    </w:p>
    <w:sectPr w:rsidR="00BD3E1E" w:rsidRPr="00BD3E1E" w:rsidSect="001F1E7E">
      <w:type w:val="continuous"/>
      <w:pgSz w:w="12240" w:h="15840"/>
      <w:pgMar w:top="142" w:right="811" w:bottom="1559" w:left="1077" w:header="181" w:footer="4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4F" w:rsidRDefault="00D3204F" w:rsidP="000A47F4">
      <w:pPr>
        <w:spacing w:after="0" w:line="240" w:lineRule="auto"/>
      </w:pPr>
      <w:r>
        <w:separator/>
      </w:r>
    </w:p>
  </w:endnote>
  <w:endnote w:type="continuationSeparator" w:id="0">
    <w:p w:rsidR="00D3204F" w:rsidRDefault="00D3204F" w:rsidP="000A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946584"/>
      <w:docPartObj>
        <w:docPartGallery w:val="Page Numbers (Bottom of Page)"/>
        <w:docPartUnique/>
      </w:docPartObj>
    </w:sdtPr>
    <w:sdtEndPr/>
    <w:sdtContent>
      <w:sdt>
        <w:sdtPr>
          <w:rPr>
            <w:sz w:val="20"/>
            <w:szCs w:val="20"/>
          </w:rPr>
          <w:id w:val="2946585"/>
          <w:docPartObj>
            <w:docPartGallery w:val="Page Numbers (Top of Page)"/>
            <w:docPartUnique/>
          </w:docPartObj>
        </w:sdtPr>
        <w:sdtEndPr/>
        <w:sdtContent>
          <w:p w:rsidR="00AD3593" w:rsidRPr="00FA655B" w:rsidRDefault="00AD3593" w:rsidP="002F188E">
            <w:pPr>
              <w:pStyle w:val="Footer"/>
              <w:jc w:val="right"/>
              <w:rPr>
                <w:sz w:val="20"/>
                <w:szCs w:val="20"/>
              </w:rPr>
            </w:pPr>
            <w:r w:rsidRPr="00FA655B">
              <w:rPr>
                <w:sz w:val="20"/>
                <w:szCs w:val="20"/>
                <w:lang w:val="mk-MK"/>
              </w:rPr>
              <w:t>Страна</w:t>
            </w:r>
            <w:r w:rsidRPr="00FA655B">
              <w:rPr>
                <w:sz w:val="20"/>
                <w:szCs w:val="20"/>
              </w:rPr>
              <w:t xml:space="preserve"> </w:t>
            </w:r>
            <w:r w:rsidRPr="00FA655B">
              <w:rPr>
                <w:b/>
                <w:sz w:val="20"/>
                <w:szCs w:val="20"/>
              </w:rPr>
              <w:fldChar w:fldCharType="begin"/>
            </w:r>
            <w:r w:rsidRPr="00FA655B">
              <w:rPr>
                <w:b/>
                <w:sz w:val="20"/>
                <w:szCs w:val="20"/>
              </w:rPr>
              <w:instrText xml:space="preserve"> PAGE </w:instrText>
            </w:r>
            <w:r w:rsidRPr="00FA655B">
              <w:rPr>
                <w:b/>
                <w:sz w:val="20"/>
                <w:szCs w:val="20"/>
              </w:rPr>
              <w:fldChar w:fldCharType="separate"/>
            </w:r>
            <w:r w:rsidR="00C24BD2">
              <w:rPr>
                <w:b/>
                <w:noProof/>
                <w:sz w:val="20"/>
                <w:szCs w:val="20"/>
              </w:rPr>
              <w:t>47</w:t>
            </w:r>
            <w:r w:rsidRPr="00FA655B">
              <w:rPr>
                <w:b/>
                <w:sz w:val="20"/>
                <w:szCs w:val="20"/>
              </w:rPr>
              <w:fldChar w:fldCharType="end"/>
            </w:r>
            <w:r w:rsidRPr="00FA655B">
              <w:rPr>
                <w:sz w:val="20"/>
                <w:szCs w:val="20"/>
              </w:rPr>
              <w:t xml:space="preserve"> </w:t>
            </w:r>
            <w:r w:rsidRPr="00FA655B">
              <w:rPr>
                <w:sz w:val="20"/>
                <w:szCs w:val="20"/>
                <w:lang w:val="mk-MK"/>
              </w:rPr>
              <w:t>од</w:t>
            </w:r>
            <w:r w:rsidRPr="00FA655B">
              <w:rPr>
                <w:sz w:val="20"/>
                <w:szCs w:val="20"/>
              </w:rPr>
              <w:t xml:space="preserve"> </w:t>
            </w:r>
            <w:r w:rsidRPr="00FA655B">
              <w:rPr>
                <w:b/>
                <w:sz w:val="20"/>
                <w:szCs w:val="20"/>
              </w:rPr>
              <w:fldChar w:fldCharType="begin"/>
            </w:r>
            <w:r w:rsidRPr="00FA655B">
              <w:rPr>
                <w:b/>
                <w:sz w:val="20"/>
                <w:szCs w:val="20"/>
              </w:rPr>
              <w:instrText xml:space="preserve"> NUMPAGES  </w:instrText>
            </w:r>
            <w:r w:rsidRPr="00FA655B">
              <w:rPr>
                <w:b/>
                <w:sz w:val="20"/>
                <w:szCs w:val="20"/>
              </w:rPr>
              <w:fldChar w:fldCharType="separate"/>
            </w:r>
            <w:r w:rsidR="00C24BD2">
              <w:rPr>
                <w:b/>
                <w:noProof/>
                <w:sz w:val="20"/>
                <w:szCs w:val="20"/>
              </w:rPr>
              <w:t>47</w:t>
            </w:r>
            <w:r w:rsidRPr="00FA655B">
              <w:rPr>
                <w:b/>
                <w:sz w:val="20"/>
                <w:szCs w:val="20"/>
              </w:rPr>
              <w:fldChar w:fldCharType="end"/>
            </w:r>
          </w:p>
        </w:sdtContent>
      </w:sdt>
    </w:sdtContent>
  </w:sdt>
  <w:p w:rsidR="00AD3593" w:rsidRPr="00FA655B" w:rsidRDefault="00AD359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4F" w:rsidRDefault="00D3204F" w:rsidP="000A47F4">
      <w:pPr>
        <w:spacing w:after="0" w:line="240" w:lineRule="auto"/>
      </w:pPr>
      <w:r>
        <w:separator/>
      </w:r>
    </w:p>
  </w:footnote>
  <w:footnote w:type="continuationSeparator" w:id="0">
    <w:p w:rsidR="00D3204F" w:rsidRDefault="00D3204F" w:rsidP="000A47F4">
      <w:pPr>
        <w:spacing w:after="0" w:line="240" w:lineRule="auto"/>
      </w:pPr>
      <w:r>
        <w:continuationSeparator/>
      </w:r>
    </w:p>
  </w:footnote>
  <w:footnote w:id="1">
    <w:p w:rsidR="00AD3593" w:rsidRPr="00580B07" w:rsidRDefault="00AD3593">
      <w:pPr>
        <w:pStyle w:val="FootnoteText"/>
        <w:rPr>
          <w:rFonts w:asciiTheme="majorHAnsi" w:hAnsiTheme="majorHAnsi"/>
        </w:rPr>
      </w:pPr>
      <w:r>
        <w:rPr>
          <w:rStyle w:val="FootnoteReference"/>
        </w:rPr>
        <w:t>*</w:t>
      </w:r>
      <w:r>
        <w:t xml:space="preserve"> </w:t>
      </w:r>
      <w:r w:rsidRPr="00850828">
        <w:rPr>
          <w:rFonts w:asciiTheme="majorHAnsi" w:hAnsiTheme="majorHAnsi"/>
          <w:lang w:val="mk-MK"/>
        </w:rPr>
        <w:t>Во табела бр. 3 во индикаторот број 1 е означена со * бидејќи е направена промена на вкупниот број на фиксни линии во 2010 година (додадени се линиите преку оптичка мрежа (</w:t>
      </w:r>
      <w:r w:rsidRPr="00850828">
        <w:rPr>
          <w:rFonts w:asciiTheme="majorHAnsi" w:hAnsiTheme="majorHAnsi"/>
        </w:rPr>
        <w:t>FTTH)</w:t>
      </w:r>
      <w:r w:rsidRPr="00850828">
        <w:rPr>
          <w:rFonts w:asciiTheme="majorHAnsi" w:hAnsiTheme="majorHAnsi"/>
          <w:lang w:val="mk-MK"/>
        </w:rPr>
        <w:t>)</w:t>
      </w:r>
      <w:r w:rsidRPr="00850828">
        <w:rPr>
          <w:rFonts w:asciiTheme="majorHAnsi" w:hAnsiTheme="majorHAnsi"/>
        </w:rPr>
        <w:t>.</w:t>
      </w:r>
    </w:p>
  </w:footnote>
  <w:footnote w:id="2">
    <w:p w:rsidR="00AD3593" w:rsidRPr="00CB2AEF" w:rsidRDefault="00AD3593">
      <w:pPr>
        <w:pStyle w:val="FootnoteText"/>
        <w:rPr>
          <w:lang w:val="mk-MK"/>
        </w:rPr>
      </w:pPr>
      <w:r>
        <w:rPr>
          <w:rStyle w:val="FootnoteReference"/>
        </w:rPr>
        <w:footnoteRef/>
      </w:r>
      <w:r>
        <w:t xml:space="preserve"> </w:t>
      </w:r>
      <w:r>
        <w:rPr>
          <w:lang w:val="mk-MK"/>
        </w:rPr>
        <w:t xml:space="preserve">Податоците за пазарниот удел на фиксните линии во 2010 година се разликуваат од оние кои беа објавени во Годишниот извештај за 2010 година бидејќи не беа вклучени </w:t>
      </w:r>
      <w:r>
        <w:t>FTTH-</w:t>
      </w:r>
      <w:r>
        <w:rPr>
          <w:lang w:val="mk-MK"/>
        </w:rPr>
        <w:t>линиите.</w:t>
      </w:r>
    </w:p>
  </w:footnote>
  <w:footnote w:id="3">
    <w:p w:rsidR="00AD3593" w:rsidRDefault="00AD3593">
      <w:pPr>
        <w:pStyle w:val="FootnoteText"/>
        <w:rPr>
          <w:lang w:val="mk-MK"/>
        </w:rPr>
      </w:pPr>
      <w:r w:rsidRPr="002204F2">
        <w:rPr>
          <w:rStyle w:val="FootnoteReference"/>
          <w:color w:val="FFFFFF" w:themeColor="background1"/>
        </w:rPr>
        <w:footnoteRef/>
      </w:r>
      <w:r>
        <w:rPr>
          <w:lang w:val="mk-MK"/>
        </w:rPr>
        <w:t xml:space="preserve">Во точка бр.4 од Табелата бр.5 е означена * бидејќи во бројот на претплатници за 2010 година се додадени </w:t>
      </w:r>
      <w:r>
        <w:t>FTTH-</w:t>
      </w:r>
      <w:r>
        <w:rPr>
          <w:lang w:val="mk-MK"/>
        </w:rPr>
        <w:t>претплатниците кои не беа објавени во извештајот од минатата година.</w:t>
      </w:r>
    </w:p>
    <w:p w:rsidR="00AD3593" w:rsidRPr="002204F2" w:rsidRDefault="00AD3593">
      <w:pPr>
        <w:pStyle w:val="FootnoteText"/>
        <w:rPr>
          <w:lang w:val="mk-MK"/>
        </w:rPr>
      </w:pPr>
      <w:r>
        <w:rPr>
          <w:lang w:val="mk-MK"/>
        </w:rPr>
        <w:t>Во истата табела во точка  бр.4 е означено ** бидејќи се издвоени бројот на</w:t>
      </w:r>
      <w:r>
        <w:t xml:space="preserve"> </w:t>
      </w:r>
      <w:r>
        <w:rPr>
          <w:lang w:val="mk-MK"/>
        </w:rPr>
        <w:t xml:space="preserve">претплатници преку </w:t>
      </w:r>
      <w:r>
        <w:t xml:space="preserve">LAN </w:t>
      </w:r>
      <w:r>
        <w:rPr>
          <w:lang w:val="mk-MK"/>
        </w:rPr>
        <w:t xml:space="preserve">мрежи кои претходно беа објавувани како претплатници на широкопојасен пристап на интернет преку други технологии.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593" w:rsidRDefault="00D3204F" w:rsidP="00FA655B">
    <w:pPr>
      <w:pStyle w:val="Header"/>
      <w:pBdr>
        <w:bottom w:val="thickThinSmallGap" w:sz="24" w:space="1" w:color="622423" w:themeColor="accent2" w:themeShade="7F"/>
      </w:pBdr>
      <w:tabs>
        <w:tab w:val="left" w:pos="0"/>
      </w:tabs>
      <w:ind w:left="-360"/>
      <w:jc w:val="center"/>
      <w:rPr>
        <w:rFonts w:asciiTheme="majorHAnsi" w:eastAsiaTheme="majorEastAsia" w:hAnsiTheme="majorHAnsi" w:cstheme="majorBidi"/>
        <w:sz w:val="32"/>
        <w:szCs w:val="32"/>
      </w:rPr>
    </w:pPr>
    <w:sdt>
      <w:sdtPr>
        <w:rPr>
          <w:rFonts w:eastAsia="SimSun" w:cs="Arial"/>
          <w:b/>
          <w:lang w:val="mk-MK" w:eastAsia="zh-CN"/>
        </w:rPr>
        <w:alias w:val="Title"/>
        <w:id w:val="2946583"/>
        <w:dataBinding w:prefixMappings="xmlns:ns0='http://schemas.openxmlformats.org/package/2006/metadata/core-properties' xmlns:ns1='http://purl.org/dc/elements/1.1/'" w:xpath="/ns0:coreProperties[1]/ns1:title[1]" w:storeItemID="{6C3C8BC8-F283-45AE-878A-BAB7291924A1}"/>
        <w:text/>
      </w:sdtPr>
      <w:sdtEndPr/>
      <w:sdtContent>
        <w:r w:rsidR="00AD3593" w:rsidRPr="00FA655B">
          <w:rPr>
            <w:rFonts w:eastAsia="SimSun" w:cs="Arial"/>
            <w:b/>
            <w:lang w:val="mk-MK" w:eastAsia="zh-CN"/>
          </w:rPr>
          <w:t>Годишен Извештај за развојот на пазарот на</w:t>
        </w:r>
        <w:r w:rsidR="00AD3593">
          <w:rPr>
            <w:rFonts w:eastAsia="SimSun" w:cs="Arial"/>
            <w:b/>
            <w:lang w:val="mk-MK" w:eastAsia="zh-CN"/>
          </w:rPr>
          <w:t xml:space="preserve"> електронски комуникации за 20</w:t>
        </w:r>
        <w:r w:rsidR="00AD3593">
          <w:rPr>
            <w:rFonts w:eastAsia="SimSun" w:cs="Arial"/>
            <w:b/>
            <w:lang w:eastAsia="zh-CN"/>
          </w:rPr>
          <w:t>1</w:t>
        </w:r>
        <w:r w:rsidR="00AD3593">
          <w:rPr>
            <w:rFonts w:eastAsia="SimSun" w:cs="Arial"/>
            <w:b/>
            <w:lang w:val="mk-MK" w:eastAsia="zh-CN"/>
          </w:rPr>
          <w:t>1</w:t>
        </w:r>
        <w:r w:rsidR="00AD3593" w:rsidRPr="00FA655B">
          <w:rPr>
            <w:rFonts w:eastAsia="SimSun" w:cs="Arial"/>
            <w:b/>
            <w:lang w:val="mk-MK" w:eastAsia="zh-CN"/>
          </w:rPr>
          <w:t xml:space="preserve"> година</w:t>
        </w:r>
      </w:sdtContent>
    </w:sdt>
  </w:p>
  <w:p w:rsidR="00AD3593" w:rsidRDefault="00AD35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0BA"/>
    <w:multiLevelType w:val="hybridMultilevel"/>
    <w:tmpl w:val="78969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44C4D"/>
    <w:multiLevelType w:val="hybridMultilevel"/>
    <w:tmpl w:val="F2323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856A0"/>
    <w:multiLevelType w:val="multilevel"/>
    <w:tmpl w:val="AD94BD58"/>
    <w:lvl w:ilvl="0">
      <w:start w:val="1"/>
      <w:numFmt w:val="decimal"/>
      <w:lvlText w:val="%1."/>
      <w:lvlJc w:val="left"/>
      <w:pPr>
        <w:ind w:left="720" w:hanging="360"/>
      </w:pPr>
      <w:rPr>
        <w:rFonts w:hint="default"/>
      </w:rPr>
    </w:lvl>
    <w:lvl w:ilvl="1">
      <w:start w:val="3"/>
      <w:numFmt w:val="decimal"/>
      <w:isLgl/>
      <w:lvlText w:val="%1.%2"/>
      <w:lvlJc w:val="left"/>
      <w:pPr>
        <w:ind w:left="748" w:hanging="3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3D45F65"/>
    <w:multiLevelType w:val="hybridMultilevel"/>
    <w:tmpl w:val="F5AEB604"/>
    <w:lvl w:ilvl="0" w:tplc="D5AE0E96">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D3E07"/>
    <w:multiLevelType w:val="multilevel"/>
    <w:tmpl w:val="BA062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78524A"/>
    <w:multiLevelType w:val="hybridMultilevel"/>
    <w:tmpl w:val="2AA0BF5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6">
    <w:nsid w:val="2DDF7CF9"/>
    <w:multiLevelType w:val="multilevel"/>
    <w:tmpl w:val="3D5C51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1BA738F"/>
    <w:multiLevelType w:val="hybridMultilevel"/>
    <w:tmpl w:val="2A709758"/>
    <w:lvl w:ilvl="0" w:tplc="7CD4646E">
      <w:start w:val="1"/>
      <w:numFmt w:val="bullet"/>
      <w:lvlText w:val="•"/>
      <w:lvlJc w:val="left"/>
      <w:pPr>
        <w:tabs>
          <w:tab w:val="num" w:pos="720"/>
        </w:tabs>
        <w:ind w:left="720" w:hanging="360"/>
      </w:pPr>
      <w:rPr>
        <w:rFonts w:ascii="Times New Roman" w:hAnsi="Times New Roman" w:hint="default"/>
      </w:rPr>
    </w:lvl>
    <w:lvl w:ilvl="1" w:tplc="65FE50E2" w:tentative="1">
      <w:start w:val="1"/>
      <w:numFmt w:val="bullet"/>
      <w:lvlText w:val="•"/>
      <w:lvlJc w:val="left"/>
      <w:pPr>
        <w:tabs>
          <w:tab w:val="num" w:pos="1440"/>
        </w:tabs>
        <w:ind w:left="1440" w:hanging="360"/>
      </w:pPr>
      <w:rPr>
        <w:rFonts w:ascii="Times New Roman" w:hAnsi="Times New Roman" w:hint="default"/>
      </w:rPr>
    </w:lvl>
    <w:lvl w:ilvl="2" w:tplc="5C0A3EC4" w:tentative="1">
      <w:start w:val="1"/>
      <w:numFmt w:val="bullet"/>
      <w:lvlText w:val="•"/>
      <w:lvlJc w:val="left"/>
      <w:pPr>
        <w:tabs>
          <w:tab w:val="num" w:pos="2160"/>
        </w:tabs>
        <w:ind w:left="2160" w:hanging="360"/>
      </w:pPr>
      <w:rPr>
        <w:rFonts w:ascii="Times New Roman" w:hAnsi="Times New Roman" w:hint="default"/>
      </w:rPr>
    </w:lvl>
    <w:lvl w:ilvl="3" w:tplc="4CE0BF76" w:tentative="1">
      <w:start w:val="1"/>
      <w:numFmt w:val="bullet"/>
      <w:lvlText w:val="•"/>
      <w:lvlJc w:val="left"/>
      <w:pPr>
        <w:tabs>
          <w:tab w:val="num" w:pos="2880"/>
        </w:tabs>
        <w:ind w:left="2880" w:hanging="360"/>
      </w:pPr>
      <w:rPr>
        <w:rFonts w:ascii="Times New Roman" w:hAnsi="Times New Roman" w:hint="default"/>
      </w:rPr>
    </w:lvl>
    <w:lvl w:ilvl="4" w:tplc="A6324556" w:tentative="1">
      <w:start w:val="1"/>
      <w:numFmt w:val="bullet"/>
      <w:lvlText w:val="•"/>
      <w:lvlJc w:val="left"/>
      <w:pPr>
        <w:tabs>
          <w:tab w:val="num" w:pos="3600"/>
        </w:tabs>
        <w:ind w:left="3600" w:hanging="360"/>
      </w:pPr>
      <w:rPr>
        <w:rFonts w:ascii="Times New Roman" w:hAnsi="Times New Roman" w:hint="default"/>
      </w:rPr>
    </w:lvl>
    <w:lvl w:ilvl="5" w:tplc="63D8BD66" w:tentative="1">
      <w:start w:val="1"/>
      <w:numFmt w:val="bullet"/>
      <w:lvlText w:val="•"/>
      <w:lvlJc w:val="left"/>
      <w:pPr>
        <w:tabs>
          <w:tab w:val="num" w:pos="4320"/>
        </w:tabs>
        <w:ind w:left="4320" w:hanging="360"/>
      </w:pPr>
      <w:rPr>
        <w:rFonts w:ascii="Times New Roman" w:hAnsi="Times New Roman" w:hint="default"/>
      </w:rPr>
    </w:lvl>
    <w:lvl w:ilvl="6" w:tplc="64DEFCB2" w:tentative="1">
      <w:start w:val="1"/>
      <w:numFmt w:val="bullet"/>
      <w:lvlText w:val="•"/>
      <w:lvlJc w:val="left"/>
      <w:pPr>
        <w:tabs>
          <w:tab w:val="num" w:pos="5040"/>
        </w:tabs>
        <w:ind w:left="5040" w:hanging="360"/>
      </w:pPr>
      <w:rPr>
        <w:rFonts w:ascii="Times New Roman" w:hAnsi="Times New Roman" w:hint="default"/>
      </w:rPr>
    </w:lvl>
    <w:lvl w:ilvl="7" w:tplc="CE3EC0FE" w:tentative="1">
      <w:start w:val="1"/>
      <w:numFmt w:val="bullet"/>
      <w:lvlText w:val="•"/>
      <w:lvlJc w:val="left"/>
      <w:pPr>
        <w:tabs>
          <w:tab w:val="num" w:pos="5760"/>
        </w:tabs>
        <w:ind w:left="5760" w:hanging="360"/>
      </w:pPr>
      <w:rPr>
        <w:rFonts w:ascii="Times New Roman" w:hAnsi="Times New Roman" w:hint="default"/>
      </w:rPr>
    </w:lvl>
    <w:lvl w:ilvl="8" w:tplc="4FC80AD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EE2847"/>
    <w:multiLevelType w:val="multilevel"/>
    <w:tmpl w:val="BEE4D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A557DD"/>
    <w:multiLevelType w:val="hybridMultilevel"/>
    <w:tmpl w:val="254E925E"/>
    <w:lvl w:ilvl="0" w:tplc="84F637C0">
      <w:start w:val="1"/>
      <w:numFmt w:val="bullet"/>
      <w:lvlText w:val="•"/>
      <w:lvlJc w:val="left"/>
      <w:pPr>
        <w:tabs>
          <w:tab w:val="num" w:pos="720"/>
        </w:tabs>
        <w:ind w:left="720" w:hanging="360"/>
      </w:pPr>
      <w:rPr>
        <w:rFonts w:ascii="Times New Roman" w:hAnsi="Times New Roman" w:hint="default"/>
      </w:rPr>
    </w:lvl>
    <w:lvl w:ilvl="1" w:tplc="2AB01514" w:tentative="1">
      <w:start w:val="1"/>
      <w:numFmt w:val="bullet"/>
      <w:lvlText w:val="•"/>
      <w:lvlJc w:val="left"/>
      <w:pPr>
        <w:tabs>
          <w:tab w:val="num" w:pos="1440"/>
        </w:tabs>
        <w:ind w:left="1440" w:hanging="360"/>
      </w:pPr>
      <w:rPr>
        <w:rFonts w:ascii="Times New Roman" w:hAnsi="Times New Roman" w:hint="default"/>
      </w:rPr>
    </w:lvl>
    <w:lvl w:ilvl="2" w:tplc="1A522270" w:tentative="1">
      <w:start w:val="1"/>
      <w:numFmt w:val="bullet"/>
      <w:lvlText w:val="•"/>
      <w:lvlJc w:val="left"/>
      <w:pPr>
        <w:tabs>
          <w:tab w:val="num" w:pos="2160"/>
        </w:tabs>
        <w:ind w:left="2160" w:hanging="360"/>
      </w:pPr>
      <w:rPr>
        <w:rFonts w:ascii="Times New Roman" w:hAnsi="Times New Roman" w:hint="default"/>
      </w:rPr>
    </w:lvl>
    <w:lvl w:ilvl="3" w:tplc="67405B12" w:tentative="1">
      <w:start w:val="1"/>
      <w:numFmt w:val="bullet"/>
      <w:lvlText w:val="•"/>
      <w:lvlJc w:val="left"/>
      <w:pPr>
        <w:tabs>
          <w:tab w:val="num" w:pos="2880"/>
        </w:tabs>
        <w:ind w:left="2880" w:hanging="360"/>
      </w:pPr>
      <w:rPr>
        <w:rFonts w:ascii="Times New Roman" w:hAnsi="Times New Roman" w:hint="default"/>
      </w:rPr>
    </w:lvl>
    <w:lvl w:ilvl="4" w:tplc="4F0E2E2A" w:tentative="1">
      <w:start w:val="1"/>
      <w:numFmt w:val="bullet"/>
      <w:lvlText w:val="•"/>
      <w:lvlJc w:val="left"/>
      <w:pPr>
        <w:tabs>
          <w:tab w:val="num" w:pos="3600"/>
        </w:tabs>
        <w:ind w:left="3600" w:hanging="360"/>
      </w:pPr>
      <w:rPr>
        <w:rFonts w:ascii="Times New Roman" w:hAnsi="Times New Roman" w:hint="default"/>
      </w:rPr>
    </w:lvl>
    <w:lvl w:ilvl="5" w:tplc="5136D9AE" w:tentative="1">
      <w:start w:val="1"/>
      <w:numFmt w:val="bullet"/>
      <w:lvlText w:val="•"/>
      <w:lvlJc w:val="left"/>
      <w:pPr>
        <w:tabs>
          <w:tab w:val="num" w:pos="4320"/>
        </w:tabs>
        <w:ind w:left="4320" w:hanging="360"/>
      </w:pPr>
      <w:rPr>
        <w:rFonts w:ascii="Times New Roman" w:hAnsi="Times New Roman" w:hint="default"/>
      </w:rPr>
    </w:lvl>
    <w:lvl w:ilvl="6" w:tplc="7C1E17EE" w:tentative="1">
      <w:start w:val="1"/>
      <w:numFmt w:val="bullet"/>
      <w:lvlText w:val="•"/>
      <w:lvlJc w:val="left"/>
      <w:pPr>
        <w:tabs>
          <w:tab w:val="num" w:pos="5040"/>
        </w:tabs>
        <w:ind w:left="5040" w:hanging="360"/>
      </w:pPr>
      <w:rPr>
        <w:rFonts w:ascii="Times New Roman" w:hAnsi="Times New Roman" w:hint="default"/>
      </w:rPr>
    </w:lvl>
    <w:lvl w:ilvl="7" w:tplc="88C6A814" w:tentative="1">
      <w:start w:val="1"/>
      <w:numFmt w:val="bullet"/>
      <w:lvlText w:val="•"/>
      <w:lvlJc w:val="left"/>
      <w:pPr>
        <w:tabs>
          <w:tab w:val="num" w:pos="5760"/>
        </w:tabs>
        <w:ind w:left="5760" w:hanging="360"/>
      </w:pPr>
      <w:rPr>
        <w:rFonts w:ascii="Times New Roman" w:hAnsi="Times New Roman" w:hint="default"/>
      </w:rPr>
    </w:lvl>
    <w:lvl w:ilvl="8" w:tplc="B8E8497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614380B"/>
    <w:multiLevelType w:val="hybridMultilevel"/>
    <w:tmpl w:val="55B8E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7E0C8C"/>
    <w:multiLevelType w:val="hybridMultilevel"/>
    <w:tmpl w:val="2446DD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51C81EEB"/>
    <w:multiLevelType w:val="multilevel"/>
    <w:tmpl w:val="9A36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186363"/>
    <w:multiLevelType w:val="hybridMultilevel"/>
    <w:tmpl w:val="C1684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8646B8"/>
    <w:multiLevelType w:val="hybridMultilevel"/>
    <w:tmpl w:val="A54CD8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6268781E"/>
    <w:multiLevelType w:val="hybridMultilevel"/>
    <w:tmpl w:val="E60CE490"/>
    <w:lvl w:ilvl="0" w:tplc="072692EE">
      <w:start w:val="1"/>
      <w:numFmt w:val="bullet"/>
      <w:lvlText w:val="•"/>
      <w:lvlJc w:val="left"/>
      <w:pPr>
        <w:tabs>
          <w:tab w:val="num" w:pos="720"/>
        </w:tabs>
        <w:ind w:left="720" w:hanging="360"/>
      </w:pPr>
      <w:rPr>
        <w:rFonts w:ascii="Times New Roman" w:hAnsi="Times New Roman" w:hint="default"/>
      </w:rPr>
    </w:lvl>
    <w:lvl w:ilvl="1" w:tplc="46942D02" w:tentative="1">
      <w:start w:val="1"/>
      <w:numFmt w:val="bullet"/>
      <w:lvlText w:val="•"/>
      <w:lvlJc w:val="left"/>
      <w:pPr>
        <w:tabs>
          <w:tab w:val="num" w:pos="1440"/>
        </w:tabs>
        <w:ind w:left="1440" w:hanging="360"/>
      </w:pPr>
      <w:rPr>
        <w:rFonts w:ascii="Times New Roman" w:hAnsi="Times New Roman" w:hint="default"/>
      </w:rPr>
    </w:lvl>
    <w:lvl w:ilvl="2" w:tplc="2200CF3A" w:tentative="1">
      <w:start w:val="1"/>
      <w:numFmt w:val="bullet"/>
      <w:lvlText w:val="•"/>
      <w:lvlJc w:val="left"/>
      <w:pPr>
        <w:tabs>
          <w:tab w:val="num" w:pos="2160"/>
        </w:tabs>
        <w:ind w:left="2160" w:hanging="360"/>
      </w:pPr>
      <w:rPr>
        <w:rFonts w:ascii="Times New Roman" w:hAnsi="Times New Roman" w:hint="default"/>
      </w:rPr>
    </w:lvl>
    <w:lvl w:ilvl="3" w:tplc="7488E4C6" w:tentative="1">
      <w:start w:val="1"/>
      <w:numFmt w:val="bullet"/>
      <w:lvlText w:val="•"/>
      <w:lvlJc w:val="left"/>
      <w:pPr>
        <w:tabs>
          <w:tab w:val="num" w:pos="2880"/>
        </w:tabs>
        <w:ind w:left="2880" w:hanging="360"/>
      </w:pPr>
      <w:rPr>
        <w:rFonts w:ascii="Times New Roman" w:hAnsi="Times New Roman" w:hint="default"/>
      </w:rPr>
    </w:lvl>
    <w:lvl w:ilvl="4" w:tplc="25184BE0" w:tentative="1">
      <w:start w:val="1"/>
      <w:numFmt w:val="bullet"/>
      <w:lvlText w:val="•"/>
      <w:lvlJc w:val="left"/>
      <w:pPr>
        <w:tabs>
          <w:tab w:val="num" w:pos="3600"/>
        </w:tabs>
        <w:ind w:left="3600" w:hanging="360"/>
      </w:pPr>
      <w:rPr>
        <w:rFonts w:ascii="Times New Roman" w:hAnsi="Times New Roman" w:hint="default"/>
      </w:rPr>
    </w:lvl>
    <w:lvl w:ilvl="5" w:tplc="50AC6B2C" w:tentative="1">
      <w:start w:val="1"/>
      <w:numFmt w:val="bullet"/>
      <w:lvlText w:val="•"/>
      <w:lvlJc w:val="left"/>
      <w:pPr>
        <w:tabs>
          <w:tab w:val="num" w:pos="4320"/>
        </w:tabs>
        <w:ind w:left="4320" w:hanging="360"/>
      </w:pPr>
      <w:rPr>
        <w:rFonts w:ascii="Times New Roman" w:hAnsi="Times New Roman" w:hint="default"/>
      </w:rPr>
    </w:lvl>
    <w:lvl w:ilvl="6" w:tplc="ECF2C02C" w:tentative="1">
      <w:start w:val="1"/>
      <w:numFmt w:val="bullet"/>
      <w:lvlText w:val="•"/>
      <w:lvlJc w:val="left"/>
      <w:pPr>
        <w:tabs>
          <w:tab w:val="num" w:pos="5040"/>
        </w:tabs>
        <w:ind w:left="5040" w:hanging="360"/>
      </w:pPr>
      <w:rPr>
        <w:rFonts w:ascii="Times New Roman" w:hAnsi="Times New Roman" w:hint="default"/>
      </w:rPr>
    </w:lvl>
    <w:lvl w:ilvl="7" w:tplc="E2069428" w:tentative="1">
      <w:start w:val="1"/>
      <w:numFmt w:val="bullet"/>
      <w:lvlText w:val="•"/>
      <w:lvlJc w:val="left"/>
      <w:pPr>
        <w:tabs>
          <w:tab w:val="num" w:pos="5760"/>
        </w:tabs>
        <w:ind w:left="5760" w:hanging="360"/>
      </w:pPr>
      <w:rPr>
        <w:rFonts w:ascii="Times New Roman" w:hAnsi="Times New Roman" w:hint="default"/>
      </w:rPr>
    </w:lvl>
    <w:lvl w:ilvl="8" w:tplc="3E3E35A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9EA168C"/>
    <w:multiLevelType w:val="hybridMultilevel"/>
    <w:tmpl w:val="3670C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474BCD"/>
    <w:multiLevelType w:val="multilevel"/>
    <w:tmpl w:val="7B389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7D1369"/>
    <w:multiLevelType w:val="hybridMultilevel"/>
    <w:tmpl w:val="8CDEB7F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7FB100A5"/>
    <w:multiLevelType w:val="hybridMultilevel"/>
    <w:tmpl w:val="D27ED230"/>
    <w:lvl w:ilvl="0" w:tplc="3BAC8008">
      <w:start w:val="1"/>
      <w:numFmt w:val="bullet"/>
      <w:lvlText w:val="•"/>
      <w:lvlJc w:val="left"/>
      <w:pPr>
        <w:tabs>
          <w:tab w:val="num" w:pos="720"/>
        </w:tabs>
        <w:ind w:left="720" w:hanging="360"/>
      </w:pPr>
      <w:rPr>
        <w:rFonts w:ascii="Times New Roman" w:hAnsi="Times New Roman" w:hint="default"/>
      </w:rPr>
    </w:lvl>
    <w:lvl w:ilvl="1" w:tplc="589A88D4" w:tentative="1">
      <w:start w:val="1"/>
      <w:numFmt w:val="bullet"/>
      <w:lvlText w:val="•"/>
      <w:lvlJc w:val="left"/>
      <w:pPr>
        <w:tabs>
          <w:tab w:val="num" w:pos="1440"/>
        </w:tabs>
        <w:ind w:left="1440" w:hanging="360"/>
      </w:pPr>
      <w:rPr>
        <w:rFonts w:ascii="Times New Roman" w:hAnsi="Times New Roman" w:hint="default"/>
      </w:rPr>
    </w:lvl>
    <w:lvl w:ilvl="2" w:tplc="C530631A" w:tentative="1">
      <w:start w:val="1"/>
      <w:numFmt w:val="bullet"/>
      <w:lvlText w:val="•"/>
      <w:lvlJc w:val="left"/>
      <w:pPr>
        <w:tabs>
          <w:tab w:val="num" w:pos="2160"/>
        </w:tabs>
        <w:ind w:left="2160" w:hanging="360"/>
      </w:pPr>
      <w:rPr>
        <w:rFonts w:ascii="Times New Roman" w:hAnsi="Times New Roman" w:hint="default"/>
      </w:rPr>
    </w:lvl>
    <w:lvl w:ilvl="3" w:tplc="593CBE54" w:tentative="1">
      <w:start w:val="1"/>
      <w:numFmt w:val="bullet"/>
      <w:lvlText w:val="•"/>
      <w:lvlJc w:val="left"/>
      <w:pPr>
        <w:tabs>
          <w:tab w:val="num" w:pos="2880"/>
        </w:tabs>
        <w:ind w:left="2880" w:hanging="360"/>
      </w:pPr>
      <w:rPr>
        <w:rFonts w:ascii="Times New Roman" w:hAnsi="Times New Roman" w:hint="default"/>
      </w:rPr>
    </w:lvl>
    <w:lvl w:ilvl="4" w:tplc="442CCCFC" w:tentative="1">
      <w:start w:val="1"/>
      <w:numFmt w:val="bullet"/>
      <w:lvlText w:val="•"/>
      <w:lvlJc w:val="left"/>
      <w:pPr>
        <w:tabs>
          <w:tab w:val="num" w:pos="3600"/>
        </w:tabs>
        <w:ind w:left="3600" w:hanging="360"/>
      </w:pPr>
      <w:rPr>
        <w:rFonts w:ascii="Times New Roman" w:hAnsi="Times New Roman" w:hint="default"/>
      </w:rPr>
    </w:lvl>
    <w:lvl w:ilvl="5" w:tplc="728CF3A2" w:tentative="1">
      <w:start w:val="1"/>
      <w:numFmt w:val="bullet"/>
      <w:lvlText w:val="•"/>
      <w:lvlJc w:val="left"/>
      <w:pPr>
        <w:tabs>
          <w:tab w:val="num" w:pos="4320"/>
        </w:tabs>
        <w:ind w:left="4320" w:hanging="360"/>
      </w:pPr>
      <w:rPr>
        <w:rFonts w:ascii="Times New Roman" w:hAnsi="Times New Roman" w:hint="default"/>
      </w:rPr>
    </w:lvl>
    <w:lvl w:ilvl="6" w:tplc="1EB0CAA8" w:tentative="1">
      <w:start w:val="1"/>
      <w:numFmt w:val="bullet"/>
      <w:lvlText w:val="•"/>
      <w:lvlJc w:val="left"/>
      <w:pPr>
        <w:tabs>
          <w:tab w:val="num" w:pos="5040"/>
        </w:tabs>
        <w:ind w:left="5040" w:hanging="360"/>
      </w:pPr>
      <w:rPr>
        <w:rFonts w:ascii="Times New Roman" w:hAnsi="Times New Roman" w:hint="default"/>
      </w:rPr>
    </w:lvl>
    <w:lvl w:ilvl="7" w:tplc="25D00BFA" w:tentative="1">
      <w:start w:val="1"/>
      <w:numFmt w:val="bullet"/>
      <w:lvlText w:val="•"/>
      <w:lvlJc w:val="left"/>
      <w:pPr>
        <w:tabs>
          <w:tab w:val="num" w:pos="5760"/>
        </w:tabs>
        <w:ind w:left="5760" w:hanging="360"/>
      </w:pPr>
      <w:rPr>
        <w:rFonts w:ascii="Times New Roman" w:hAnsi="Times New Roman" w:hint="default"/>
      </w:rPr>
    </w:lvl>
    <w:lvl w:ilvl="8" w:tplc="E5F4506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8"/>
  </w:num>
  <w:num w:numId="3">
    <w:abstractNumId w:val="14"/>
  </w:num>
  <w:num w:numId="4">
    <w:abstractNumId w:val="11"/>
  </w:num>
  <w:num w:numId="5">
    <w:abstractNumId w:val="12"/>
  </w:num>
  <w:num w:numId="6">
    <w:abstractNumId w:val="17"/>
  </w:num>
  <w:num w:numId="7">
    <w:abstractNumId w:val="4"/>
  </w:num>
  <w:num w:numId="8">
    <w:abstractNumId w:val="8"/>
  </w:num>
  <w:num w:numId="9">
    <w:abstractNumId w:val="13"/>
  </w:num>
  <w:num w:numId="10">
    <w:abstractNumId w:val="6"/>
  </w:num>
  <w:num w:numId="11">
    <w:abstractNumId w:val="10"/>
  </w:num>
  <w:num w:numId="12">
    <w:abstractNumId w:val="5"/>
  </w:num>
  <w:num w:numId="13">
    <w:abstractNumId w:val="3"/>
  </w:num>
  <w:num w:numId="14">
    <w:abstractNumId w:val="1"/>
  </w:num>
  <w:num w:numId="15">
    <w:abstractNumId w:val="16"/>
  </w:num>
  <w:num w:numId="16">
    <w:abstractNumId w:val="0"/>
  </w:num>
  <w:num w:numId="17">
    <w:abstractNumId w:val="19"/>
  </w:num>
  <w:num w:numId="18">
    <w:abstractNumId w:val="9"/>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documentProtection w:edit="readOnly" w:enforcement="1" w:cryptProviderType="rsaFull" w:cryptAlgorithmClass="hash" w:cryptAlgorithmType="typeAny" w:cryptAlgorithmSid="4" w:cryptSpinCount="100000" w:hash="//VB1jAQwOvDxTcAqF65YojwQhw=" w:salt="r468LzRG5BoAvfMjuMS1qg=="/>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A76717"/>
    <w:rsid w:val="00001888"/>
    <w:rsid w:val="0000267B"/>
    <w:rsid w:val="00003A3C"/>
    <w:rsid w:val="0000425B"/>
    <w:rsid w:val="00005CE3"/>
    <w:rsid w:val="0000674C"/>
    <w:rsid w:val="00007B75"/>
    <w:rsid w:val="00010FC1"/>
    <w:rsid w:val="000127E7"/>
    <w:rsid w:val="00017564"/>
    <w:rsid w:val="00017D6D"/>
    <w:rsid w:val="00020F47"/>
    <w:rsid w:val="00021C26"/>
    <w:rsid w:val="000257B3"/>
    <w:rsid w:val="00026CF7"/>
    <w:rsid w:val="00033B2C"/>
    <w:rsid w:val="0003624C"/>
    <w:rsid w:val="0003733D"/>
    <w:rsid w:val="0004214B"/>
    <w:rsid w:val="00044082"/>
    <w:rsid w:val="000458FF"/>
    <w:rsid w:val="000471C6"/>
    <w:rsid w:val="00052D14"/>
    <w:rsid w:val="000534BF"/>
    <w:rsid w:val="00054AF6"/>
    <w:rsid w:val="00055979"/>
    <w:rsid w:val="00055AC1"/>
    <w:rsid w:val="00055EED"/>
    <w:rsid w:val="000603C5"/>
    <w:rsid w:val="00062FD6"/>
    <w:rsid w:val="00065760"/>
    <w:rsid w:val="00066584"/>
    <w:rsid w:val="0007146B"/>
    <w:rsid w:val="00072934"/>
    <w:rsid w:val="0007329A"/>
    <w:rsid w:val="00076153"/>
    <w:rsid w:val="000777F7"/>
    <w:rsid w:val="00080CF2"/>
    <w:rsid w:val="000814B1"/>
    <w:rsid w:val="0008179D"/>
    <w:rsid w:val="00087F82"/>
    <w:rsid w:val="00095BEC"/>
    <w:rsid w:val="00097753"/>
    <w:rsid w:val="00097D57"/>
    <w:rsid w:val="000A086A"/>
    <w:rsid w:val="000A397D"/>
    <w:rsid w:val="000A47F4"/>
    <w:rsid w:val="000A4B3C"/>
    <w:rsid w:val="000A6491"/>
    <w:rsid w:val="000A7A61"/>
    <w:rsid w:val="000B09D0"/>
    <w:rsid w:val="000B3628"/>
    <w:rsid w:val="000B6BF9"/>
    <w:rsid w:val="000B727B"/>
    <w:rsid w:val="000B79F3"/>
    <w:rsid w:val="000C02C4"/>
    <w:rsid w:val="000C28F0"/>
    <w:rsid w:val="000C318D"/>
    <w:rsid w:val="000C53D4"/>
    <w:rsid w:val="000C6935"/>
    <w:rsid w:val="000C74CE"/>
    <w:rsid w:val="000D2245"/>
    <w:rsid w:val="000D2D86"/>
    <w:rsid w:val="000D5E5E"/>
    <w:rsid w:val="000D5EC0"/>
    <w:rsid w:val="000D61CC"/>
    <w:rsid w:val="000D6AEC"/>
    <w:rsid w:val="000D74ED"/>
    <w:rsid w:val="000D7B8A"/>
    <w:rsid w:val="000E0198"/>
    <w:rsid w:val="000E02BF"/>
    <w:rsid w:val="000E13E2"/>
    <w:rsid w:val="000E3BEB"/>
    <w:rsid w:val="000E592B"/>
    <w:rsid w:val="000E620F"/>
    <w:rsid w:val="000E6BF4"/>
    <w:rsid w:val="000F056F"/>
    <w:rsid w:val="000F2B16"/>
    <w:rsid w:val="000F2D75"/>
    <w:rsid w:val="000F5A57"/>
    <w:rsid w:val="000F6066"/>
    <w:rsid w:val="000F770C"/>
    <w:rsid w:val="00104B5E"/>
    <w:rsid w:val="001108ED"/>
    <w:rsid w:val="00111160"/>
    <w:rsid w:val="00111FF0"/>
    <w:rsid w:val="0011252A"/>
    <w:rsid w:val="00112ED6"/>
    <w:rsid w:val="001137C7"/>
    <w:rsid w:val="00115B4D"/>
    <w:rsid w:val="00120703"/>
    <w:rsid w:val="00123E2F"/>
    <w:rsid w:val="00124DBE"/>
    <w:rsid w:val="00125059"/>
    <w:rsid w:val="00126D91"/>
    <w:rsid w:val="001279A7"/>
    <w:rsid w:val="0013095D"/>
    <w:rsid w:val="0013550C"/>
    <w:rsid w:val="00136DE0"/>
    <w:rsid w:val="00137DA9"/>
    <w:rsid w:val="00140EB8"/>
    <w:rsid w:val="001429AD"/>
    <w:rsid w:val="00142A80"/>
    <w:rsid w:val="00142C86"/>
    <w:rsid w:val="00145059"/>
    <w:rsid w:val="0014730D"/>
    <w:rsid w:val="00150331"/>
    <w:rsid w:val="00152C27"/>
    <w:rsid w:val="001541FB"/>
    <w:rsid w:val="00154922"/>
    <w:rsid w:val="00154DCF"/>
    <w:rsid w:val="00155474"/>
    <w:rsid w:val="00157FA1"/>
    <w:rsid w:val="0016046F"/>
    <w:rsid w:val="00160D87"/>
    <w:rsid w:val="00161080"/>
    <w:rsid w:val="001621D7"/>
    <w:rsid w:val="00163F90"/>
    <w:rsid w:val="001643D3"/>
    <w:rsid w:val="00164D62"/>
    <w:rsid w:val="00167149"/>
    <w:rsid w:val="001679DF"/>
    <w:rsid w:val="00172237"/>
    <w:rsid w:val="00173C3F"/>
    <w:rsid w:val="0017459A"/>
    <w:rsid w:val="00175932"/>
    <w:rsid w:val="00176698"/>
    <w:rsid w:val="001766E0"/>
    <w:rsid w:val="0018011E"/>
    <w:rsid w:val="00180677"/>
    <w:rsid w:val="0018173A"/>
    <w:rsid w:val="001823DB"/>
    <w:rsid w:val="0018281C"/>
    <w:rsid w:val="00185A9D"/>
    <w:rsid w:val="00186B9B"/>
    <w:rsid w:val="00187E69"/>
    <w:rsid w:val="0019076E"/>
    <w:rsid w:val="00191DA0"/>
    <w:rsid w:val="00192C8B"/>
    <w:rsid w:val="0019563D"/>
    <w:rsid w:val="001956CC"/>
    <w:rsid w:val="0019593E"/>
    <w:rsid w:val="001B1036"/>
    <w:rsid w:val="001B367E"/>
    <w:rsid w:val="001B5638"/>
    <w:rsid w:val="001B6A15"/>
    <w:rsid w:val="001B7AA9"/>
    <w:rsid w:val="001C1234"/>
    <w:rsid w:val="001C224C"/>
    <w:rsid w:val="001C37B2"/>
    <w:rsid w:val="001C3D3B"/>
    <w:rsid w:val="001C3E30"/>
    <w:rsid w:val="001C45D5"/>
    <w:rsid w:val="001C49BD"/>
    <w:rsid w:val="001C6178"/>
    <w:rsid w:val="001D121D"/>
    <w:rsid w:val="001D277A"/>
    <w:rsid w:val="001D432A"/>
    <w:rsid w:val="001D4579"/>
    <w:rsid w:val="001D5F95"/>
    <w:rsid w:val="001E0707"/>
    <w:rsid w:val="001E501C"/>
    <w:rsid w:val="001F02CF"/>
    <w:rsid w:val="001F036F"/>
    <w:rsid w:val="001F1BDF"/>
    <w:rsid w:val="001F1E7E"/>
    <w:rsid w:val="001F2382"/>
    <w:rsid w:val="001F241E"/>
    <w:rsid w:val="001F2592"/>
    <w:rsid w:val="001F2893"/>
    <w:rsid w:val="001F4D62"/>
    <w:rsid w:val="001F5CF5"/>
    <w:rsid w:val="001F6802"/>
    <w:rsid w:val="001F6B82"/>
    <w:rsid w:val="00204E6E"/>
    <w:rsid w:val="00204E8F"/>
    <w:rsid w:val="00205F85"/>
    <w:rsid w:val="002066D6"/>
    <w:rsid w:val="002204F2"/>
    <w:rsid w:val="00221A5C"/>
    <w:rsid w:val="00221AEE"/>
    <w:rsid w:val="00227155"/>
    <w:rsid w:val="0023223F"/>
    <w:rsid w:val="00232611"/>
    <w:rsid w:val="00235C63"/>
    <w:rsid w:val="00237F97"/>
    <w:rsid w:val="002409F2"/>
    <w:rsid w:val="00241269"/>
    <w:rsid w:val="00243D14"/>
    <w:rsid w:val="00246E36"/>
    <w:rsid w:val="002515E1"/>
    <w:rsid w:val="00251C4A"/>
    <w:rsid w:val="00256A65"/>
    <w:rsid w:val="0025721B"/>
    <w:rsid w:val="002601EA"/>
    <w:rsid w:val="0026084A"/>
    <w:rsid w:val="00261075"/>
    <w:rsid w:val="002614E3"/>
    <w:rsid w:val="00264F18"/>
    <w:rsid w:val="002653D1"/>
    <w:rsid w:val="00265872"/>
    <w:rsid w:val="002662CF"/>
    <w:rsid w:val="0026631E"/>
    <w:rsid w:val="0026674C"/>
    <w:rsid w:val="00266CCF"/>
    <w:rsid w:val="00266F6B"/>
    <w:rsid w:val="0026709A"/>
    <w:rsid w:val="002677AD"/>
    <w:rsid w:val="00273952"/>
    <w:rsid w:val="00277FB1"/>
    <w:rsid w:val="00280E30"/>
    <w:rsid w:val="00282E1D"/>
    <w:rsid w:val="00286513"/>
    <w:rsid w:val="002902D4"/>
    <w:rsid w:val="002904AC"/>
    <w:rsid w:val="0029143B"/>
    <w:rsid w:val="00291FCD"/>
    <w:rsid w:val="00292B28"/>
    <w:rsid w:val="00293636"/>
    <w:rsid w:val="00294C5D"/>
    <w:rsid w:val="00294EB4"/>
    <w:rsid w:val="002964FF"/>
    <w:rsid w:val="002972E0"/>
    <w:rsid w:val="00297591"/>
    <w:rsid w:val="002A0974"/>
    <w:rsid w:val="002A1614"/>
    <w:rsid w:val="002A3AAA"/>
    <w:rsid w:val="002A4E7E"/>
    <w:rsid w:val="002A55F9"/>
    <w:rsid w:val="002A5895"/>
    <w:rsid w:val="002A5A42"/>
    <w:rsid w:val="002A6617"/>
    <w:rsid w:val="002A69AC"/>
    <w:rsid w:val="002A6C75"/>
    <w:rsid w:val="002A6F30"/>
    <w:rsid w:val="002B02FD"/>
    <w:rsid w:val="002B3236"/>
    <w:rsid w:val="002B3A90"/>
    <w:rsid w:val="002C0685"/>
    <w:rsid w:val="002C1628"/>
    <w:rsid w:val="002C3832"/>
    <w:rsid w:val="002C468A"/>
    <w:rsid w:val="002C7170"/>
    <w:rsid w:val="002D138C"/>
    <w:rsid w:val="002E1C2F"/>
    <w:rsid w:val="002E1EFB"/>
    <w:rsid w:val="002E1F8A"/>
    <w:rsid w:val="002E3620"/>
    <w:rsid w:val="002F105C"/>
    <w:rsid w:val="002F188E"/>
    <w:rsid w:val="002F2E40"/>
    <w:rsid w:val="002F433E"/>
    <w:rsid w:val="002F43EE"/>
    <w:rsid w:val="002F4D22"/>
    <w:rsid w:val="002F574E"/>
    <w:rsid w:val="002F6024"/>
    <w:rsid w:val="003014E8"/>
    <w:rsid w:val="00304109"/>
    <w:rsid w:val="00304191"/>
    <w:rsid w:val="003059F6"/>
    <w:rsid w:val="00306220"/>
    <w:rsid w:val="00306629"/>
    <w:rsid w:val="00316B42"/>
    <w:rsid w:val="00320904"/>
    <w:rsid w:val="00320CC4"/>
    <w:rsid w:val="0032184F"/>
    <w:rsid w:val="0032276B"/>
    <w:rsid w:val="00323973"/>
    <w:rsid w:val="003254DD"/>
    <w:rsid w:val="00330B41"/>
    <w:rsid w:val="00330B9E"/>
    <w:rsid w:val="00330D67"/>
    <w:rsid w:val="003338E9"/>
    <w:rsid w:val="0033731D"/>
    <w:rsid w:val="00340E8C"/>
    <w:rsid w:val="0034213F"/>
    <w:rsid w:val="00342984"/>
    <w:rsid w:val="00342D99"/>
    <w:rsid w:val="00343AB0"/>
    <w:rsid w:val="00344A5A"/>
    <w:rsid w:val="00344E79"/>
    <w:rsid w:val="00352DF2"/>
    <w:rsid w:val="003603AB"/>
    <w:rsid w:val="00360C03"/>
    <w:rsid w:val="00361AF7"/>
    <w:rsid w:val="003641B3"/>
    <w:rsid w:val="00365174"/>
    <w:rsid w:val="00370B7B"/>
    <w:rsid w:val="003710BC"/>
    <w:rsid w:val="00375045"/>
    <w:rsid w:val="003753A0"/>
    <w:rsid w:val="003755EE"/>
    <w:rsid w:val="00375862"/>
    <w:rsid w:val="00377155"/>
    <w:rsid w:val="00377A5B"/>
    <w:rsid w:val="00377F07"/>
    <w:rsid w:val="003809CF"/>
    <w:rsid w:val="003845FE"/>
    <w:rsid w:val="00384BB1"/>
    <w:rsid w:val="00385912"/>
    <w:rsid w:val="003873F6"/>
    <w:rsid w:val="00390135"/>
    <w:rsid w:val="00393C92"/>
    <w:rsid w:val="003972CE"/>
    <w:rsid w:val="003A3133"/>
    <w:rsid w:val="003A40D2"/>
    <w:rsid w:val="003A41F7"/>
    <w:rsid w:val="003B0535"/>
    <w:rsid w:val="003B309E"/>
    <w:rsid w:val="003B43BC"/>
    <w:rsid w:val="003B68E2"/>
    <w:rsid w:val="003B70B4"/>
    <w:rsid w:val="003C0042"/>
    <w:rsid w:val="003C2D7F"/>
    <w:rsid w:val="003C2E3A"/>
    <w:rsid w:val="003C411C"/>
    <w:rsid w:val="003C5354"/>
    <w:rsid w:val="003C7763"/>
    <w:rsid w:val="003C7886"/>
    <w:rsid w:val="003D5829"/>
    <w:rsid w:val="003E4E49"/>
    <w:rsid w:val="003E5511"/>
    <w:rsid w:val="003E6A43"/>
    <w:rsid w:val="003E75B4"/>
    <w:rsid w:val="003E760D"/>
    <w:rsid w:val="003E775F"/>
    <w:rsid w:val="003F04FF"/>
    <w:rsid w:val="003F37B8"/>
    <w:rsid w:val="00405C74"/>
    <w:rsid w:val="00407397"/>
    <w:rsid w:val="00410749"/>
    <w:rsid w:val="00413BC7"/>
    <w:rsid w:val="0041485F"/>
    <w:rsid w:val="004169E4"/>
    <w:rsid w:val="00416C1D"/>
    <w:rsid w:val="00417E9D"/>
    <w:rsid w:val="00421E30"/>
    <w:rsid w:val="00422610"/>
    <w:rsid w:val="0042284F"/>
    <w:rsid w:val="0043125E"/>
    <w:rsid w:val="0043516B"/>
    <w:rsid w:val="004356C2"/>
    <w:rsid w:val="00436473"/>
    <w:rsid w:val="00440818"/>
    <w:rsid w:val="00440FF6"/>
    <w:rsid w:val="00442294"/>
    <w:rsid w:val="00442FB4"/>
    <w:rsid w:val="004437F9"/>
    <w:rsid w:val="00443D0F"/>
    <w:rsid w:val="00447254"/>
    <w:rsid w:val="00450A93"/>
    <w:rsid w:val="00452EF8"/>
    <w:rsid w:val="00453272"/>
    <w:rsid w:val="004550DA"/>
    <w:rsid w:val="004571D1"/>
    <w:rsid w:val="0045746B"/>
    <w:rsid w:val="00457C68"/>
    <w:rsid w:val="004658FB"/>
    <w:rsid w:val="004667A2"/>
    <w:rsid w:val="0047014A"/>
    <w:rsid w:val="00471E08"/>
    <w:rsid w:val="00472A7E"/>
    <w:rsid w:val="004734B6"/>
    <w:rsid w:val="0047537E"/>
    <w:rsid w:val="0047745D"/>
    <w:rsid w:val="0048095B"/>
    <w:rsid w:val="004817D3"/>
    <w:rsid w:val="004843A2"/>
    <w:rsid w:val="00484C7B"/>
    <w:rsid w:val="0048538D"/>
    <w:rsid w:val="00486251"/>
    <w:rsid w:val="00492D9B"/>
    <w:rsid w:val="004959BD"/>
    <w:rsid w:val="00496BC1"/>
    <w:rsid w:val="00497632"/>
    <w:rsid w:val="004A24B3"/>
    <w:rsid w:val="004A3932"/>
    <w:rsid w:val="004A45D6"/>
    <w:rsid w:val="004A5455"/>
    <w:rsid w:val="004A694A"/>
    <w:rsid w:val="004B0287"/>
    <w:rsid w:val="004B0B68"/>
    <w:rsid w:val="004B0B80"/>
    <w:rsid w:val="004B2002"/>
    <w:rsid w:val="004B2758"/>
    <w:rsid w:val="004B4CC8"/>
    <w:rsid w:val="004B4F15"/>
    <w:rsid w:val="004B7457"/>
    <w:rsid w:val="004C20A7"/>
    <w:rsid w:val="004C252E"/>
    <w:rsid w:val="004C492E"/>
    <w:rsid w:val="004C4F5D"/>
    <w:rsid w:val="004C55C1"/>
    <w:rsid w:val="004C75CC"/>
    <w:rsid w:val="004D1940"/>
    <w:rsid w:val="004D38EC"/>
    <w:rsid w:val="004D4B7D"/>
    <w:rsid w:val="004D5B36"/>
    <w:rsid w:val="004D5DBC"/>
    <w:rsid w:val="004D7C3F"/>
    <w:rsid w:val="004E0540"/>
    <w:rsid w:val="004E1ACD"/>
    <w:rsid w:val="004E1DBC"/>
    <w:rsid w:val="004E263C"/>
    <w:rsid w:val="004E3B7B"/>
    <w:rsid w:val="004E5FA2"/>
    <w:rsid w:val="004E678E"/>
    <w:rsid w:val="004E6C5F"/>
    <w:rsid w:val="004F1310"/>
    <w:rsid w:val="004F1588"/>
    <w:rsid w:val="004F4411"/>
    <w:rsid w:val="004F471F"/>
    <w:rsid w:val="004F63DF"/>
    <w:rsid w:val="004F64CD"/>
    <w:rsid w:val="004F6AEF"/>
    <w:rsid w:val="004F72D3"/>
    <w:rsid w:val="005003F8"/>
    <w:rsid w:val="00501EB7"/>
    <w:rsid w:val="005022C6"/>
    <w:rsid w:val="0050363D"/>
    <w:rsid w:val="0050568B"/>
    <w:rsid w:val="0051050E"/>
    <w:rsid w:val="005105D0"/>
    <w:rsid w:val="00511BF0"/>
    <w:rsid w:val="005129AE"/>
    <w:rsid w:val="00512C25"/>
    <w:rsid w:val="00512C35"/>
    <w:rsid w:val="005152A0"/>
    <w:rsid w:val="00516A1A"/>
    <w:rsid w:val="00516D9F"/>
    <w:rsid w:val="005223FB"/>
    <w:rsid w:val="00522FAC"/>
    <w:rsid w:val="0052467C"/>
    <w:rsid w:val="005254E2"/>
    <w:rsid w:val="005260A5"/>
    <w:rsid w:val="00526EF1"/>
    <w:rsid w:val="00530DDD"/>
    <w:rsid w:val="005336AD"/>
    <w:rsid w:val="005377CF"/>
    <w:rsid w:val="00540364"/>
    <w:rsid w:val="00543803"/>
    <w:rsid w:val="00544111"/>
    <w:rsid w:val="00544E78"/>
    <w:rsid w:val="00545535"/>
    <w:rsid w:val="00545629"/>
    <w:rsid w:val="00547EEB"/>
    <w:rsid w:val="00550E5E"/>
    <w:rsid w:val="00552F44"/>
    <w:rsid w:val="00554718"/>
    <w:rsid w:val="00557093"/>
    <w:rsid w:val="00560BAB"/>
    <w:rsid w:val="00560C7E"/>
    <w:rsid w:val="0056175C"/>
    <w:rsid w:val="00561EFD"/>
    <w:rsid w:val="0056252E"/>
    <w:rsid w:val="005628A3"/>
    <w:rsid w:val="0056658E"/>
    <w:rsid w:val="00570BC5"/>
    <w:rsid w:val="00574B63"/>
    <w:rsid w:val="00575F40"/>
    <w:rsid w:val="00580B07"/>
    <w:rsid w:val="00580C30"/>
    <w:rsid w:val="00583B5F"/>
    <w:rsid w:val="00584D00"/>
    <w:rsid w:val="00586041"/>
    <w:rsid w:val="005865C2"/>
    <w:rsid w:val="00587A76"/>
    <w:rsid w:val="005907A3"/>
    <w:rsid w:val="00590AEB"/>
    <w:rsid w:val="00591B94"/>
    <w:rsid w:val="00592F79"/>
    <w:rsid w:val="00593EA7"/>
    <w:rsid w:val="005968BC"/>
    <w:rsid w:val="00596EFD"/>
    <w:rsid w:val="005A0C66"/>
    <w:rsid w:val="005A1775"/>
    <w:rsid w:val="005A574D"/>
    <w:rsid w:val="005A60CB"/>
    <w:rsid w:val="005B15D7"/>
    <w:rsid w:val="005B3A78"/>
    <w:rsid w:val="005B51FA"/>
    <w:rsid w:val="005C0A58"/>
    <w:rsid w:val="005C136F"/>
    <w:rsid w:val="005D5987"/>
    <w:rsid w:val="005E0239"/>
    <w:rsid w:val="005E3073"/>
    <w:rsid w:val="005E57C4"/>
    <w:rsid w:val="005E6437"/>
    <w:rsid w:val="005E6A08"/>
    <w:rsid w:val="005E6C41"/>
    <w:rsid w:val="005E70AA"/>
    <w:rsid w:val="005E76C3"/>
    <w:rsid w:val="005F1690"/>
    <w:rsid w:val="005F186F"/>
    <w:rsid w:val="005F1F0E"/>
    <w:rsid w:val="005F2A29"/>
    <w:rsid w:val="005F3550"/>
    <w:rsid w:val="005F4094"/>
    <w:rsid w:val="006053E0"/>
    <w:rsid w:val="00606061"/>
    <w:rsid w:val="006072D9"/>
    <w:rsid w:val="00607E19"/>
    <w:rsid w:val="00612A7A"/>
    <w:rsid w:val="00613068"/>
    <w:rsid w:val="00613C1A"/>
    <w:rsid w:val="00613EE6"/>
    <w:rsid w:val="00614072"/>
    <w:rsid w:val="00614E0F"/>
    <w:rsid w:val="00614FA0"/>
    <w:rsid w:val="006150CB"/>
    <w:rsid w:val="00615815"/>
    <w:rsid w:val="00616F80"/>
    <w:rsid w:val="0061704F"/>
    <w:rsid w:val="006207D5"/>
    <w:rsid w:val="00627591"/>
    <w:rsid w:val="006276A9"/>
    <w:rsid w:val="0062776C"/>
    <w:rsid w:val="00627B87"/>
    <w:rsid w:val="00627E01"/>
    <w:rsid w:val="0063052F"/>
    <w:rsid w:val="006319B8"/>
    <w:rsid w:val="00632D3A"/>
    <w:rsid w:val="006346CD"/>
    <w:rsid w:val="0063575A"/>
    <w:rsid w:val="00643B43"/>
    <w:rsid w:val="00644589"/>
    <w:rsid w:val="00647C55"/>
    <w:rsid w:val="00651B9D"/>
    <w:rsid w:val="0065387F"/>
    <w:rsid w:val="0065402B"/>
    <w:rsid w:val="00660E9B"/>
    <w:rsid w:val="00660ECF"/>
    <w:rsid w:val="0066152C"/>
    <w:rsid w:val="00662788"/>
    <w:rsid w:val="00663C38"/>
    <w:rsid w:val="00665B36"/>
    <w:rsid w:val="00665DDB"/>
    <w:rsid w:val="006668EA"/>
    <w:rsid w:val="0067355D"/>
    <w:rsid w:val="006735BB"/>
    <w:rsid w:val="00674E9F"/>
    <w:rsid w:val="006807C2"/>
    <w:rsid w:val="00684A73"/>
    <w:rsid w:val="00687E25"/>
    <w:rsid w:val="006900AC"/>
    <w:rsid w:val="00690441"/>
    <w:rsid w:val="00694D32"/>
    <w:rsid w:val="006A0406"/>
    <w:rsid w:val="006A2830"/>
    <w:rsid w:val="006A2BC5"/>
    <w:rsid w:val="006A2CA7"/>
    <w:rsid w:val="006A326D"/>
    <w:rsid w:val="006A52BD"/>
    <w:rsid w:val="006A55E7"/>
    <w:rsid w:val="006A6AC5"/>
    <w:rsid w:val="006A6B55"/>
    <w:rsid w:val="006A7169"/>
    <w:rsid w:val="006B28EA"/>
    <w:rsid w:val="006B3FB6"/>
    <w:rsid w:val="006B4A44"/>
    <w:rsid w:val="006B6626"/>
    <w:rsid w:val="006B6AAC"/>
    <w:rsid w:val="006B7255"/>
    <w:rsid w:val="006C0EF1"/>
    <w:rsid w:val="006C2DEF"/>
    <w:rsid w:val="006C3328"/>
    <w:rsid w:val="006C39E2"/>
    <w:rsid w:val="006C3F30"/>
    <w:rsid w:val="006C6AC0"/>
    <w:rsid w:val="006D0839"/>
    <w:rsid w:val="006D53F7"/>
    <w:rsid w:val="006D7101"/>
    <w:rsid w:val="006E0ED2"/>
    <w:rsid w:val="006E30A3"/>
    <w:rsid w:val="006E3619"/>
    <w:rsid w:val="006E7A7E"/>
    <w:rsid w:val="006F3110"/>
    <w:rsid w:val="006F47F5"/>
    <w:rsid w:val="006F5732"/>
    <w:rsid w:val="007024A3"/>
    <w:rsid w:val="00702C26"/>
    <w:rsid w:val="00702DA4"/>
    <w:rsid w:val="00707E83"/>
    <w:rsid w:val="00710212"/>
    <w:rsid w:val="00715724"/>
    <w:rsid w:val="00715D01"/>
    <w:rsid w:val="00721079"/>
    <w:rsid w:val="00723398"/>
    <w:rsid w:val="00727462"/>
    <w:rsid w:val="00732FBA"/>
    <w:rsid w:val="00733932"/>
    <w:rsid w:val="00740D36"/>
    <w:rsid w:val="00741AF2"/>
    <w:rsid w:val="007423FE"/>
    <w:rsid w:val="0074412D"/>
    <w:rsid w:val="007442AE"/>
    <w:rsid w:val="0074529E"/>
    <w:rsid w:val="00747C19"/>
    <w:rsid w:val="00747E2C"/>
    <w:rsid w:val="00750689"/>
    <w:rsid w:val="00750CEB"/>
    <w:rsid w:val="007549ED"/>
    <w:rsid w:val="007556EC"/>
    <w:rsid w:val="00755E70"/>
    <w:rsid w:val="00760DBB"/>
    <w:rsid w:val="0076782E"/>
    <w:rsid w:val="007742C4"/>
    <w:rsid w:val="0078017E"/>
    <w:rsid w:val="00780C9D"/>
    <w:rsid w:val="007819F4"/>
    <w:rsid w:val="00783359"/>
    <w:rsid w:val="00784CB8"/>
    <w:rsid w:val="00787968"/>
    <w:rsid w:val="00787B56"/>
    <w:rsid w:val="00787BFE"/>
    <w:rsid w:val="00790C7E"/>
    <w:rsid w:val="007913F3"/>
    <w:rsid w:val="00793E3A"/>
    <w:rsid w:val="00797D39"/>
    <w:rsid w:val="007A0D37"/>
    <w:rsid w:val="007A441D"/>
    <w:rsid w:val="007A57D9"/>
    <w:rsid w:val="007A64C1"/>
    <w:rsid w:val="007A6963"/>
    <w:rsid w:val="007B1AE8"/>
    <w:rsid w:val="007B2464"/>
    <w:rsid w:val="007B29B3"/>
    <w:rsid w:val="007B2EEB"/>
    <w:rsid w:val="007B3609"/>
    <w:rsid w:val="007C496F"/>
    <w:rsid w:val="007C56F7"/>
    <w:rsid w:val="007C5FDF"/>
    <w:rsid w:val="007D27E6"/>
    <w:rsid w:val="007D2E8F"/>
    <w:rsid w:val="007D6871"/>
    <w:rsid w:val="007E1303"/>
    <w:rsid w:val="007E1754"/>
    <w:rsid w:val="007E3420"/>
    <w:rsid w:val="007F21B3"/>
    <w:rsid w:val="007F2567"/>
    <w:rsid w:val="007F3697"/>
    <w:rsid w:val="007F4EFC"/>
    <w:rsid w:val="007F6B35"/>
    <w:rsid w:val="007F799A"/>
    <w:rsid w:val="0080368A"/>
    <w:rsid w:val="008048F8"/>
    <w:rsid w:val="0080603D"/>
    <w:rsid w:val="00806C14"/>
    <w:rsid w:val="008168C1"/>
    <w:rsid w:val="00816C8F"/>
    <w:rsid w:val="00817E6D"/>
    <w:rsid w:val="008221B0"/>
    <w:rsid w:val="008235FE"/>
    <w:rsid w:val="008265AE"/>
    <w:rsid w:val="008320C1"/>
    <w:rsid w:val="00843F97"/>
    <w:rsid w:val="0084417C"/>
    <w:rsid w:val="0084436E"/>
    <w:rsid w:val="00844E0E"/>
    <w:rsid w:val="00845A9D"/>
    <w:rsid w:val="0084663B"/>
    <w:rsid w:val="00847D2E"/>
    <w:rsid w:val="00854AD4"/>
    <w:rsid w:val="008561C1"/>
    <w:rsid w:val="0085754F"/>
    <w:rsid w:val="0086419E"/>
    <w:rsid w:val="00873F73"/>
    <w:rsid w:val="00874244"/>
    <w:rsid w:val="00875233"/>
    <w:rsid w:val="00875745"/>
    <w:rsid w:val="00881669"/>
    <w:rsid w:val="00882A18"/>
    <w:rsid w:val="0089016A"/>
    <w:rsid w:val="00893C7A"/>
    <w:rsid w:val="00894672"/>
    <w:rsid w:val="00896D97"/>
    <w:rsid w:val="008B2266"/>
    <w:rsid w:val="008B354F"/>
    <w:rsid w:val="008B4D8D"/>
    <w:rsid w:val="008B6000"/>
    <w:rsid w:val="008B692A"/>
    <w:rsid w:val="008B7534"/>
    <w:rsid w:val="008B78D4"/>
    <w:rsid w:val="008C0FC9"/>
    <w:rsid w:val="008C3EE2"/>
    <w:rsid w:val="008C5D33"/>
    <w:rsid w:val="008C6574"/>
    <w:rsid w:val="008C6895"/>
    <w:rsid w:val="008D20BB"/>
    <w:rsid w:val="008D3BB6"/>
    <w:rsid w:val="008D6B90"/>
    <w:rsid w:val="008E0AB6"/>
    <w:rsid w:val="008E1F32"/>
    <w:rsid w:val="008E7B73"/>
    <w:rsid w:val="008F5940"/>
    <w:rsid w:val="00900614"/>
    <w:rsid w:val="00902824"/>
    <w:rsid w:val="0090548D"/>
    <w:rsid w:val="00905DB5"/>
    <w:rsid w:val="00905F63"/>
    <w:rsid w:val="00906F65"/>
    <w:rsid w:val="00910AF5"/>
    <w:rsid w:val="00911BA8"/>
    <w:rsid w:val="00912198"/>
    <w:rsid w:val="00913DDC"/>
    <w:rsid w:val="00916038"/>
    <w:rsid w:val="009217B7"/>
    <w:rsid w:val="00924FC1"/>
    <w:rsid w:val="009261C3"/>
    <w:rsid w:val="00926BD9"/>
    <w:rsid w:val="0093049B"/>
    <w:rsid w:val="009304BC"/>
    <w:rsid w:val="00930F19"/>
    <w:rsid w:val="00933E62"/>
    <w:rsid w:val="009343E1"/>
    <w:rsid w:val="00936339"/>
    <w:rsid w:val="00936360"/>
    <w:rsid w:val="00940820"/>
    <w:rsid w:val="00940FB5"/>
    <w:rsid w:val="0094156F"/>
    <w:rsid w:val="00942836"/>
    <w:rsid w:val="0094286B"/>
    <w:rsid w:val="009453F5"/>
    <w:rsid w:val="00945FF7"/>
    <w:rsid w:val="00946510"/>
    <w:rsid w:val="00950911"/>
    <w:rsid w:val="00951091"/>
    <w:rsid w:val="009516D8"/>
    <w:rsid w:val="00952471"/>
    <w:rsid w:val="00953F6F"/>
    <w:rsid w:val="009565E8"/>
    <w:rsid w:val="009611F6"/>
    <w:rsid w:val="00961EA4"/>
    <w:rsid w:val="009620CC"/>
    <w:rsid w:val="00962402"/>
    <w:rsid w:val="00962FA7"/>
    <w:rsid w:val="00966AC1"/>
    <w:rsid w:val="00967C29"/>
    <w:rsid w:val="009701E2"/>
    <w:rsid w:val="009722FD"/>
    <w:rsid w:val="00972C6C"/>
    <w:rsid w:val="009735A4"/>
    <w:rsid w:val="0097410C"/>
    <w:rsid w:val="0097491B"/>
    <w:rsid w:val="00976AEA"/>
    <w:rsid w:val="00981008"/>
    <w:rsid w:val="0098314B"/>
    <w:rsid w:val="00984CE2"/>
    <w:rsid w:val="00985216"/>
    <w:rsid w:val="00986080"/>
    <w:rsid w:val="009872AD"/>
    <w:rsid w:val="00993BA4"/>
    <w:rsid w:val="00996318"/>
    <w:rsid w:val="009A0491"/>
    <w:rsid w:val="009B1123"/>
    <w:rsid w:val="009B16CE"/>
    <w:rsid w:val="009B2FCC"/>
    <w:rsid w:val="009B7747"/>
    <w:rsid w:val="009B7BBC"/>
    <w:rsid w:val="009C06BD"/>
    <w:rsid w:val="009C3486"/>
    <w:rsid w:val="009C3FAA"/>
    <w:rsid w:val="009D01B9"/>
    <w:rsid w:val="009D5E7C"/>
    <w:rsid w:val="009D604D"/>
    <w:rsid w:val="009D747D"/>
    <w:rsid w:val="009E07E1"/>
    <w:rsid w:val="009E1512"/>
    <w:rsid w:val="009E1BF3"/>
    <w:rsid w:val="009E4BC2"/>
    <w:rsid w:val="009E6354"/>
    <w:rsid w:val="009E6500"/>
    <w:rsid w:val="009F1DD8"/>
    <w:rsid w:val="009F2447"/>
    <w:rsid w:val="009F768C"/>
    <w:rsid w:val="00A02208"/>
    <w:rsid w:val="00A02326"/>
    <w:rsid w:val="00A03889"/>
    <w:rsid w:val="00A063E1"/>
    <w:rsid w:val="00A1190B"/>
    <w:rsid w:val="00A11C13"/>
    <w:rsid w:val="00A123C3"/>
    <w:rsid w:val="00A1326A"/>
    <w:rsid w:val="00A142F9"/>
    <w:rsid w:val="00A15EAC"/>
    <w:rsid w:val="00A224EF"/>
    <w:rsid w:val="00A30010"/>
    <w:rsid w:val="00A30947"/>
    <w:rsid w:val="00A3231F"/>
    <w:rsid w:val="00A33D3F"/>
    <w:rsid w:val="00A370A0"/>
    <w:rsid w:val="00A4079B"/>
    <w:rsid w:val="00A40B24"/>
    <w:rsid w:val="00A45C94"/>
    <w:rsid w:val="00A51F1E"/>
    <w:rsid w:val="00A54961"/>
    <w:rsid w:val="00A55420"/>
    <w:rsid w:val="00A60A48"/>
    <w:rsid w:val="00A6622C"/>
    <w:rsid w:val="00A66997"/>
    <w:rsid w:val="00A70AED"/>
    <w:rsid w:val="00A740D9"/>
    <w:rsid w:val="00A743DC"/>
    <w:rsid w:val="00A76717"/>
    <w:rsid w:val="00A76F54"/>
    <w:rsid w:val="00A94C4D"/>
    <w:rsid w:val="00A94D57"/>
    <w:rsid w:val="00A972C6"/>
    <w:rsid w:val="00A97C04"/>
    <w:rsid w:val="00AA4350"/>
    <w:rsid w:val="00AA7B3D"/>
    <w:rsid w:val="00AB194E"/>
    <w:rsid w:val="00AB298A"/>
    <w:rsid w:val="00AB2AED"/>
    <w:rsid w:val="00AB2BF7"/>
    <w:rsid w:val="00AB360C"/>
    <w:rsid w:val="00AB4A28"/>
    <w:rsid w:val="00AC1ECA"/>
    <w:rsid w:val="00AD334F"/>
    <w:rsid w:val="00AD3593"/>
    <w:rsid w:val="00AD7B92"/>
    <w:rsid w:val="00AE24C2"/>
    <w:rsid w:val="00AE2AFD"/>
    <w:rsid w:val="00AE3D6C"/>
    <w:rsid w:val="00AE6019"/>
    <w:rsid w:val="00AE70F2"/>
    <w:rsid w:val="00AF0CE2"/>
    <w:rsid w:val="00AF188C"/>
    <w:rsid w:val="00AF2238"/>
    <w:rsid w:val="00AF6DD2"/>
    <w:rsid w:val="00B0009F"/>
    <w:rsid w:val="00B0463A"/>
    <w:rsid w:val="00B04A13"/>
    <w:rsid w:val="00B06BAF"/>
    <w:rsid w:val="00B10C0C"/>
    <w:rsid w:val="00B17F26"/>
    <w:rsid w:val="00B206CD"/>
    <w:rsid w:val="00B250AA"/>
    <w:rsid w:val="00B25E77"/>
    <w:rsid w:val="00B2699F"/>
    <w:rsid w:val="00B26A86"/>
    <w:rsid w:val="00B27119"/>
    <w:rsid w:val="00B277F8"/>
    <w:rsid w:val="00B307CC"/>
    <w:rsid w:val="00B30CD3"/>
    <w:rsid w:val="00B32E9F"/>
    <w:rsid w:val="00B3371A"/>
    <w:rsid w:val="00B34000"/>
    <w:rsid w:val="00B35AF7"/>
    <w:rsid w:val="00B37368"/>
    <w:rsid w:val="00B4026A"/>
    <w:rsid w:val="00B43211"/>
    <w:rsid w:val="00B43553"/>
    <w:rsid w:val="00B43DFB"/>
    <w:rsid w:val="00B44473"/>
    <w:rsid w:val="00B464C0"/>
    <w:rsid w:val="00B50096"/>
    <w:rsid w:val="00B53363"/>
    <w:rsid w:val="00B54442"/>
    <w:rsid w:val="00B57474"/>
    <w:rsid w:val="00B6183C"/>
    <w:rsid w:val="00B61E57"/>
    <w:rsid w:val="00B63352"/>
    <w:rsid w:val="00B637DC"/>
    <w:rsid w:val="00B63835"/>
    <w:rsid w:val="00B64FA3"/>
    <w:rsid w:val="00B65765"/>
    <w:rsid w:val="00B664C1"/>
    <w:rsid w:val="00B6765A"/>
    <w:rsid w:val="00B72114"/>
    <w:rsid w:val="00B75EDF"/>
    <w:rsid w:val="00B76FE0"/>
    <w:rsid w:val="00B7770A"/>
    <w:rsid w:val="00B839CE"/>
    <w:rsid w:val="00B852E4"/>
    <w:rsid w:val="00BA08E7"/>
    <w:rsid w:val="00BA0E9D"/>
    <w:rsid w:val="00BA235E"/>
    <w:rsid w:val="00BA58F1"/>
    <w:rsid w:val="00BB0A83"/>
    <w:rsid w:val="00BB1722"/>
    <w:rsid w:val="00BB6095"/>
    <w:rsid w:val="00BB6E69"/>
    <w:rsid w:val="00BC02B7"/>
    <w:rsid w:val="00BC0D48"/>
    <w:rsid w:val="00BC1C51"/>
    <w:rsid w:val="00BD03FD"/>
    <w:rsid w:val="00BD0428"/>
    <w:rsid w:val="00BD3E1E"/>
    <w:rsid w:val="00BD64FA"/>
    <w:rsid w:val="00BD6D6F"/>
    <w:rsid w:val="00BD7494"/>
    <w:rsid w:val="00BD7FB1"/>
    <w:rsid w:val="00BE1E8D"/>
    <w:rsid w:val="00BE2434"/>
    <w:rsid w:val="00BE342C"/>
    <w:rsid w:val="00BE5542"/>
    <w:rsid w:val="00BF2F02"/>
    <w:rsid w:val="00BF7AC7"/>
    <w:rsid w:val="00C050CC"/>
    <w:rsid w:val="00C054AA"/>
    <w:rsid w:val="00C05D2E"/>
    <w:rsid w:val="00C103AC"/>
    <w:rsid w:val="00C10B8E"/>
    <w:rsid w:val="00C124DB"/>
    <w:rsid w:val="00C15D0E"/>
    <w:rsid w:val="00C16407"/>
    <w:rsid w:val="00C20D19"/>
    <w:rsid w:val="00C21169"/>
    <w:rsid w:val="00C236A7"/>
    <w:rsid w:val="00C24BD2"/>
    <w:rsid w:val="00C30C98"/>
    <w:rsid w:val="00C31108"/>
    <w:rsid w:val="00C31D5A"/>
    <w:rsid w:val="00C31F57"/>
    <w:rsid w:val="00C34EFA"/>
    <w:rsid w:val="00C36FB8"/>
    <w:rsid w:val="00C403EB"/>
    <w:rsid w:val="00C40979"/>
    <w:rsid w:val="00C43340"/>
    <w:rsid w:val="00C52F1B"/>
    <w:rsid w:val="00C577D2"/>
    <w:rsid w:val="00C6148A"/>
    <w:rsid w:val="00C61B18"/>
    <w:rsid w:val="00C61D25"/>
    <w:rsid w:val="00C646A4"/>
    <w:rsid w:val="00C6473F"/>
    <w:rsid w:val="00C64BFE"/>
    <w:rsid w:val="00C65CB9"/>
    <w:rsid w:val="00C65F3D"/>
    <w:rsid w:val="00C717A9"/>
    <w:rsid w:val="00C71EFE"/>
    <w:rsid w:val="00C723F2"/>
    <w:rsid w:val="00C739E6"/>
    <w:rsid w:val="00C75834"/>
    <w:rsid w:val="00C76655"/>
    <w:rsid w:val="00C76C19"/>
    <w:rsid w:val="00C82DEE"/>
    <w:rsid w:val="00C84269"/>
    <w:rsid w:val="00C849B0"/>
    <w:rsid w:val="00C8751C"/>
    <w:rsid w:val="00C87FAC"/>
    <w:rsid w:val="00C90EC9"/>
    <w:rsid w:val="00C91714"/>
    <w:rsid w:val="00C92B08"/>
    <w:rsid w:val="00C94052"/>
    <w:rsid w:val="00C95DD5"/>
    <w:rsid w:val="00C96231"/>
    <w:rsid w:val="00C96916"/>
    <w:rsid w:val="00C97C88"/>
    <w:rsid w:val="00CA29D2"/>
    <w:rsid w:val="00CA2DC6"/>
    <w:rsid w:val="00CA3E50"/>
    <w:rsid w:val="00CA54BF"/>
    <w:rsid w:val="00CA6DDD"/>
    <w:rsid w:val="00CB0A3E"/>
    <w:rsid w:val="00CB1993"/>
    <w:rsid w:val="00CB203D"/>
    <w:rsid w:val="00CB2AEF"/>
    <w:rsid w:val="00CB2E93"/>
    <w:rsid w:val="00CB5435"/>
    <w:rsid w:val="00CB5B7D"/>
    <w:rsid w:val="00CB68E7"/>
    <w:rsid w:val="00CC041E"/>
    <w:rsid w:val="00CC0BC9"/>
    <w:rsid w:val="00CC11F4"/>
    <w:rsid w:val="00CC2443"/>
    <w:rsid w:val="00CC3106"/>
    <w:rsid w:val="00CC3A8E"/>
    <w:rsid w:val="00CC4796"/>
    <w:rsid w:val="00CC5C29"/>
    <w:rsid w:val="00CC680F"/>
    <w:rsid w:val="00CC7A0F"/>
    <w:rsid w:val="00CD4F61"/>
    <w:rsid w:val="00CD69AB"/>
    <w:rsid w:val="00CE2624"/>
    <w:rsid w:val="00CE33A8"/>
    <w:rsid w:val="00CE53EB"/>
    <w:rsid w:val="00CF0140"/>
    <w:rsid w:val="00CF2CE5"/>
    <w:rsid w:val="00CF36AE"/>
    <w:rsid w:val="00CF3DF7"/>
    <w:rsid w:val="00CF5CBE"/>
    <w:rsid w:val="00CF614B"/>
    <w:rsid w:val="00CF6A5A"/>
    <w:rsid w:val="00D010D0"/>
    <w:rsid w:val="00D014BB"/>
    <w:rsid w:val="00D042E4"/>
    <w:rsid w:val="00D04528"/>
    <w:rsid w:val="00D05E36"/>
    <w:rsid w:val="00D06BF2"/>
    <w:rsid w:val="00D10E5D"/>
    <w:rsid w:val="00D12340"/>
    <w:rsid w:val="00D1275D"/>
    <w:rsid w:val="00D146F4"/>
    <w:rsid w:val="00D1527C"/>
    <w:rsid w:val="00D16FF7"/>
    <w:rsid w:val="00D22ADC"/>
    <w:rsid w:val="00D253E3"/>
    <w:rsid w:val="00D2699C"/>
    <w:rsid w:val="00D26EF3"/>
    <w:rsid w:val="00D271E5"/>
    <w:rsid w:val="00D30021"/>
    <w:rsid w:val="00D30EE2"/>
    <w:rsid w:val="00D3204F"/>
    <w:rsid w:val="00D34A06"/>
    <w:rsid w:val="00D34F87"/>
    <w:rsid w:val="00D3737F"/>
    <w:rsid w:val="00D41316"/>
    <w:rsid w:val="00D467D3"/>
    <w:rsid w:val="00D476FB"/>
    <w:rsid w:val="00D55B06"/>
    <w:rsid w:val="00D569FB"/>
    <w:rsid w:val="00D56AED"/>
    <w:rsid w:val="00D56ECF"/>
    <w:rsid w:val="00D575E5"/>
    <w:rsid w:val="00D57715"/>
    <w:rsid w:val="00D60297"/>
    <w:rsid w:val="00D61765"/>
    <w:rsid w:val="00D62967"/>
    <w:rsid w:val="00D62FD3"/>
    <w:rsid w:val="00D677EC"/>
    <w:rsid w:val="00D711A6"/>
    <w:rsid w:val="00D7271C"/>
    <w:rsid w:val="00D72975"/>
    <w:rsid w:val="00D73041"/>
    <w:rsid w:val="00D77D9F"/>
    <w:rsid w:val="00D82F4E"/>
    <w:rsid w:val="00D832A8"/>
    <w:rsid w:val="00D8727B"/>
    <w:rsid w:val="00D87656"/>
    <w:rsid w:val="00D87A37"/>
    <w:rsid w:val="00D96C24"/>
    <w:rsid w:val="00D97EA2"/>
    <w:rsid w:val="00DA04E5"/>
    <w:rsid w:val="00DA338B"/>
    <w:rsid w:val="00DA38A8"/>
    <w:rsid w:val="00DA3E32"/>
    <w:rsid w:val="00DA7485"/>
    <w:rsid w:val="00DB0404"/>
    <w:rsid w:val="00DB122E"/>
    <w:rsid w:val="00DB5C72"/>
    <w:rsid w:val="00DC158C"/>
    <w:rsid w:val="00DC6607"/>
    <w:rsid w:val="00DC789C"/>
    <w:rsid w:val="00DD18C4"/>
    <w:rsid w:val="00DD2A27"/>
    <w:rsid w:val="00DD7020"/>
    <w:rsid w:val="00DE52C7"/>
    <w:rsid w:val="00DE620D"/>
    <w:rsid w:val="00DE776C"/>
    <w:rsid w:val="00DE7988"/>
    <w:rsid w:val="00DF2944"/>
    <w:rsid w:val="00DF3744"/>
    <w:rsid w:val="00DF6691"/>
    <w:rsid w:val="00E0069F"/>
    <w:rsid w:val="00E024CA"/>
    <w:rsid w:val="00E0376F"/>
    <w:rsid w:val="00E04776"/>
    <w:rsid w:val="00E051C1"/>
    <w:rsid w:val="00E0659C"/>
    <w:rsid w:val="00E10CD8"/>
    <w:rsid w:val="00E11B38"/>
    <w:rsid w:val="00E1375F"/>
    <w:rsid w:val="00E1622D"/>
    <w:rsid w:val="00E215B5"/>
    <w:rsid w:val="00E216D8"/>
    <w:rsid w:val="00E21711"/>
    <w:rsid w:val="00E22734"/>
    <w:rsid w:val="00E239C6"/>
    <w:rsid w:val="00E24BE7"/>
    <w:rsid w:val="00E27265"/>
    <w:rsid w:val="00E27642"/>
    <w:rsid w:val="00E30581"/>
    <w:rsid w:val="00E35EBC"/>
    <w:rsid w:val="00E37EDE"/>
    <w:rsid w:val="00E41298"/>
    <w:rsid w:val="00E42434"/>
    <w:rsid w:val="00E4246A"/>
    <w:rsid w:val="00E42746"/>
    <w:rsid w:val="00E44544"/>
    <w:rsid w:val="00E44B75"/>
    <w:rsid w:val="00E46710"/>
    <w:rsid w:val="00E467E1"/>
    <w:rsid w:val="00E47DA7"/>
    <w:rsid w:val="00E55156"/>
    <w:rsid w:val="00E55E58"/>
    <w:rsid w:val="00E5772D"/>
    <w:rsid w:val="00E57D4C"/>
    <w:rsid w:val="00E60FC5"/>
    <w:rsid w:val="00E61285"/>
    <w:rsid w:val="00E61E1C"/>
    <w:rsid w:val="00E6355C"/>
    <w:rsid w:val="00E63620"/>
    <w:rsid w:val="00E675EB"/>
    <w:rsid w:val="00E72A12"/>
    <w:rsid w:val="00E76445"/>
    <w:rsid w:val="00E76E3B"/>
    <w:rsid w:val="00E779D5"/>
    <w:rsid w:val="00E8199B"/>
    <w:rsid w:val="00E8418C"/>
    <w:rsid w:val="00E86718"/>
    <w:rsid w:val="00E87DF8"/>
    <w:rsid w:val="00E90690"/>
    <w:rsid w:val="00E908D3"/>
    <w:rsid w:val="00E9557B"/>
    <w:rsid w:val="00E95851"/>
    <w:rsid w:val="00E96272"/>
    <w:rsid w:val="00EA35AF"/>
    <w:rsid w:val="00EA3692"/>
    <w:rsid w:val="00EA5310"/>
    <w:rsid w:val="00EA5AE9"/>
    <w:rsid w:val="00EB0E3F"/>
    <w:rsid w:val="00EB4E6A"/>
    <w:rsid w:val="00EB59F3"/>
    <w:rsid w:val="00EB6A4C"/>
    <w:rsid w:val="00EC06C6"/>
    <w:rsid w:val="00EC29A6"/>
    <w:rsid w:val="00EC3278"/>
    <w:rsid w:val="00EC32C6"/>
    <w:rsid w:val="00EC638E"/>
    <w:rsid w:val="00ED04A9"/>
    <w:rsid w:val="00ED13EE"/>
    <w:rsid w:val="00ED1CF9"/>
    <w:rsid w:val="00ED5957"/>
    <w:rsid w:val="00EE1E19"/>
    <w:rsid w:val="00EE44BB"/>
    <w:rsid w:val="00EE5A33"/>
    <w:rsid w:val="00EE78C5"/>
    <w:rsid w:val="00EF31D5"/>
    <w:rsid w:val="00EF40E4"/>
    <w:rsid w:val="00EF4F6D"/>
    <w:rsid w:val="00EF51DA"/>
    <w:rsid w:val="00EF601E"/>
    <w:rsid w:val="00EF739D"/>
    <w:rsid w:val="00F000B4"/>
    <w:rsid w:val="00F02589"/>
    <w:rsid w:val="00F03BF7"/>
    <w:rsid w:val="00F048FA"/>
    <w:rsid w:val="00F04E8B"/>
    <w:rsid w:val="00F10E25"/>
    <w:rsid w:val="00F16227"/>
    <w:rsid w:val="00F17FFE"/>
    <w:rsid w:val="00F216BB"/>
    <w:rsid w:val="00F232C8"/>
    <w:rsid w:val="00F26C4C"/>
    <w:rsid w:val="00F27715"/>
    <w:rsid w:val="00F307F0"/>
    <w:rsid w:val="00F31649"/>
    <w:rsid w:val="00F34658"/>
    <w:rsid w:val="00F3609D"/>
    <w:rsid w:val="00F36E92"/>
    <w:rsid w:val="00F37B52"/>
    <w:rsid w:val="00F407E5"/>
    <w:rsid w:val="00F4181B"/>
    <w:rsid w:val="00F437F4"/>
    <w:rsid w:val="00F553D3"/>
    <w:rsid w:val="00F60F30"/>
    <w:rsid w:val="00F6130F"/>
    <w:rsid w:val="00F619CD"/>
    <w:rsid w:val="00F66A02"/>
    <w:rsid w:val="00F67A4C"/>
    <w:rsid w:val="00F71433"/>
    <w:rsid w:val="00F71896"/>
    <w:rsid w:val="00F72183"/>
    <w:rsid w:val="00F72AA8"/>
    <w:rsid w:val="00F800B9"/>
    <w:rsid w:val="00F80273"/>
    <w:rsid w:val="00F850CF"/>
    <w:rsid w:val="00F85FFD"/>
    <w:rsid w:val="00F86998"/>
    <w:rsid w:val="00F873D3"/>
    <w:rsid w:val="00F87CA0"/>
    <w:rsid w:val="00F921AE"/>
    <w:rsid w:val="00F948F8"/>
    <w:rsid w:val="00F94A21"/>
    <w:rsid w:val="00F96B38"/>
    <w:rsid w:val="00FA13E5"/>
    <w:rsid w:val="00FA1DBE"/>
    <w:rsid w:val="00FA274F"/>
    <w:rsid w:val="00FA37DA"/>
    <w:rsid w:val="00FA641F"/>
    <w:rsid w:val="00FA655B"/>
    <w:rsid w:val="00FB3EC9"/>
    <w:rsid w:val="00FB465B"/>
    <w:rsid w:val="00FB4D2D"/>
    <w:rsid w:val="00FB61A5"/>
    <w:rsid w:val="00FB744B"/>
    <w:rsid w:val="00FC1591"/>
    <w:rsid w:val="00FC27E4"/>
    <w:rsid w:val="00FC3A9F"/>
    <w:rsid w:val="00FC4002"/>
    <w:rsid w:val="00FD52ED"/>
    <w:rsid w:val="00FE0547"/>
    <w:rsid w:val="00FE079C"/>
    <w:rsid w:val="00FE15EA"/>
    <w:rsid w:val="00FE4051"/>
    <w:rsid w:val="00FE5B48"/>
    <w:rsid w:val="00FF0BD6"/>
    <w:rsid w:val="00FF2C9A"/>
    <w:rsid w:val="00FF5FE8"/>
    <w:rsid w:val="00FF6DCF"/>
    <w:rsid w:val="00FF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1CC"/>
    <w:pPr>
      <w:jc w:val="both"/>
    </w:pPr>
  </w:style>
  <w:style w:type="paragraph" w:styleId="Heading1">
    <w:name w:val="heading 1"/>
    <w:basedOn w:val="Normal"/>
    <w:next w:val="Normal"/>
    <w:link w:val="Heading1Char"/>
    <w:uiPriority w:val="9"/>
    <w:qFormat/>
    <w:rsid w:val="00905F63"/>
    <w:pPr>
      <w:spacing w:before="480" w:after="0"/>
      <w:contextualSpacing/>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semiHidden/>
    <w:unhideWhenUsed/>
    <w:qFormat/>
    <w:rsid w:val="003C2D7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C2D7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C2D7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C2D7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C2D7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C2D7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C2D7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C2D7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717"/>
    <w:rPr>
      <w:rFonts w:ascii="Tahoma" w:hAnsi="Tahoma" w:cs="Tahoma"/>
      <w:sz w:val="16"/>
      <w:szCs w:val="16"/>
    </w:rPr>
  </w:style>
  <w:style w:type="table" w:styleId="TableGrid">
    <w:name w:val="Table Grid"/>
    <w:basedOn w:val="TableNormal"/>
    <w:uiPriority w:val="59"/>
    <w:rsid w:val="004F47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3C2D7F"/>
    <w:pPr>
      <w:spacing w:after="0" w:line="240" w:lineRule="auto"/>
    </w:pPr>
  </w:style>
  <w:style w:type="paragraph" w:styleId="Header">
    <w:name w:val="header"/>
    <w:basedOn w:val="Normal"/>
    <w:link w:val="HeaderChar"/>
    <w:uiPriority w:val="99"/>
    <w:unhideWhenUsed/>
    <w:rsid w:val="000A4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7F4"/>
    <w:rPr>
      <w:sz w:val="22"/>
      <w:szCs w:val="22"/>
    </w:rPr>
  </w:style>
  <w:style w:type="paragraph" w:styleId="Footer">
    <w:name w:val="footer"/>
    <w:basedOn w:val="Normal"/>
    <w:link w:val="FooterChar"/>
    <w:uiPriority w:val="99"/>
    <w:unhideWhenUsed/>
    <w:rsid w:val="000A4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7F4"/>
    <w:rPr>
      <w:sz w:val="22"/>
      <w:szCs w:val="22"/>
    </w:rPr>
  </w:style>
  <w:style w:type="paragraph" w:customStyle="1" w:styleId="DecimalAligned">
    <w:name w:val="Decimal Aligned"/>
    <w:basedOn w:val="Normal"/>
    <w:uiPriority w:val="40"/>
    <w:rsid w:val="00B6183C"/>
    <w:pPr>
      <w:tabs>
        <w:tab w:val="decimal" w:pos="360"/>
      </w:tabs>
    </w:pPr>
  </w:style>
  <w:style w:type="paragraph" w:styleId="FootnoteText">
    <w:name w:val="footnote text"/>
    <w:basedOn w:val="Normal"/>
    <w:link w:val="FootnoteTextChar"/>
    <w:uiPriority w:val="99"/>
    <w:unhideWhenUsed/>
    <w:rsid w:val="00B6183C"/>
    <w:pPr>
      <w:spacing w:after="0" w:line="240" w:lineRule="auto"/>
    </w:pPr>
    <w:rPr>
      <w:sz w:val="20"/>
      <w:szCs w:val="20"/>
    </w:rPr>
  </w:style>
  <w:style w:type="character" w:customStyle="1" w:styleId="FootnoteTextChar">
    <w:name w:val="Footnote Text Char"/>
    <w:basedOn w:val="DefaultParagraphFont"/>
    <w:link w:val="FootnoteText"/>
    <w:uiPriority w:val="99"/>
    <w:rsid w:val="00B6183C"/>
    <w:rPr>
      <w:rFonts w:asciiTheme="minorHAnsi" w:eastAsiaTheme="minorEastAsia" w:hAnsiTheme="minorHAnsi" w:cstheme="minorBidi"/>
    </w:rPr>
  </w:style>
  <w:style w:type="character" w:styleId="SubtleEmphasis">
    <w:name w:val="Subtle Emphasis"/>
    <w:uiPriority w:val="19"/>
    <w:qFormat/>
    <w:rsid w:val="003C2D7F"/>
    <w:rPr>
      <w:i/>
      <w:iCs/>
    </w:rPr>
  </w:style>
  <w:style w:type="table" w:styleId="MediumShading2-Accent5">
    <w:name w:val="Medium Shading 2 Accent 5"/>
    <w:basedOn w:val="TableNormal"/>
    <w:uiPriority w:val="64"/>
    <w:rsid w:val="00B618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B6183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183C"/>
    <w:rPr>
      <w:rFonts w:ascii="Tahoma" w:hAnsi="Tahoma" w:cs="Tahoma"/>
      <w:sz w:val="16"/>
      <w:szCs w:val="16"/>
    </w:rPr>
  </w:style>
  <w:style w:type="paragraph" w:styleId="Caption">
    <w:name w:val="caption"/>
    <w:basedOn w:val="Normal"/>
    <w:next w:val="Normal"/>
    <w:uiPriority w:val="35"/>
    <w:unhideWhenUsed/>
    <w:qFormat/>
    <w:rsid w:val="00905F63"/>
    <w:pPr>
      <w:spacing w:line="240" w:lineRule="auto"/>
    </w:pPr>
    <w:rPr>
      <w:b/>
      <w:bCs/>
      <w:szCs w:val="18"/>
    </w:rPr>
  </w:style>
  <w:style w:type="paragraph" w:styleId="TableofFigures">
    <w:name w:val="table of figures"/>
    <w:basedOn w:val="Normal"/>
    <w:next w:val="Normal"/>
    <w:uiPriority w:val="99"/>
    <w:unhideWhenUsed/>
    <w:rsid w:val="00A94C4D"/>
    <w:pPr>
      <w:spacing w:after="0"/>
    </w:pPr>
  </w:style>
  <w:style w:type="character" w:styleId="Hyperlink">
    <w:name w:val="Hyperlink"/>
    <w:basedOn w:val="DefaultParagraphFont"/>
    <w:uiPriority w:val="99"/>
    <w:unhideWhenUsed/>
    <w:rsid w:val="00A94C4D"/>
    <w:rPr>
      <w:color w:val="0000FF" w:themeColor="hyperlink"/>
      <w:u w:val="single"/>
    </w:rPr>
  </w:style>
  <w:style w:type="paragraph" w:styleId="NormalWeb">
    <w:name w:val="Normal (Web)"/>
    <w:basedOn w:val="Normal"/>
    <w:uiPriority w:val="99"/>
    <w:semiHidden/>
    <w:unhideWhenUsed/>
    <w:rsid w:val="00A94C4D"/>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905F63"/>
    <w:rPr>
      <w:rFonts w:asciiTheme="majorHAnsi" w:eastAsiaTheme="majorEastAsia" w:hAnsiTheme="majorHAnsi" w:cstheme="majorBidi"/>
      <w:b/>
      <w:bCs/>
      <w:szCs w:val="28"/>
    </w:rPr>
  </w:style>
  <w:style w:type="character" w:customStyle="1" w:styleId="Heading2Char">
    <w:name w:val="Heading 2 Char"/>
    <w:basedOn w:val="DefaultParagraphFont"/>
    <w:link w:val="Heading2"/>
    <w:uiPriority w:val="9"/>
    <w:semiHidden/>
    <w:rsid w:val="003C2D7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C2D7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3C2D7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C2D7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C2D7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C2D7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C2D7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C2D7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C2D7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C2D7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C2D7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C2D7F"/>
    <w:rPr>
      <w:rFonts w:asciiTheme="majorHAnsi" w:eastAsiaTheme="majorEastAsia" w:hAnsiTheme="majorHAnsi" w:cstheme="majorBidi"/>
      <w:i/>
      <w:iCs/>
      <w:spacing w:val="13"/>
      <w:sz w:val="24"/>
      <w:szCs w:val="24"/>
    </w:rPr>
  </w:style>
  <w:style w:type="character" w:styleId="Strong">
    <w:name w:val="Strong"/>
    <w:uiPriority w:val="22"/>
    <w:qFormat/>
    <w:rsid w:val="003C2D7F"/>
    <w:rPr>
      <w:b/>
      <w:bCs/>
    </w:rPr>
  </w:style>
  <w:style w:type="character" w:styleId="Emphasis">
    <w:name w:val="Emphasis"/>
    <w:uiPriority w:val="20"/>
    <w:qFormat/>
    <w:rsid w:val="003C2D7F"/>
    <w:rPr>
      <w:b/>
      <w:bCs/>
      <w:i/>
      <w:iCs/>
      <w:spacing w:val="10"/>
      <w:bdr w:val="none" w:sz="0" w:space="0" w:color="auto"/>
      <w:shd w:val="clear" w:color="auto" w:fill="auto"/>
    </w:rPr>
  </w:style>
  <w:style w:type="paragraph" w:styleId="ListParagraph">
    <w:name w:val="List Paragraph"/>
    <w:basedOn w:val="Normal"/>
    <w:uiPriority w:val="34"/>
    <w:qFormat/>
    <w:rsid w:val="003C2D7F"/>
    <w:pPr>
      <w:ind w:left="720"/>
      <w:contextualSpacing/>
    </w:pPr>
  </w:style>
  <w:style w:type="paragraph" w:styleId="Quote">
    <w:name w:val="Quote"/>
    <w:basedOn w:val="Normal"/>
    <w:next w:val="Normal"/>
    <w:link w:val="QuoteChar"/>
    <w:uiPriority w:val="29"/>
    <w:qFormat/>
    <w:rsid w:val="003C2D7F"/>
    <w:pPr>
      <w:spacing w:before="200" w:after="0"/>
      <w:ind w:left="360" w:right="360"/>
    </w:pPr>
    <w:rPr>
      <w:i/>
      <w:iCs/>
    </w:rPr>
  </w:style>
  <w:style w:type="character" w:customStyle="1" w:styleId="QuoteChar">
    <w:name w:val="Quote Char"/>
    <w:basedOn w:val="DefaultParagraphFont"/>
    <w:link w:val="Quote"/>
    <w:uiPriority w:val="29"/>
    <w:rsid w:val="003C2D7F"/>
    <w:rPr>
      <w:i/>
      <w:iCs/>
    </w:rPr>
  </w:style>
  <w:style w:type="paragraph" w:styleId="IntenseQuote">
    <w:name w:val="Intense Quote"/>
    <w:basedOn w:val="Normal"/>
    <w:next w:val="Normal"/>
    <w:link w:val="IntenseQuoteChar"/>
    <w:uiPriority w:val="30"/>
    <w:qFormat/>
    <w:rsid w:val="003C2D7F"/>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C2D7F"/>
    <w:rPr>
      <w:b/>
      <w:bCs/>
      <w:i/>
      <w:iCs/>
    </w:rPr>
  </w:style>
  <w:style w:type="character" w:styleId="IntenseEmphasis">
    <w:name w:val="Intense Emphasis"/>
    <w:uiPriority w:val="21"/>
    <w:qFormat/>
    <w:rsid w:val="003C2D7F"/>
    <w:rPr>
      <w:b/>
      <w:bCs/>
    </w:rPr>
  </w:style>
  <w:style w:type="character" w:styleId="SubtleReference">
    <w:name w:val="Subtle Reference"/>
    <w:uiPriority w:val="31"/>
    <w:qFormat/>
    <w:rsid w:val="003C2D7F"/>
    <w:rPr>
      <w:smallCaps/>
    </w:rPr>
  </w:style>
  <w:style w:type="character" w:styleId="IntenseReference">
    <w:name w:val="Intense Reference"/>
    <w:uiPriority w:val="32"/>
    <w:qFormat/>
    <w:rsid w:val="003C2D7F"/>
    <w:rPr>
      <w:smallCaps/>
      <w:spacing w:val="5"/>
      <w:u w:val="single"/>
    </w:rPr>
  </w:style>
  <w:style w:type="character" w:styleId="BookTitle">
    <w:name w:val="Book Title"/>
    <w:uiPriority w:val="33"/>
    <w:qFormat/>
    <w:rsid w:val="003C2D7F"/>
    <w:rPr>
      <w:i/>
      <w:iCs/>
      <w:smallCaps/>
      <w:spacing w:val="5"/>
    </w:rPr>
  </w:style>
  <w:style w:type="paragraph" w:styleId="TOCHeading">
    <w:name w:val="TOC Heading"/>
    <w:basedOn w:val="Heading1"/>
    <w:next w:val="Normal"/>
    <w:uiPriority w:val="39"/>
    <w:semiHidden/>
    <w:unhideWhenUsed/>
    <w:qFormat/>
    <w:rsid w:val="003C2D7F"/>
    <w:pPr>
      <w:outlineLvl w:val="9"/>
    </w:pPr>
  </w:style>
  <w:style w:type="paragraph" w:styleId="TOC1">
    <w:name w:val="toc 1"/>
    <w:basedOn w:val="Normal"/>
    <w:next w:val="Normal"/>
    <w:autoRedefine/>
    <w:uiPriority w:val="39"/>
    <w:unhideWhenUsed/>
    <w:rsid w:val="0025721B"/>
    <w:pPr>
      <w:spacing w:after="100"/>
    </w:pPr>
  </w:style>
  <w:style w:type="table" w:styleId="MediumList2-Accent4">
    <w:name w:val="Medium List 2 Accent 4"/>
    <w:basedOn w:val="TableNormal"/>
    <w:uiPriority w:val="66"/>
    <w:rsid w:val="001956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1956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rsid w:val="001956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19563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19563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19563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1956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44A5A"/>
    <w:pPr>
      <w:autoSpaceDE w:val="0"/>
      <w:autoSpaceDN w:val="0"/>
      <w:adjustRightInd w:val="0"/>
      <w:spacing w:after="0" w:line="240" w:lineRule="auto"/>
    </w:pPr>
    <w:rPr>
      <w:rFonts w:ascii="Arial" w:eastAsia="SimSun" w:hAnsi="Arial" w:cs="Arial"/>
      <w:color w:val="000000"/>
      <w:sz w:val="24"/>
      <w:szCs w:val="24"/>
      <w:lang w:eastAsia="zh-CN" w:bidi="ar-SA"/>
    </w:rPr>
  </w:style>
  <w:style w:type="character" w:styleId="FootnoteReference">
    <w:name w:val="footnote reference"/>
    <w:aliases w:val="Footnote"/>
    <w:basedOn w:val="DefaultParagraphFont"/>
    <w:unhideWhenUsed/>
    <w:rsid w:val="008168C1"/>
    <w:rPr>
      <w:vertAlign w:val="superscript"/>
    </w:rPr>
  </w:style>
  <w:style w:type="table" w:customStyle="1" w:styleId="LightShading-Accent11">
    <w:name w:val="Light Shading - Accent 11"/>
    <w:basedOn w:val="TableNormal"/>
    <w:uiPriority w:val="60"/>
    <w:rsid w:val="00905F63"/>
    <w:pPr>
      <w:spacing w:after="0" w:line="240" w:lineRule="auto"/>
    </w:pPr>
    <w:rPr>
      <w:rFonts w:eastAsiaTheme="minorHAnsi"/>
      <w:color w:val="365F91" w:themeColor="accent1" w:themeShade="BF"/>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basedOn w:val="DefaultParagraphFont"/>
    <w:link w:val="NoSpacing"/>
    <w:uiPriority w:val="1"/>
    <w:rsid w:val="004A45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7471">
      <w:bodyDiv w:val="1"/>
      <w:marLeft w:val="0"/>
      <w:marRight w:val="0"/>
      <w:marTop w:val="0"/>
      <w:marBottom w:val="0"/>
      <w:divBdr>
        <w:top w:val="none" w:sz="0" w:space="0" w:color="auto"/>
        <w:left w:val="none" w:sz="0" w:space="0" w:color="auto"/>
        <w:bottom w:val="none" w:sz="0" w:space="0" w:color="auto"/>
        <w:right w:val="none" w:sz="0" w:space="0" w:color="auto"/>
      </w:divBdr>
    </w:div>
    <w:div w:id="293557947">
      <w:bodyDiv w:val="1"/>
      <w:marLeft w:val="0"/>
      <w:marRight w:val="0"/>
      <w:marTop w:val="0"/>
      <w:marBottom w:val="0"/>
      <w:divBdr>
        <w:top w:val="none" w:sz="0" w:space="0" w:color="auto"/>
        <w:left w:val="none" w:sz="0" w:space="0" w:color="auto"/>
        <w:bottom w:val="none" w:sz="0" w:space="0" w:color="auto"/>
        <w:right w:val="none" w:sz="0" w:space="0" w:color="auto"/>
      </w:divBdr>
    </w:div>
    <w:div w:id="319314469">
      <w:bodyDiv w:val="1"/>
      <w:marLeft w:val="0"/>
      <w:marRight w:val="0"/>
      <w:marTop w:val="0"/>
      <w:marBottom w:val="0"/>
      <w:divBdr>
        <w:top w:val="none" w:sz="0" w:space="0" w:color="auto"/>
        <w:left w:val="none" w:sz="0" w:space="0" w:color="auto"/>
        <w:bottom w:val="none" w:sz="0" w:space="0" w:color="auto"/>
        <w:right w:val="none" w:sz="0" w:space="0" w:color="auto"/>
      </w:divBdr>
    </w:div>
    <w:div w:id="400569524">
      <w:bodyDiv w:val="1"/>
      <w:marLeft w:val="0"/>
      <w:marRight w:val="0"/>
      <w:marTop w:val="0"/>
      <w:marBottom w:val="0"/>
      <w:divBdr>
        <w:top w:val="none" w:sz="0" w:space="0" w:color="auto"/>
        <w:left w:val="none" w:sz="0" w:space="0" w:color="auto"/>
        <w:bottom w:val="none" w:sz="0" w:space="0" w:color="auto"/>
        <w:right w:val="none" w:sz="0" w:space="0" w:color="auto"/>
      </w:divBdr>
    </w:div>
    <w:div w:id="439372535">
      <w:bodyDiv w:val="1"/>
      <w:marLeft w:val="0"/>
      <w:marRight w:val="0"/>
      <w:marTop w:val="0"/>
      <w:marBottom w:val="0"/>
      <w:divBdr>
        <w:top w:val="none" w:sz="0" w:space="0" w:color="auto"/>
        <w:left w:val="none" w:sz="0" w:space="0" w:color="auto"/>
        <w:bottom w:val="none" w:sz="0" w:space="0" w:color="auto"/>
        <w:right w:val="none" w:sz="0" w:space="0" w:color="auto"/>
      </w:divBdr>
    </w:div>
    <w:div w:id="443615010">
      <w:bodyDiv w:val="1"/>
      <w:marLeft w:val="0"/>
      <w:marRight w:val="0"/>
      <w:marTop w:val="0"/>
      <w:marBottom w:val="0"/>
      <w:divBdr>
        <w:top w:val="none" w:sz="0" w:space="0" w:color="auto"/>
        <w:left w:val="none" w:sz="0" w:space="0" w:color="auto"/>
        <w:bottom w:val="none" w:sz="0" w:space="0" w:color="auto"/>
        <w:right w:val="none" w:sz="0" w:space="0" w:color="auto"/>
      </w:divBdr>
    </w:div>
    <w:div w:id="447745878">
      <w:bodyDiv w:val="1"/>
      <w:marLeft w:val="0"/>
      <w:marRight w:val="0"/>
      <w:marTop w:val="0"/>
      <w:marBottom w:val="0"/>
      <w:divBdr>
        <w:top w:val="none" w:sz="0" w:space="0" w:color="auto"/>
        <w:left w:val="none" w:sz="0" w:space="0" w:color="auto"/>
        <w:bottom w:val="none" w:sz="0" w:space="0" w:color="auto"/>
        <w:right w:val="none" w:sz="0" w:space="0" w:color="auto"/>
      </w:divBdr>
    </w:div>
    <w:div w:id="451366110">
      <w:bodyDiv w:val="1"/>
      <w:marLeft w:val="0"/>
      <w:marRight w:val="0"/>
      <w:marTop w:val="0"/>
      <w:marBottom w:val="0"/>
      <w:divBdr>
        <w:top w:val="none" w:sz="0" w:space="0" w:color="auto"/>
        <w:left w:val="none" w:sz="0" w:space="0" w:color="auto"/>
        <w:bottom w:val="none" w:sz="0" w:space="0" w:color="auto"/>
        <w:right w:val="none" w:sz="0" w:space="0" w:color="auto"/>
      </w:divBdr>
    </w:div>
    <w:div w:id="512916545">
      <w:bodyDiv w:val="1"/>
      <w:marLeft w:val="0"/>
      <w:marRight w:val="0"/>
      <w:marTop w:val="0"/>
      <w:marBottom w:val="0"/>
      <w:divBdr>
        <w:top w:val="none" w:sz="0" w:space="0" w:color="auto"/>
        <w:left w:val="none" w:sz="0" w:space="0" w:color="auto"/>
        <w:bottom w:val="none" w:sz="0" w:space="0" w:color="auto"/>
        <w:right w:val="none" w:sz="0" w:space="0" w:color="auto"/>
      </w:divBdr>
    </w:div>
    <w:div w:id="605388082">
      <w:bodyDiv w:val="1"/>
      <w:marLeft w:val="0"/>
      <w:marRight w:val="0"/>
      <w:marTop w:val="0"/>
      <w:marBottom w:val="0"/>
      <w:divBdr>
        <w:top w:val="none" w:sz="0" w:space="0" w:color="auto"/>
        <w:left w:val="none" w:sz="0" w:space="0" w:color="auto"/>
        <w:bottom w:val="none" w:sz="0" w:space="0" w:color="auto"/>
        <w:right w:val="none" w:sz="0" w:space="0" w:color="auto"/>
      </w:divBdr>
    </w:div>
    <w:div w:id="733822788">
      <w:bodyDiv w:val="1"/>
      <w:marLeft w:val="0"/>
      <w:marRight w:val="0"/>
      <w:marTop w:val="0"/>
      <w:marBottom w:val="0"/>
      <w:divBdr>
        <w:top w:val="none" w:sz="0" w:space="0" w:color="auto"/>
        <w:left w:val="none" w:sz="0" w:space="0" w:color="auto"/>
        <w:bottom w:val="none" w:sz="0" w:space="0" w:color="auto"/>
        <w:right w:val="none" w:sz="0" w:space="0" w:color="auto"/>
      </w:divBdr>
      <w:divsChild>
        <w:div w:id="2037611703">
          <w:marLeft w:val="547"/>
          <w:marRight w:val="0"/>
          <w:marTop w:val="0"/>
          <w:marBottom w:val="0"/>
          <w:divBdr>
            <w:top w:val="none" w:sz="0" w:space="0" w:color="auto"/>
            <w:left w:val="none" w:sz="0" w:space="0" w:color="auto"/>
            <w:bottom w:val="none" w:sz="0" w:space="0" w:color="auto"/>
            <w:right w:val="none" w:sz="0" w:space="0" w:color="auto"/>
          </w:divBdr>
        </w:div>
      </w:divsChild>
    </w:div>
    <w:div w:id="787507300">
      <w:bodyDiv w:val="1"/>
      <w:marLeft w:val="0"/>
      <w:marRight w:val="0"/>
      <w:marTop w:val="0"/>
      <w:marBottom w:val="0"/>
      <w:divBdr>
        <w:top w:val="none" w:sz="0" w:space="0" w:color="auto"/>
        <w:left w:val="none" w:sz="0" w:space="0" w:color="auto"/>
        <w:bottom w:val="none" w:sz="0" w:space="0" w:color="auto"/>
        <w:right w:val="none" w:sz="0" w:space="0" w:color="auto"/>
      </w:divBdr>
    </w:div>
    <w:div w:id="805321744">
      <w:bodyDiv w:val="1"/>
      <w:marLeft w:val="0"/>
      <w:marRight w:val="0"/>
      <w:marTop w:val="0"/>
      <w:marBottom w:val="0"/>
      <w:divBdr>
        <w:top w:val="none" w:sz="0" w:space="0" w:color="auto"/>
        <w:left w:val="none" w:sz="0" w:space="0" w:color="auto"/>
        <w:bottom w:val="none" w:sz="0" w:space="0" w:color="auto"/>
        <w:right w:val="none" w:sz="0" w:space="0" w:color="auto"/>
      </w:divBdr>
      <w:divsChild>
        <w:div w:id="1905020861">
          <w:marLeft w:val="547"/>
          <w:marRight w:val="0"/>
          <w:marTop w:val="0"/>
          <w:marBottom w:val="0"/>
          <w:divBdr>
            <w:top w:val="none" w:sz="0" w:space="0" w:color="auto"/>
            <w:left w:val="none" w:sz="0" w:space="0" w:color="auto"/>
            <w:bottom w:val="none" w:sz="0" w:space="0" w:color="auto"/>
            <w:right w:val="none" w:sz="0" w:space="0" w:color="auto"/>
          </w:divBdr>
        </w:div>
      </w:divsChild>
    </w:div>
    <w:div w:id="916744968">
      <w:bodyDiv w:val="1"/>
      <w:marLeft w:val="0"/>
      <w:marRight w:val="0"/>
      <w:marTop w:val="0"/>
      <w:marBottom w:val="0"/>
      <w:divBdr>
        <w:top w:val="none" w:sz="0" w:space="0" w:color="auto"/>
        <w:left w:val="none" w:sz="0" w:space="0" w:color="auto"/>
        <w:bottom w:val="none" w:sz="0" w:space="0" w:color="auto"/>
        <w:right w:val="none" w:sz="0" w:space="0" w:color="auto"/>
      </w:divBdr>
    </w:div>
    <w:div w:id="1034118215">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047528127">
      <w:bodyDiv w:val="1"/>
      <w:marLeft w:val="0"/>
      <w:marRight w:val="0"/>
      <w:marTop w:val="0"/>
      <w:marBottom w:val="0"/>
      <w:divBdr>
        <w:top w:val="none" w:sz="0" w:space="0" w:color="auto"/>
        <w:left w:val="none" w:sz="0" w:space="0" w:color="auto"/>
        <w:bottom w:val="none" w:sz="0" w:space="0" w:color="auto"/>
        <w:right w:val="none" w:sz="0" w:space="0" w:color="auto"/>
      </w:divBdr>
    </w:div>
    <w:div w:id="1048142246">
      <w:bodyDiv w:val="1"/>
      <w:marLeft w:val="0"/>
      <w:marRight w:val="0"/>
      <w:marTop w:val="0"/>
      <w:marBottom w:val="0"/>
      <w:divBdr>
        <w:top w:val="none" w:sz="0" w:space="0" w:color="auto"/>
        <w:left w:val="none" w:sz="0" w:space="0" w:color="auto"/>
        <w:bottom w:val="none" w:sz="0" w:space="0" w:color="auto"/>
        <w:right w:val="none" w:sz="0" w:space="0" w:color="auto"/>
      </w:divBdr>
    </w:div>
    <w:div w:id="1140151451">
      <w:bodyDiv w:val="1"/>
      <w:marLeft w:val="0"/>
      <w:marRight w:val="0"/>
      <w:marTop w:val="0"/>
      <w:marBottom w:val="0"/>
      <w:divBdr>
        <w:top w:val="none" w:sz="0" w:space="0" w:color="auto"/>
        <w:left w:val="none" w:sz="0" w:space="0" w:color="auto"/>
        <w:bottom w:val="none" w:sz="0" w:space="0" w:color="auto"/>
        <w:right w:val="none" w:sz="0" w:space="0" w:color="auto"/>
      </w:divBdr>
    </w:div>
    <w:div w:id="1155146784">
      <w:bodyDiv w:val="1"/>
      <w:marLeft w:val="0"/>
      <w:marRight w:val="0"/>
      <w:marTop w:val="0"/>
      <w:marBottom w:val="0"/>
      <w:divBdr>
        <w:top w:val="none" w:sz="0" w:space="0" w:color="auto"/>
        <w:left w:val="none" w:sz="0" w:space="0" w:color="auto"/>
        <w:bottom w:val="none" w:sz="0" w:space="0" w:color="auto"/>
        <w:right w:val="none" w:sz="0" w:space="0" w:color="auto"/>
      </w:divBdr>
    </w:div>
    <w:div w:id="1227299365">
      <w:bodyDiv w:val="1"/>
      <w:marLeft w:val="0"/>
      <w:marRight w:val="0"/>
      <w:marTop w:val="0"/>
      <w:marBottom w:val="0"/>
      <w:divBdr>
        <w:top w:val="none" w:sz="0" w:space="0" w:color="auto"/>
        <w:left w:val="none" w:sz="0" w:space="0" w:color="auto"/>
        <w:bottom w:val="none" w:sz="0" w:space="0" w:color="auto"/>
        <w:right w:val="none" w:sz="0" w:space="0" w:color="auto"/>
      </w:divBdr>
      <w:divsChild>
        <w:div w:id="660619294">
          <w:marLeft w:val="547"/>
          <w:marRight w:val="0"/>
          <w:marTop w:val="0"/>
          <w:marBottom w:val="0"/>
          <w:divBdr>
            <w:top w:val="none" w:sz="0" w:space="0" w:color="auto"/>
            <w:left w:val="none" w:sz="0" w:space="0" w:color="auto"/>
            <w:bottom w:val="none" w:sz="0" w:space="0" w:color="auto"/>
            <w:right w:val="none" w:sz="0" w:space="0" w:color="auto"/>
          </w:divBdr>
        </w:div>
      </w:divsChild>
    </w:div>
    <w:div w:id="1241214281">
      <w:bodyDiv w:val="1"/>
      <w:marLeft w:val="0"/>
      <w:marRight w:val="0"/>
      <w:marTop w:val="0"/>
      <w:marBottom w:val="0"/>
      <w:divBdr>
        <w:top w:val="none" w:sz="0" w:space="0" w:color="auto"/>
        <w:left w:val="none" w:sz="0" w:space="0" w:color="auto"/>
        <w:bottom w:val="none" w:sz="0" w:space="0" w:color="auto"/>
        <w:right w:val="none" w:sz="0" w:space="0" w:color="auto"/>
      </w:divBdr>
      <w:divsChild>
        <w:div w:id="1809590507">
          <w:marLeft w:val="547"/>
          <w:marRight w:val="0"/>
          <w:marTop w:val="0"/>
          <w:marBottom w:val="0"/>
          <w:divBdr>
            <w:top w:val="none" w:sz="0" w:space="0" w:color="auto"/>
            <w:left w:val="none" w:sz="0" w:space="0" w:color="auto"/>
            <w:bottom w:val="none" w:sz="0" w:space="0" w:color="auto"/>
            <w:right w:val="none" w:sz="0" w:space="0" w:color="auto"/>
          </w:divBdr>
        </w:div>
      </w:divsChild>
    </w:div>
    <w:div w:id="1279025664">
      <w:bodyDiv w:val="1"/>
      <w:marLeft w:val="0"/>
      <w:marRight w:val="0"/>
      <w:marTop w:val="0"/>
      <w:marBottom w:val="0"/>
      <w:divBdr>
        <w:top w:val="none" w:sz="0" w:space="0" w:color="auto"/>
        <w:left w:val="none" w:sz="0" w:space="0" w:color="auto"/>
        <w:bottom w:val="none" w:sz="0" w:space="0" w:color="auto"/>
        <w:right w:val="none" w:sz="0" w:space="0" w:color="auto"/>
      </w:divBdr>
    </w:div>
    <w:div w:id="1393387063">
      <w:bodyDiv w:val="1"/>
      <w:marLeft w:val="0"/>
      <w:marRight w:val="0"/>
      <w:marTop w:val="0"/>
      <w:marBottom w:val="0"/>
      <w:divBdr>
        <w:top w:val="none" w:sz="0" w:space="0" w:color="auto"/>
        <w:left w:val="none" w:sz="0" w:space="0" w:color="auto"/>
        <w:bottom w:val="none" w:sz="0" w:space="0" w:color="auto"/>
        <w:right w:val="none" w:sz="0" w:space="0" w:color="auto"/>
      </w:divBdr>
      <w:divsChild>
        <w:div w:id="1229148781">
          <w:marLeft w:val="547"/>
          <w:marRight w:val="0"/>
          <w:marTop w:val="0"/>
          <w:marBottom w:val="0"/>
          <w:divBdr>
            <w:top w:val="none" w:sz="0" w:space="0" w:color="auto"/>
            <w:left w:val="none" w:sz="0" w:space="0" w:color="auto"/>
            <w:bottom w:val="none" w:sz="0" w:space="0" w:color="auto"/>
            <w:right w:val="none" w:sz="0" w:space="0" w:color="auto"/>
          </w:divBdr>
        </w:div>
      </w:divsChild>
    </w:div>
    <w:div w:id="1417559129">
      <w:bodyDiv w:val="1"/>
      <w:marLeft w:val="0"/>
      <w:marRight w:val="0"/>
      <w:marTop w:val="0"/>
      <w:marBottom w:val="0"/>
      <w:divBdr>
        <w:top w:val="none" w:sz="0" w:space="0" w:color="auto"/>
        <w:left w:val="none" w:sz="0" w:space="0" w:color="auto"/>
        <w:bottom w:val="none" w:sz="0" w:space="0" w:color="auto"/>
        <w:right w:val="none" w:sz="0" w:space="0" w:color="auto"/>
      </w:divBdr>
    </w:div>
    <w:div w:id="1439787779">
      <w:bodyDiv w:val="1"/>
      <w:marLeft w:val="0"/>
      <w:marRight w:val="0"/>
      <w:marTop w:val="0"/>
      <w:marBottom w:val="0"/>
      <w:divBdr>
        <w:top w:val="none" w:sz="0" w:space="0" w:color="auto"/>
        <w:left w:val="none" w:sz="0" w:space="0" w:color="auto"/>
        <w:bottom w:val="none" w:sz="0" w:space="0" w:color="auto"/>
        <w:right w:val="none" w:sz="0" w:space="0" w:color="auto"/>
      </w:divBdr>
    </w:div>
    <w:div w:id="1564949424">
      <w:bodyDiv w:val="1"/>
      <w:marLeft w:val="0"/>
      <w:marRight w:val="0"/>
      <w:marTop w:val="0"/>
      <w:marBottom w:val="0"/>
      <w:divBdr>
        <w:top w:val="none" w:sz="0" w:space="0" w:color="auto"/>
        <w:left w:val="none" w:sz="0" w:space="0" w:color="auto"/>
        <w:bottom w:val="none" w:sz="0" w:space="0" w:color="auto"/>
        <w:right w:val="none" w:sz="0" w:space="0" w:color="auto"/>
      </w:divBdr>
    </w:div>
    <w:div w:id="1596475716">
      <w:bodyDiv w:val="1"/>
      <w:marLeft w:val="0"/>
      <w:marRight w:val="0"/>
      <w:marTop w:val="0"/>
      <w:marBottom w:val="0"/>
      <w:divBdr>
        <w:top w:val="none" w:sz="0" w:space="0" w:color="auto"/>
        <w:left w:val="none" w:sz="0" w:space="0" w:color="auto"/>
        <w:bottom w:val="none" w:sz="0" w:space="0" w:color="auto"/>
        <w:right w:val="none" w:sz="0" w:space="0" w:color="auto"/>
      </w:divBdr>
    </w:div>
    <w:div w:id="1614286564">
      <w:bodyDiv w:val="1"/>
      <w:marLeft w:val="0"/>
      <w:marRight w:val="0"/>
      <w:marTop w:val="0"/>
      <w:marBottom w:val="0"/>
      <w:divBdr>
        <w:top w:val="none" w:sz="0" w:space="0" w:color="auto"/>
        <w:left w:val="none" w:sz="0" w:space="0" w:color="auto"/>
        <w:bottom w:val="none" w:sz="0" w:space="0" w:color="auto"/>
        <w:right w:val="none" w:sz="0" w:space="0" w:color="auto"/>
      </w:divBdr>
    </w:div>
    <w:div w:id="1620380770">
      <w:bodyDiv w:val="1"/>
      <w:marLeft w:val="0"/>
      <w:marRight w:val="0"/>
      <w:marTop w:val="0"/>
      <w:marBottom w:val="0"/>
      <w:divBdr>
        <w:top w:val="none" w:sz="0" w:space="0" w:color="auto"/>
        <w:left w:val="none" w:sz="0" w:space="0" w:color="auto"/>
        <w:bottom w:val="none" w:sz="0" w:space="0" w:color="auto"/>
        <w:right w:val="none" w:sz="0" w:space="0" w:color="auto"/>
      </w:divBdr>
    </w:div>
    <w:div w:id="1740442967">
      <w:bodyDiv w:val="1"/>
      <w:marLeft w:val="0"/>
      <w:marRight w:val="0"/>
      <w:marTop w:val="0"/>
      <w:marBottom w:val="0"/>
      <w:divBdr>
        <w:top w:val="none" w:sz="0" w:space="0" w:color="auto"/>
        <w:left w:val="none" w:sz="0" w:space="0" w:color="auto"/>
        <w:bottom w:val="none" w:sz="0" w:space="0" w:color="auto"/>
        <w:right w:val="none" w:sz="0" w:space="0" w:color="auto"/>
      </w:divBdr>
    </w:div>
    <w:div w:id="1774012847">
      <w:bodyDiv w:val="1"/>
      <w:marLeft w:val="0"/>
      <w:marRight w:val="0"/>
      <w:marTop w:val="0"/>
      <w:marBottom w:val="0"/>
      <w:divBdr>
        <w:top w:val="none" w:sz="0" w:space="0" w:color="auto"/>
        <w:left w:val="none" w:sz="0" w:space="0" w:color="auto"/>
        <w:bottom w:val="none" w:sz="0" w:space="0" w:color="auto"/>
        <w:right w:val="none" w:sz="0" w:space="0" w:color="auto"/>
      </w:divBdr>
    </w:div>
    <w:div w:id="1899896759">
      <w:bodyDiv w:val="1"/>
      <w:marLeft w:val="0"/>
      <w:marRight w:val="0"/>
      <w:marTop w:val="0"/>
      <w:marBottom w:val="0"/>
      <w:divBdr>
        <w:top w:val="none" w:sz="0" w:space="0" w:color="auto"/>
        <w:left w:val="none" w:sz="0" w:space="0" w:color="auto"/>
        <w:bottom w:val="none" w:sz="0" w:space="0" w:color="auto"/>
        <w:right w:val="none" w:sz="0" w:space="0" w:color="auto"/>
      </w:divBdr>
      <w:divsChild>
        <w:div w:id="49036942">
          <w:marLeft w:val="547"/>
          <w:marRight w:val="0"/>
          <w:marTop w:val="0"/>
          <w:marBottom w:val="0"/>
          <w:divBdr>
            <w:top w:val="none" w:sz="0" w:space="0" w:color="auto"/>
            <w:left w:val="none" w:sz="0" w:space="0" w:color="auto"/>
            <w:bottom w:val="none" w:sz="0" w:space="0" w:color="auto"/>
            <w:right w:val="none" w:sz="0" w:space="0" w:color="auto"/>
          </w:divBdr>
        </w:div>
      </w:divsChild>
    </w:div>
    <w:div w:id="1944268317">
      <w:bodyDiv w:val="1"/>
      <w:marLeft w:val="0"/>
      <w:marRight w:val="0"/>
      <w:marTop w:val="0"/>
      <w:marBottom w:val="0"/>
      <w:divBdr>
        <w:top w:val="none" w:sz="0" w:space="0" w:color="auto"/>
        <w:left w:val="none" w:sz="0" w:space="0" w:color="auto"/>
        <w:bottom w:val="none" w:sz="0" w:space="0" w:color="auto"/>
        <w:right w:val="none" w:sz="0" w:space="0" w:color="auto"/>
      </w:divBdr>
    </w:div>
    <w:div w:id="1959680321">
      <w:bodyDiv w:val="1"/>
      <w:marLeft w:val="0"/>
      <w:marRight w:val="0"/>
      <w:marTop w:val="0"/>
      <w:marBottom w:val="0"/>
      <w:divBdr>
        <w:top w:val="none" w:sz="0" w:space="0" w:color="auto"/>
        <w:left w:val="none" w:sz="0" w:space="0" w:color="auto"/>
        <w:bottom w:val="none" w:sz="0" w:space="0" w:color="auto"/>
        <w:right w:val="none" w:sz="0" w:space="0" w:color="auto"/>
      </w:divBdr>
    </w:div>
    <w:div w:id="2111468823">
      <w:bodyDiv w:val="1"/>
      <w:marLeft w:val="0"/>
      <w:marRight w:val="0"/>
      <w:marTop w:val="0"/>
      <w:marBottom w:val="0"/>
      <w:divBdr>
        <w:top w:val="none" w:sz="0" w:space="0" w:color="auto"/>
        <w:left w:val="none" w:sz="0" w:space="0" w:color="auto"/>
        <w:bottom w:val="none" w:sz="0" w:space="0" w:color="auto"/>
        <w:right w:val="none" w:sz="0" w:space="0" w:color="auto"/>
      </w:divBdr>
    </w:div>
    <w:div w:id="21155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diagramLayout" Target="diagrams/layout1.xml"/><Relationship Id="rId26" Type="http://schemas.openxmlformats.org/officeDocument/2006/relationships/image" Target="media/image5.emf"/><Relationship Id="rId39" Type="http://schemas.openxmlformats.org/officeDocument/2006/relationships/diagramColors" Target="diagrams/colors2.xml"/><Relationship Id="rId21" Type="http://schemas.microsoft.com/office/2007/relationships/diagramDrawing" Target="diagrams/drawing1.xml"/><Relationship Id="rId34" Type="http://schemas.openxmlformats.org/officeDocument/2006/relationships/chart" Target="charts/chart9.xml"/><Relationship Id="rId42" Type="http://schemas.openxmlformats.org/officeDocument/2006/relationships/package" Target="embeddings/Microsoft_Excel_Worksheet15.xlsx"/><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diagramColors" Target="diagrams/colors3.xml"/><Relationship Id="rId63" Type="http://schemas.openxmlformats.org/officeDocument/2006/relationships/diagramLayout" Target="diagrams/layout4.xml"/><Relationship Id="rId68" Type="http://schemas.openxmlformats.org/officeDocument/2006/relationships/package" Target="embeddings/Microsoft_Excel_Worksheet29.xlsx"/><Relationship Id="rId76" Type="http://schemas.openxmlformats.org/officeDocument/2006/relationships/image" Target="media/image9.emf"/><Relationship Id="rId84" Type="http://schemas.microsoft.com/office/2007/relationships/diagramDrawing" Target="diagrams/drawing6.xml"/><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diagramData" Target="diagrams/data5.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4.xml"/><Relationship Id="rId11" Type="http://schemas.openxmlformats.org/officeDocument/2006/relationships/chart" Target="charts/chart1.xml"/><Relationship Id="rId24" Type="http://schemas.openxmlformats.org/officeDocument/2006/relationships/image" Target="media/image4.emf"/><Relationship Id="rId32" Type="http://schemas.openxmlformats.org/officeDocument/2006/relationships/chart" Target="charts/chart7.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13.xml"/><Relationship Id="rId53" Type="http://schemas.openxmlformats.org/officeDocument/2006/relationships/diagramLayout" Target="diagrams/layout3.xml"/><Relationship Id="rId58" Type="http://schemas.openxmlformats.org/officeDocument/2006/relationships/package" Target="embeddings/Microsoft_Excel_Worksheet25.xlsx"/><Relationship Id="rId66" Type="http://schemas.microsoft.com/office/2007/relationships/diagramDrawing" Target="diagrams/drawing4.xml"/><Relationship Id="rId74" Type="http://schemas.openxmlformats.org/officeDocument/2006/relationships/diagramColors" Target="diagrams/colors5.xml"/><Relationship Id="rId79" Type="http://schemas.openxmlformats.org/officeDocument/2006/relationships/package" Target="embeddings/Microsoft_Excel_Worksheet33.xlsx"/><Relationship Id="rId87" Type="http://schemas.openxmlformats.org/officeDocument/2006/relationships/chart" Target="charts/chart27.xml"/><Relationship Id="rId5" Type="http://schemas.microsoft.com/office/2007/relationships/stylesWithEffects" Target="stylesWithEffects.xml"/><Relationship Id="rId61" Type="http://schemas.openxmlformats.org/officeDocument/2006/relationships/chart" Target="charts/chart22.xml"/><Relationship Id="rId82" Type="http://schemas.openxmlformats.org/officeDocument/2006/relationships/diagramQuickStyle" Target="diagrams/quickStyle6.xml"/><Relationship Id="rId90" Type="http://schemas.openxmlformats.org/officeDocument/2006/relationships/theme" Target="theme/theme1.xm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package" Target="embeddings/Microsoft_Excel_Worksheet6.xlsx"/><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1.xml"/><Relationship Id="rId48" Type="http://schemas.openxmlformats.org/officeDocument/2006/relationships/chart" Target="charts/chart16.xml"/><Relationship Id="rId56" Type="http://schemas.microsoft.com/office/2007/relationships/diagramDrawing" Target="diagrams/drawing3.xml"/><Relationship Id="rId64" Type="http://schemas.openxmlformats.org/officeDocument/2006/relationships/diagramQuickStyle" Target="diagrams/quickStyle4.xml"/><Relationship Id="rId69" Type="http://schemas.openxmlformats.org/officeDocument/2006/relationships/chart" Target="charts/chart23.xml"/><Relationship Id="rId77" Type="http://schemas.openxmlformats.org/officeDocument/2006/relationships/package" Target="embeddings/Microsoft_Excel_Worksheet32.xlsx"/><Relationship Id="rId8" Type="http://schemas.openxmlformats.org/officeDocument/2006/relationships/footnotes" Target="footnotes.xml"/><Relationship Id="rId51" Type="http://schemas.openxmlformats.org/officeDocument/2006/relationships/chart" Target="charts/chart19.xml"/><Relationship Id="rId72" Type="http://schemas.openxmlformats.org/officeDocument/2006/relationships/diagramLayout" Target="diagrams/layout5.xml"/><Relationship Id="rId80" Type="http://schemas.openxmlformats.org/officeDocument/2006/relationships/diagramData" Target="diagrams/data6.xml"/><Relationship Id="rId85" Type="http://schemas.openxmlformats.org/officeDocument/2006/relationships/chart" Target="charts/chart25.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diagramData" Target="diagrams/data1.xml"/><Relationship Id="rId25" Type="http://schemas.openxmlformats.org/officeDocument/2006/relationships/package" Target="embeddings/Microsoft_Excel_Worksheet5.xlsx"/><Relationship Id="rId33" Type="http://schemas.openxmlformats.org/officeDocument/2006/relationships/chart" Target="charts/chart8.xml"/><Relationship Id="rId38" Type="http://schemas.openxmlformats.org/officeDocument/2006/relationships/diagramQuickStyle" Target="diagrams/quickStyle2.xml"/><Relationship Id="rId46" Type="http://schemas.openxmlformats.org/officeDocument/2006/relationships/chart" Target="charts/chart14.xml"/><Relationship Id="rId59" Type="http://schemas.openxmlformats.org/officeDocument/2006/relationships/chart" Target="charts/chart20.xml"/><Relationship Id="rId67" Type="http://schemas.openxmlformats.org/officeDocument/2006/relationships/image" Target="media/image8.emf"/><Relationship Id="rId20" Type="http://schemas.openxmlformats.org/officeDocument/2006/relationships/diagramColors" Target="diagrams/colors1.xml"/><Relationship Id="rId41" Type="http://schemas.openxmlformats.org/officeDocument/2006/relationships/image" Target="media/image6.emf"/><Relationship Id="rId54" Type="http://schemas.openxmlformats.org/officeDocument/2006/relationships/diagramQuickStyle" Target="diagrams/quickStyle3.xml"/><Relationship Id="rId62" Type="http://schemas.openxmlformats.org/officeDocument/2006/relationships/diagramData" Target="diagrams/data4.xml"/><Relationship Id="rId70" Type="http://schemas.openxmlformats.org/officeDocument/2006/relationships/chart" Target="charts/chart24.xml"/><Relationship Id="rId75" Type="http://schemas.microsoft.com/office/2007/relationships/diagramDrawing" Target="diagrams/drawing5.xml"/><Relationship Id="rId83" Type="http://schemas.openxmlformats.org/officeDocument/2006/relationships/diagramColors" Target="diagrams/colors6.xml"/><Relationship Id="rId88"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footer" Target="footer1.xml"/><Relationship Id="rId28" Type="http://schemas.openxmlformats.org/officeDocument/2006/relationships/chart" Target="charts/chart3.xml"/><Relationship Id="rId36" Type="http://schemas.openxmlformats.org/officeDocument/2006/relationships/diagramData" Target="diagrams/data2.xml"/><Relationship Id="rId49" Type="http://schemas.openxmlformats.org/officeDocument/2006/relationships/chart" Target="charts/chart17.xml"/><Relationship Id="rId57" Type="http://schemas.openxmlformats.org/officeDocument/2006/relationships/image" Target="media/image7.emf"/><Relationship Id="rId10" Type="http://schemas.openxmlformats.org/officeDocument/2006/relationships/image" Target="media/image1.jpeg"/><Relationship Id="rId31" Type="http://schemas.openxmlformats.org/officeDocument/2006/relationships/chart" Target="charts/chart6.xml"/><Relationship Id="rId44" Type="http://schemas.openxmlformats.org/officeDocument/2006/relationships/chart" Target="charts/chart12.xml"/><Relationship Id="rId52" Type="http://schemas.openxmlformats.org/officeDocument/2006/relationships/diagramData" Target="diagrams/data3.xml"/><Relationship Id="rId60" Type="http://schemas.openxmlformats.org/officeDocument/2006/relationships/chart" Target="charts/chart21.xml"/><Relationship Id="rId65" Type="http://schemas.openxmlformats.org/officeDocument/2006/relationships/diagramColors" Target="diagrams/colors4.xml"/><Relationship Id="rId73" Type="http://schemas.openxmlformats.org/officeDocument/2006/relationships/diagramQuickStyle" Target="diagrams/quickStyle5.xml"/><Relationship Id="rId78" Type="http://schemas.openxmlformats.org/officeDocument/2006/relationships/image" Target="media/image10.emf"/><Relationship Id="rId81" Type="http://schemas.openxmlformats.org/officeDocument/2006/relationships/diagramLayout" Target="diagrams/layout6.xml"/><Relationship Id="rId86" Type="http://schemas.openxmlformats.org/officeDocument/2006/relationships/chart" Target="charts/chart2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Нотифицирани</c:v>
                </c:pt>
              </c:strCache>
            </c:strRef>
          </c:tx>
          <c:invertIfNegative val="0"/>
          <c:dLbls>
            <c:showLegendKey val="0"/>
            <c:showVal val="1"/>
            <c:showCatName val="0"/>
            <c:showSerName val="0"/>
            <c:showPercent val="0"/>
            <c:showBubbleSize val="0"/>
            <c:showLeaderLines val="0"/>
          </c:dLbls>
          <c:cat>
            <c:strRef>
              <c:f>Sheet1!$A$2:$A$8</c:f>
              <c:strCache>
                <c:ptCount val="7"/>
                <c:pt idx="0">
                  <c:v>У1</c:v>
                </c:pt>
                <c:pt idx="1">
                  <c:v>У2</c:v>
                </c:pt>
                <c:pt idx="2">
                  <c:v>У3</c:v>
                </c:pt>
                <c:pt idx="3">
                  <c:v>У4</c:v>
                </c:pt>
                <c:pt idx="4">
                  <c:v>У5</c:v>
                </c:pt>
                <c:pt idx="5">
                  <c:v>У6</c:v>
                </c:pt>
                <c:pt idx="6">
                  <c:v>У7</c:v>
                </c:pt>
              </c:strCache>
            </c:strRef>
          </c:cat>
          <c:val>
            <c:numRef>
              <c:f>Sheet1!$B$2:$B$8</c:f>
              <c:numCache>
                <c:formatCode>General</c:formatCode>
                <c:ptCount val="7"/>
                <c:pt idx="0">
                  <c:v>43</c:v>
                </c:pt>
                <c:pt idx="1">
                  <c:v>5</c:v>
                </c:pt>
                <c:pt idx="2">
                  <c:v>17</c:v>
                </c:pt>
                <c:pt idx="3">
                  <c:v>110</c:v>
                </c:pt>
                <c:pt idx="4">
                  <c:v>86</c:v>
                </c:pt>
                <c:pt idx="5">
                  <c:v>23</c:v>
                </c:pt>
                <c:pt idx="6">
                  <c:v>16</c:v>
                </c:pt>
              </c:numCache>
            </c:numRef>
          </c:val>
        </c:ser>
        <c:ser>
          <c:idx val="1"/>
          <c:order val="1"/>
          <c:tx>
            <c:strRef>
              <c:f>Sheet1!$C$1</c:f>
              <c:strCache>
                <c:ptCount val="1"/>
                <c:pt idx="0">
                  <c:v>Активни</c:v>
                </c:pt>
              </c:strCache>
            </c:strRef>
          </c:tx>
          <c:invertIfNegative val="0"/>
          <c:dLbls>
            <c:showLegendKey val="0"/>
            <c:showVal val="1"/>
            <c:showCatName val="0"/>
            <c:showSerName val="0"/>
            <c:showPercent val="0"/>
            <c:showBubbleSize val="0"/>
            <c:showLeaderLines val="0"/>
          </c:dLbls>
          <c:cat>
            <c:strRef>
              <c:f>Sheet1!$A$2:$A$8</c:f>
              <c:strCache>
                <c:ptCount val="7"/>
                <c:pt idx="0">
                  <c:v>У1</c:v>
                </c:pt>
                <c:pt idx="1">
                  <c:v>У2</c:v>
                </c:pt>
                <c:pt idx="2">
                  <c:v>У3</c:v>
                </c:pt>
                <c:pt idx="3">
                  <c:v>У4</c:v>
                </c:pt>
                <c:pt idx="4">
                  <c:v>У5</c:v>
                </c:pt>
                <c:pt idx="5">
                  <c:v>У6</c:v>
                </c:pt>
                <c:pt idx="6">
                  <c:v>У7</c:v>
                </c:pt>
              </c:strCache>
            </c:strRef>
          </c:cat>
          <c:val>
            <c:numRef>
              <c:f>Sheet1!$C$2:$C$8</c:f>
              <c:numCache>
                <c:formatCode>General</c:formatCode>
                <c:ptCount val="7"/>
                <c:pt idx="0">
                  <c:v>38</c:v>
                </c:pt>
                <c:pt idx="1">
                  <c:v>3</c:v>
                </c:pt>
                <c:pt idx="2">
                  <c:v>14</c:v>
                </c:pt>
                <c:pt idx="3">
                  <c:v>100</c:v>
                </c:pt>
                <c:pt idx="4">
                  <c:v>83</c:v>
                </c:pt>
                <c:pt idx="5">
                  <c:v>19</c:v>
                </c:pt>
                <c:pt idx="6">
                  <c:v>15</c:v>
                </c:pt>
              </c:numCache>
            </c:numRef>
          </c:val>
        </c:ser>
        <c:dLbls>
          <c:showLegendKey val="0"/>
          <c:showVal val="0"/>
          <c:showCatName val="0"/>
          <c:showSerName val="0"/>
          <c:showPercent val="0"/>
          <c:showBubbleSize val="0"/>
        </c:dLbls>
        <c:gapWidth val="150"/>
        <c:axId val="160908800"/>
        <c:axId val="160910336"/>
      </c:barChart>
      <c:catAx>
        <c:axId val="160908800"/>
        <c:scaling>
          <c:orientation val="minMax"/>
        </c:scaling>
        <c:delete val="0"/>
        <c:axPos val="b"/>
        <c:majorTickMark val="out"/>
        <c:minorTickMark val="none"/>
        <c:tickLblPos val="nextTo"/>
        <c:crossAx val="160910336"/>
        <c:crosses val="autoZero"/>
        <c:auto val="1"/>
        <c:lblAlgn val="ctr"/>
        <c:lblOffset val="100"/>
        <c:noMultiLvlLbl val="0"/>
      </c:catAx>
      <c:valAx>
        <c:axId val="160910336"/>
        <c:scaling>
          <c:orientation val="minMax"/>
        </c:scaling>
        <c:delete val="0"/>
        <c:axPos val="l"/>
        <c:majorGridlines/>
        <c:numFmt formatCode="General" sourceLinked="1"/>
        <c:majorTickMark val="out"/>
        <c:minorTickMark val="none"/>
        <c:tickLblPos val="nextTo"/>
        <c:crossAx val="160908800"/>
        <c:crosses val="autoZero"/>
        <c:crossBetween val="between"/>
      </c:valAx>
    </c:plotArea>
    <c:legend>
      <c:legendPos val="r"/>
      <c:overlay val="0"/>
    </c:legend>
    <c:plotVisOnly val="1"/>
    <c:dispBlanksAs val="gap"/>
    <c:showDLblsOverMax val="0"/>
  </c:chart>
  <c:txPr>
    <a:bodyPr/>
    <a:lstStyle/>
    <a:p>
      <a:pPr>
        <a:defRPr b="1"/>
      </a:pPr>
      <a:endParaRPr lang="mk-M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7.5172863325859096E-2"/>
          <c:y val="7.2612835160310862E-2"/>
          <c:w val="0.90054457596771642"/>
          <c:h val="0.67603880397305105"/>
        </c:manualLayout>
      </c:layout>
      <c:lineChart>
        <c:grouping val="standard"/>
        <c:varyColors val="0"/>
        <c:ser>
          <c:idx val="0"/>
          <c:order val="0"/>
          <c:tx>
            <c:strRef>
              <c:f>Sheet1!$B$1</c:f>
              <c:strCache>
                <c:ptCount val="1"/>
                <c:pt idx="0">
                  <c:v>Во сопствена мрежа</c:v>
                </c:pt>
              </c:strCache>
            </c:strRef>
          </c:tx>
          <c:dLbls>
            <c:dLbl>
              <c:idx val="0"/>
              <c:layout>
                <c:manualLayout>
                  <c:x val="1.7660044150110375E-2"/>
                  <c:y val="-2.6143790849674095E-2"/>
                </c:manualLayout>
              </c:layout>
              <c:showLegendKey val="0"/>
              <c:showVal val="1"/>
              <c:showCatName val="0"/>
              <c:showSerName val="0"/>
              <c:showPercent val="0"/>
              <c:showBubbleSize val="0"/>
            </c:dLbl>
            <c:dLbl>
              <c:idx val="1"/>
              <c:layout>
                <c:manualLayout>
                  <c:x val="-6.6225165562913656E-3"/>
                  <c:y val="-1.9607843137254902E-2"/>
                </c:manualLayout>
              </c:layout>
              <c:showLegendKey val="0"/>
              <c:showVal val="1"/>
              <c:showCatName val="0"/>
              <c:showSerName val="0"/>
              <c:showPercent val="0"/>
              <c:showBubbleSize val="0"/>
            </c:dLbl>
            <c:dLbl>
              <c:idx val="2"/>
              <c:layout>
                <c:manualLayout>
                  <c:x val="-8.8300220750551876E-3"/>
                  <c:y val="-2.6143790849674095E-2"/>
                </c:manualLayout>
              </c:layout>
              <c:showLegendKey val="0"/>
              <c:showVal val="1"/>
              <c:showCatName val="0"/>
              <c:showSerName val="0"/>
              <c:showPercent val="0"/>
              <c:showBubbleSize val="0"/>
            </c:dLbl>
            <c:dLbl>
              <c:idx val="3"/>
              <c:layout>
                <c:manualLayout>
                  <c:x val="-8.8300220750551876E-3"/>
                  <c:y val="-2.9411764705882353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0.00%</c:formatCode>
                <c:ptCount val="4"/>
                <c:pt idx="0">
                  <c:v>8.6900000000000005E-2</c:v>
                </c:pt>
                <c:pt idx="1">
                  <c:v>8.8400000000000006E-2</c:v>
                </c:pt>
                <c:pt idx="2">
                  <c:v>9.1800000000000007E-2</c:v>
                </c:pt>
                <c:pt idx="3">
                  <c:v>0.1008</c:v>
                </c:pt>
              </c:numCache>
            </c:numRef>
          </c:val>
          <c:smooth val="0"/>
        </c:ser>
        <c:ser>
          <c:idx val="1"/>
          <c:order val="1"/>
          <c:tx>
            <c:strRef>
              <c:f>Sheet1!$C$1</c:f>
              <c:strCache>
                <c:ptCount val="1"/>
                <c:pt idx="0">
                  <c:v>Кон други фиксни мрежи во РМ</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0.66830000000000334</c:v>
                </c:pt>
                <c:pt idx="1">
                  <c:v>0.6577000000000045</c:v>
                </c:pt>
                <c:pt idx="2">
                  <c:v>0.67210000000000392</c:v>
                </c:pt>
                <c:pt idx="3">
                  <c:v>0.67310000000000392</c:v>
                </c:pt>
              </c:numCache>
            </c:numRef>
          </c:val>
          <c:smooth val="0"/>
        </c:ser>
        <c:ser>
          <c:idx val="2"/>
          <c:order val="2"/>
          <c:tx>
            <c:strRef>
              <c:f>Sheet1!$D$1</c:f>
              <c:strCache>
                <c:ptCount val="1"/>
                <c:pt idx="0">
                  <c:v>Кон мобилни мрежи во РМ</c:v>
                </c:pt>
              </c:strCache>
            </c:strRef>
          </c:tx>
          <c:dLbls>
            <c:dLbl>
              <c:idx val="0"/>
              <c:layout>
                <c:manualLayout>
                  <c:x val="0"/>
                  <c:y val="-6.5359477124184787E-3"/>
                </c:manualLayout>
              </c:layout>
              <c:dLblPos val="l"/>
              <c:showLegendKey val="0"/>
              <c:showVal val="1"/>
              <c:showCatName val="0"/>
              <c:showSerName val="0"/>
              <c:showPercent val="0"/>
              <c:showBubbleSize val="0"/>
            </c:dLbl>
            <c:dLbl>
              <c:idx val="1"/>
              <c:layout>
                <c:manualLayout>
                  <c:x val="1.5452538631346621E-2"/>
                  <c:y val="-3.5947712418302087E-2"/>
                </c:manualLayout>
              </c:layout>
              <c:dLblPos val="l"/>
              <c:showLegendKey val="0"/>
              <c:showVal val="1"/>
              <c:showCatName val="0"/>
              <c:showSerName val="0"/>
              <c:showPercent val="0"/>
              <c:showBubbleSize val="0"/>
            </c:dLbl>
            <c:dLbl>
              <c:idx val="2"/>
              <c:layout>
                <c:manualLayout>
                  <c:x val="0"/>
                  <c:y val="-2.6143790849674095E-2"/>
                </c:manualLayout>
              </c:layout>
              <c:dLblPos val="l"/>
              <c:showLegendKey val="0"/>
              <c:showVal val="1"/>
              <c:showCatName val="0"/>
              <c:showSerName val="0"/>
              <c:showPercent val="0"/>
              <c:showBubbleSize val="0"/>
            </c:dLbl>
            <c:dLbl>
              <c:idx val="3"/>
              <c:layout>
                <c:manualLayout>
                  <c:x val="3.3112582781456956E-2"/>
                  <c:y val="-3.2679738562091935E-2"/>
                </c:manualLayout>
              </c:layout>
              <c:dLblPos val="l"/>
              <c:showLegendKey val="0"/>
              <c:showVal val="1"/>
              <c:showCatName val="0"/>
              <c:showSerName val="0"/>
              <c:showPercent val="0"/>
              <c:showBubbleSize val="0"/>
            </c:dLbl>
            <c:txPr>
              <a:bodyPr/>
              <a:lstStyle/>
              <a:p>
                <a:pPr>
                  <a:defRPr b="1"/>
                </a:pPr>
                <a:endParaRPr lang="mk-MK"/>
              </a:p>
            </c:txPr>
            <c:dLblPos val="l"/>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Sheet1!$D$2:$D$5</c:f>
              <c:numCache>
                <c:formatCode>0.00%</c:formatCode>
                <c:ptCount val="4"/>
                <c:pt idx="0">
                  <c:v>0.18920000000000092</c:v>
                </c:pt>
                <c:pt idx="1">
                  <c:v>0.18830000000000024</c:v>
                </c:pt>
                <c:pt idx="2">
                  <c:v>0.2021</c:v>
                </c:pt>
                <c:pt idx="3">
                  <c:v>0.20290000000000041</c:v>
                </c:pt>
              </c:numCache>
            </c:numRef>
          </c:val>
          <c:smooth val="0"/>
        </c:ser>
        <c:ser>
          <c:idx val="3"/>
          <c:order val="3"/>
          <c:tx>
            <c:strRef>
              <c:f>Sheet1!$E$1</c:f>
              <c:strCache>
                <c:ptCount val="1"/>
                <c:pt idx="0">
                  <c:v>Кон мрежи во странски држави</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Sheet1!$E$2:$E$5</c:f>
              <c:numCache>
                <c:formatCode>0.00%</c:formatCode>
                <c:ptCount val="4"/>
                <c:pt idx="0">
                  <c:v>0.29020000000000001</c:v>
                </c:pt>
                <c:pt idx="1">
                  <c:v>0.33180000000000265</c:v>
                </c:pt>
                <c:pt idx="2">
                  <c:v>0.26890000000000008</c:v>
                </c:pt>
                <c:pt idx="3">
                  <c:v>0.33160000000000167</c:v>
                </c:pt>
              </c:numCache>
            </c:numRef>
          </c:val>
          <c:smooth val="0"/>
        </c:ser>
        <c:dLbls>
          <c:showLegendKey val="0"/>
          <c:showVal val="0"/>
          <c:showCatName val="0"/>
          <c:showSerName val="0"/>
          <c:showPercent val="0"/>
          <c:showBubbleSize val="0"/>
        </c:dLbls>
        <c:marker val="1"/>
        <c:smooth val="0"/>
        <c:axId val="196668800"/>
        <c:axId val="200250496"/>
      </c:lineChart>
      <c:catAx>
        <c:axId val="196668800"/>
        <c:scaling>
          <c:orientation val="minMax"/>
        </c:scaling>
        <c:delete val="0"/>
        <c:axPos val="b"/>
        <c:majorTickMark val="none"/>
        <c:minorTickMark val="none"/>
        <c:tickLblPos val="nextTo"/>
        <c:txPr>
          <a:bodyPr/>
          <a:lstStyle/>
          <a:p>
            <a:pPr>
              <a:defRPr b="1"/>
            </a:pPr>
            <a:endParaRPr lang="mk-MK"/>
          </a:p>
        </c:txPr>
        <c:crossAx val="200250496"/>
        <c:crosses val="autoZero"/>
        <c:auto val="1"/>
        <c:lblAlgn val="ctr"/>
        <c:lblOffset val="100"/>
        <c:noMultiLvlLbl val="0"/>
      </c:catAx>
      <c:valAx>
        <c:axId val="200250496"/>
        <c:scaling>
          <c:orientation val="minMax"/>
        </c:scaling>
        <c:delete val="0"/>
        <c:axPos val="l"/>
        <c:majorGridlines/>
        <c:numFmt formatCode="0%" sourceLinked="0"/>
        <c:majorTickMark val="none"/>
        <c:minorTickMark val="none"/>
        <c:tickLblPos val="nextTo"/>
        <c:txPr>
          <a:bodyPr/>
          <a:lstStyle/>
          <a:p>
            <a:pPr>
              <a:defRPr b="1"/>
            </a:pPr>
            <a:endParaRPr lang="mk-MK"/>
          </a:p>
        </c:txPr>
        <c:crossAx val="196668800"/>
        <c:crosses val="autoZero"/>
        <c:crossBetween val="between"/>
      </c:valAx>
    </c:plotArea>
    <c:legend>
      <c:legendPos val="b"/>
      <c:overlay val="0"/>
      <c:txPr>
        <a:bodyPr/>
        <a:lstStyle/>
        <a:p>
          <a:pPr>
            <a:defRPr b="1"/>
          </a:pPr>
          <a:endParaRPr lang="mk-MK"/>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3802563083906674"/>
          <c:y val="4.2720996674727722E-2"/>
          <c:w val="0.78804607540718463"/>
          <c:h val="0.64413858008352465"/>
        </c:manualLayout>
      </c:layout>
      <c:barChart>
        <c:barDir val="col"/>
        <c:grouping val="clustered"/>
        <c:varyColors val="0"/>
        <c:ser>
          <c:idx val="0"/>
          <c:order val="0"/>
          <c:tx>
            <c:strRef>
              <c:f>Sheet1!$B$1</c:f>
              <c:strCache>
                <c:ptCount val="1"/>
                <c:pt idx="0">
                  <c:v>Број на активни претплатници во мобилна телефонија</c:v>
                </c:pt>
              </c:strCache>
            </c:strRef>
          </c:tx>
          <c:invertIfNegative val="0"/>
          <c:dLbls>
            <c:dLbl>
              <c:idx val="0"/>
              <c:layout>
                <c:manualLayout>
                  <c:x val="0"/>
                  <c:y val="0.23412698412698421"/>
                </c:manualLayout>
              </c:layout>
              <c:showLegendKey val="0"/>
              <c:showVal val="1"/>
              <c:showCatName val="0"/>
              <c:showSerName val="0"/>
              <c:showPercent val="0"/>
              <c:showBubbleSize val="0"/>
            </c:dLbl>
            <c:dLbl>
              <c:idx val="1"/>
              <c:layout>
                <c:manualLayout>
                  <c:x val="0"/>
                  <c:y val="0.21365771525417288"/>
                </c:manualLayout>
              </c:layout>
              <c:showLegendKey val="0"/>
              <c:showVal val="1"/>
              <c:showCatName val="0"/>
              <c:showSerName val="0"/>
              <c:showPercent val="0"/>
              <c:showBubbleSize val="0"/>
            </c:dLbl>
            <c:dLbl>
              <c:idx val="2"/>
              <c:layout>
                <c:manualLayout>
                  <c:x val="0"/>
                  <c:y val="0.24168497341785902"/>
                </c:manualLayout>
              </c:layout>
              <c:showLegendKey val="0"/>
              <c:showVal val="1"/>
              <c:showCatName val="0"/>
              <c:showSerName val="0"/>
              <c:showPercent val="0"/>
              <c:showBubbleSize val="0"/>
            </c:dLbl>
            <c:dLbl>
              <c:idx val="3"/>
              <c:layout>
                <c:manualLayout>
                  <c:x val="0"/>
                  <c:y val="0.21765083690767598"/>
                </c:manualLayout>
              </c:layout>
              <c:showLegendKey val="0"/>
              <c:showVal val="1"/>
              <c:showCatName val="0"/>
              <c:showSerName val="0"/>
              <c:showPercent val="0"/>
              <c:showBubbleSize val="0"/>
            </c:dLbl>
            <c:txPr>
              <a:bodyPr rot="5400000" vert="horz"/>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c:formatCode>
                <c:ptCount val="4"/>
                <c:pt idx="0">
                  <c:v>2178995</c:v>
                </c:pt>
                <c:pt idx="1">
                  <c:v>2167537</c:v>
                </c:pt>
                <c:pt idx="2">
                  <c:v>2257118</c:v>
                </c:pt>
                <c:pt idx="3">
                  <c:v>2213223</c:v>
                </c:pt>
              </c:numCache>
            </c:numRef>
          </c:val>
        </c:ser>
        <c:dLbls>
          <c:showLegendKey val="0"/>
          <c:showVal val="0"/>
          <c:showCatName val="0"/>
          <c:showSerName val="0"/>
          <c:showPercent val="0"/>
          <c:showBubbleSize val="0"/>
        </c:dLbls>
        <c:gapWidth val="150"/>
        <c:axId val="200110848"/>
        <c:axId val="200112384"/>
      </c:barChart>
      <c:lineChart>
        <c:grouping val="standard"/>
        <c:varyColors val="0"/>
        <c:ser>
          <c:idx val="1"/>
          <c:order val="1"/>
          <c:tx>
            <c:strRef>
              <c:f>Sheet1!$C$1</c:f>
              <c:strCache>
                <c:ptCount val="1"/>
                <c:pt idx="0">
                  <c:v>Број на активни претплатници во мобилна телефонија според популација 100</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106.14999999999999</c:v>
                </c:pt>
                <c:pt idx="1">
                  <c:v>105.59</c:v>
                </c:pt>
                <c:pt idx="2">
                  <c:v>109.96000000000002</c:v>
                </c:pt>
                <c:pt idx="3">
                  <c:v>107.82</c:v>
                </c:pt>
              </c:numCache>
            </c:numRef>
          </c:val>
          <c:smooth val="0"/>
        </c:ser>
        <c:dLbls>
          <c:showLegendKey val="0"/>
          <c:showVal val="0"/>
          <c:showCatName val="0"/>
          <c:showSerName val="0"/>
          <c:showPercent val="0"/>
          <c:showBubbleSize val="0"/>
        </c:dLbls>
        <c:marker val="1"/>
        <c:smooth val="0"/>
        <c:axId val="200119808"/>
        <c:axId val="200118272"/>
      </c:lineChart>
      <c:catAx>
        <c:axId val="200110848"/>
        <c:scaling>
          <c:orientation val="minMax"/>
        </c:scaling>
        <c:delete val="0"/>
        <c:axPos val="b"/>
        <c:majorTickMark val="out"/>
        <c:minorTickMark val="none"/>
        <c:tickLblPos val="nextTo"/>
        <c:txPr>
          <a:bodyPr/>
          <a:lstStyle/>
          <a:p>
            <a:pPr>
              <a:defRPr b="1"/>
            </a:pPr>
            <a:endParaRPr lang="mk-MK"/>
          </a:p>
        </c:txPr>
        <c:crossAx val="200112384"/>
        <c:crosses val="autoZero"/>
        <c:auto val="1"/>
        <c:lblAlgn val="ctr"/>
        <c:lblOffset val="100"/>
        <c:noMultiLvlLbl val="0"/>
      </c:catAx>
      <c:valAx>
        <c:axId val="200112384"/>
        <c:scaling>
          <c:orientation val="minMax"/>
          <c:min val="200000"/>
        </c:scaling>
        <c:delete val="0"/>
        <c:axPos val="l"/>
        <c:majorGridlines/>
        <c:numFmt formatCode="#,##0" sourceLinked="1"/>
        <c:majorTickMark val="out"/>
        <c:minorTickMark val="none"/>
        <c:tickLblPos val="nextTo"/>
        <c:txPr>
          <a:bodyPr/>
          <a:lstStyle/>
          <a:p>
            <a:pPr>
              <a:defRPr b="1"/>
            </a:pPr>
            <a:endParaRPr lang="mk-MK"/>
          </a:p>
        </c:txPr>
        <c:crossAx val="200110848"/>
        <c:crosses val="autoZero"/>
        <c:crossBetween val="between"/>
      </c:valAx>
      <c:valAx>
        <c:axId val="200118272"/>
        <c:scaling>
          <c:orientation val="minMax"/>
          <c:min val="10"/>
        </c:scaling>
        <c:delete val="0"/>
        <c:axPos val="r"/>
        <c:numFmt formatCode="#,##0" sourceLinked="0"/>
        <c:majorTickMark val="out"/>
        <c:minorTickMark val="none"/>
        <c:tickLblPos val="nextTo"/>
        <c:txPr>
          <a:bodyPr/>
          <a:lstStyle/>
          <a:p>
            <a:pPr>
              <a:defRPr b="1"/>
            </a:pPr>
            <a:endParaRPr lang="mk-MK"/>
          </a:p>
        </c:txPr>
        <c:crossAx val="200119808"/>
        <c:crosses val="max"/>
        <c:crossBetween val="between"/>
      </c:valAx>
      <c:catAx>
        <c:axId val="200119808"/>
        <c:scaling>
          <c:orientation val="minMax"/>
        </c:scaling>
        <c:delete val="1"/>
        <c:axPos val="b"/>
        <c:majorTickMark val="out"/>
        <c:minorTickMark val="none"/>
        <c:tickLblPos val="nextTo"/>
        <c:crossAx val="200118272"/>
        <c:crosses val="autoZero"/>
        <c:auto val="1"/>
        <c:lblAlgn val="ctr"/>
        <c:lblOffset val="100"/>
        <c:noMultiLvlLbl val="0"/>
      </c:catAx>
    </c:plotArea>
    <c:legend>
      <c:legendPos val="l"/>
      <c:layout>
        <c:manualLayout>
          <c:xMode val="edge"/>
          <c:yMode val="edge"/>
          <c:x val="1.4442554360959921E-2"/>
          <c:y val="0.78221165471915433"/>
          <c:w val="0.98555744563903958"/>
          <c:h val="0.21770765621127391"/>
        </c:manualLayout>
      </c:layout>
      <c:overlay val="0"/>
      <c:txPr>
        <a:bodyPr/>
        <a:lstStyle/>
        <a:p>
          <a:pPr>
            <a:defRPr b="1"/>
          </a:pPr>
          <a:endParaRPr lang="mk-MK"/>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8.4651272523518867E-2"/>
          <c:y val="0.1082612383375762"/>
          <c:w val="0.73533802656690384"/>
          <c:h val="0.76338148571122011"/>
        </c:manualLayout>
      </c:layout>
      <c:lineChart>
        <c:grouping val="standard"/>
        <c:varyColors val="0"/>
        <c:ser>
          <c:idx val="0"/>
          <c:order val="0"/>
          <c:tx>
            <c:strRef>
              <c:f>Sheet1!$B$1</c:f>
              <c:strCache>
                <c:ptCount val="1"/>
                <c:pt idx="0">
                  <c:v>Т-Мобиле</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0.00%</c:formatCode>
                <c:ptCount val="4"/>
                <c:pt idx="0">
                  <c:v>0.53710000000000002</c:v>
                </c:pt>
                <c:pt idx="1">
                  <c:v>0.53149999999999997</c:v>
                </c:pt>
                <c:pt idx="2">
                  <c:v>0.53320000000000001</c:v>
                </c:pt>
                <c:pt idx="3">
                  <c:v>0.52039999999999997</c:v>
                </c:pt>
              </c:numCache>
            </c:numRef>
          </c:val>
          <c:smooth val="0"/>
        </c:ser>
        <c:ser>
          <c:idx val="1"/>
          <c:order val="1"/>
          <c:tx>
            <c:strRef>
              <c:f>Sheet1!$C$1</c:f>
              <c:strCache>
                <c:ptCount val="1"/>
                <c:pt idx="0">
                  <c:v>ОНЕ</c:v>
                </c:pt>
              </c:strCache>
            </c:strRef>
          </c:tx>
          <c:dLbls>
            <c:dLbl>
              <c:idx val="2"/>
              <c:layout>
                <c:manualLayout>
                  <c:x val="0"/>
                  <c:y val="-1.0178117048346057E-2"/>
                </c:manualLayout>
              </c:layout>
              <c:dLblPos val="t"/>
              <c:showLegendKey val="0"/>
              <c:showVal val="1"/>
              <c:showCatName val="0"/>
              <c:showSerName val="0"/>
              <c:showPercent val="0"/>
              <c:showBubbleSize val="0"/>
            </c:dLbl>
            <c:dLbl>
              <c:idx val="3"/>
              <c:layout>
                <c:manualLayout>
                  <c:x val="7.8472430380093044E-17"/>
                  <c:y val="-1.6963528413910276E-2"/>
                </c:manualLayout>
              </c:layout>
              <c:dLblPos val="t"/>
              <c:showLegendKey val="0"/>
              <c:showVal val="1"/>
              <c:showCatName val="0"/>
              <c:showSerName val="0"/>
              <c:showPercent val="0"/>
              <c:showBubbleSize val="0"/>
            </c:dLbl>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0.23780000000000001</c:v>
                </c:pt>
                <c:pt idx="1">
                  <c:v>0.2356</c:v>
                </c:pt>
                <c:pt idx="2">
                  <c:v>0.2238</c:v>
                </c:pt>
                <c:pt idx="3">
                  <c:v>0.22359999999999999</c:v>
                </c:pt>
              </c:numCache>
            </c:numRef>
          </c:val>
          <c:smooth val="0"/>
        </c:ser>
        <c:ser>
          <c:idx val="2"/>
          <c:order val="2"/>
          <c:tx>
            <c:strRef>
              <c:f>Sheet1!$D$1</c:f>
              <c:strCache>
                <c:ptCount val="1"/>
                <c:pt idx="0">
                  <c:v>ВИП</c:v>
                </c:pt>
              </c:strCache>
            </c:strRef>
          </c:tx>
          <c:dLbls>
            <c:dLbl>
              <c:idx val="2"/>
              <c:layout>
                <c:manualLayout>
                  <c:x val="0"/>
                  <c:y val="1.6963528413910276E-2"/>
                </c:manualLayout>
              </c:layout>
              <c:dLblPos val="b"/>
              <c:showLegendKey val="0"/>
              <c:showVal val="1"/>
              <c:showCatName val="0"/>
              <c:showSerName val="0"/>
              <c:showPercent val="0"/>
              <c:showBubbleSize val="0"/>
            </c:dLbl>
            <c:dLbl>
              <c:idx val="3"/>
              <c:layout>
                <c:manualLayout>
                  <c:x val="0"/>
                  <c:y val="2.7141645462256392E-2"/>
                </c:manualLayout>
              </c:layout>
              <c:dLblPos val="b"/>
              <c:showLegendKey val="0"/>
              <c:showVal val="1"/>
              <c:showCatName val="0"/>
              <c:showSerName val="0"/>
              <c:showPercent val="0"/>
              <c:showBubbleSize val="0"/>
            </c:dLbl>
            <c:txPr>
              <a:bodyPr/>
              <a:lstStyle/>
              <a:p>
                <a:pPr>
                  <a:defRPr b="1"/>
                </a:pPr>
                <a:endParaRPr lang="mk-MK"/>
              </a:p>
            </c:txPr>
            <c:dLblPos val="b"/>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Sheet1!$D$2:$D$5</c:f>
              <c:numCache>
                <c:formatCode>0.00%</c:formatCode>
                <c:ptCount val="4"/>
                <c:pt idx="0">
                  <c:v>0.22509999999999999</c:v>
                </c:pt>
                <c:pt idx="1">
                  <c:v>0.23290000000000041</c:v>
                </c:pt>
                <c:pt idx="2">
                  <c:v>0.24300000000000024</c:v>
                </c:pt>
                <c:pt idx="3">
                  <c:v>0.25600000000000001</c:v>
                </c:pt>
              </c:numCache>
            </c:numRef>
          </c:val>
          <c:smooth val="0"/>
        </c:ser>
        <c:dLbls>
          <c:showLegendKey val="0"/>
          <c:showVal val="0"/>
          <c:showCatName val="0"/>
          <c:showSerName val="0"/>
          <c:showPercent val="0"/>
          <c:showBubbleSize val="0"/>
        </c:dLbls>
        <c:marker val="1"/>
        <c:smooth val="0"/>
        <c:axId val="200373376"/>
        <c:axId val="200374912"/>
      </c:lineChart>
      <c:catAx>
        <c:axId val="200373376"/>
        <c:scaling>
          <c:orientation val="minMax"/>
        </c:scaling>
        <c:delete val="0"/>
        <c:axPos val="b"/>
        <c:majorTickMark val="none"/>
        <c:minorTickMark val="none"/>
        <c:tickLblPos val="nextTo"/>
        <c:txPr>
          <a:bodyPr/>
          <a:lstStyle/>
          <a:p>
            <a:pPr>
              <a:defRPr b="1"/>
            </a:pPr>
            <a:endParaRPr lang="mk-MK"/>
          </a:p>
        </c:txPr>
        <c:crossAx val="200374912"/>
        <c:crosses val="autoZero"/>
        <c:auto val="1"/>
        <c:lblAlgn val="ctr"/>
        <c:lblOffset val="100"/>
        <c:noMultiLvlLbl val="0"/>
      </c:catAx>
      <c:valAx>
        <c:axId val="200374912"/>
        <c:scaling>
          <c:orientation val="minMax"/>
        </c:scaling>
        <c:delete val="0"/>
        <c:axPos val="l"/>
        <c:majorGridlines/>
        <c:numFmt formatCode="0%" sourceLinked="0"/>
        <c:majorTickMark val="none"/>
        <c:minorTickMark val="none"/>
        <c:tickLblPos val="nextTo"/>
        <c:txPr>
          <a:bodyPr/>
          <a:lstStyle/>
          <a:p>
            <a:pPr>
              <a:defRPr b="1"/>
            </a:pPr>
            <a:endParaRPr lang="mk-MK"/>
          </a:p>
        </c:txPr>
        <c:crossAx val="200373376"/>
        <c:crosses val="autoZero"/>
        <c:crossBetween val="between"/>
      </c:valAx>
    </c:plotArea>
    <c:legend>
      <c:legendPos val="r"/>
      <c:layout>
        <c:manualLayout>
          <c:xMode val="edge"/>
          <c:yMode val="edge"/>
          <c:x val="0.8306902086677439"/>
          <c:y val="0.36800918969098684"/>
          <c:w val="0.16716960941680042"/>
          <c:h val="0.2703938343584914"/>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Sheet1!$B$1</c:f>
              <c:strCache>
                <c:ptCount val="1"/>
                <c:pt idx="0">
                  <c:v>При-пеид претплатници</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0.00%</c:formatCode>
                <c:ptCount val="4"/>
                <c:pt idx="0">
                  <c:v>0.63280000000000358</c:v>
                </c:pt>
                <c:pt idx="1">
                  <c:v>0.62580000000000335</c:v>
                </c:pt>
                <c:pt idx="2">
                  <c:v>0.64010000000000311</c:v>
                </c:pt>
                <c:pt idx="3">
                  <c:v>0.62690000000000312</c:v>
                </c:pt>
              </c:numCache>
            </c:numRef>
          </c:val>
        </c:ser>
        <c:ser>
          <c:idx val="1"/>
          <c:order val="1"/>
          <c:tx>
            <c:strRef>
              <c:f>Sheet1!$C$1</c:f>
              <c:strCache>
                <c:ptCount val="1"/>
                <c:pt idx="0">
                  <c:v>Пост-пеид претплатници</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0.36720000000000008</c:v>
                </c:pt>
                <c:pt idx="1">
                  <c:v>0.37420000000000031</c:v>
                </c:pt>
                <c:pt idx="2">
                  <c:v>0.35990000000000139</c:v>
                </c:pt>
                <c:pt idx="3">
                  <c:v>0.37310000000000032</c:v>
                </c:pt>
              </c:numCache>
            </c:numRef>
          </c:val>
        </c:ser>
        <c:dLbls>
          <c:showLegendKey val="0"/>
          <c:showVal val="0"/>
          <c:showCatName val="0"/>
          <c:showSerName val="0"/>
          <c:showPercent val="0"/>
          <c:showBubbleSize val="0"/>
        </c:dLbls>
        <c:gapWidth val="150"/>
        <c:axId val="200400896"/>
        <c:axId val="200402432"/>
      </c:barChart>
      <c:catAx>
        <c:axId val="200400896"/>
        <c:scaling>
          <c:orientation val="minMax"/>
        </c:scaling>
        <c:delete val="0"/>
        <c:axPos val="b"/>
        <c:majorTickMark val="none"/>
        <c:minorTickMark val="none"/>
        <c:tickLblPos val="nextTo"/>
        <c:txPr>
          <a:bodyPr/>
          <a:lstStyle/>
          <a:p>
            <a:pPr>
              <a:defRPr b="1"/>
            </a:pPr>
            <a:endParaRPr lang="mk-MK"/>
          </a:p>
        </c:txPr>
        <c:crossAx val="200402432"/>
        <c:crosses val="autoZero"/>
        <c:auto val="1"/>
        <c:lblAlgn val="ctr"/>
        <c:lblOffset val="100"/>
        <c:noMultiLvlLbl val="0"/>
      </c:catAx>
      <c:valAx>
        <c:axId val="200402432"/>
        <c:scaling>
          <c:orientation val="minMax"/>
        </c:scaling>
        <c:delete val="0"/>
        <c:axPos val="l"/>
        <c:majorGridlines/>
        <c:numFmt formatCode="0%" sourceLinked="0"/>
        <c:majorTickMark val="none"/>
        <c:minorTickMark val="none"/>
        <c:tickLblPos val="nextTo"/>
        <c:txPr>
          <a:bodyPr/>
          <a:lstStyle/>
          <a:p>
            <a:pPr>
              <a:defRPr b="1"/>
            </a:pPr>
            <a:endParaRPr lang="mk-MK"/>
          </a:p>
        </c:txPr>
        <c:crossAx val="200400896"/>
        <c:crosses val="autoZero"/>
        <c:crossBetween val="between"/>
      </c:valAx>
    </c:plotArea>
    <c:legend>
      <c:legendPos val="r"/>
      <c:overlay val="0"/>
      <c:txPr>
        <a:bodyPr/>
        <a:lstStyle/>
        <a:p>
          <a:pPr>
            <a:defRPr b="1"/>
          </a:pPr>
          <a:endParaRPr lang="mk-MK"/>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1950064786205522"/>
          <c:y val="9.533343626164377E-2"/>
          <c:w val="0.8657314196485425"/>
          <c:h val="0.62249292367865783"/>
        </c:manualLayout>
      </c:layout>
      <c:lineChart>
        <c:grouping val="standard"/>
        <c:varyColors val="0"/>
        <c:ser>
          <c:idx val="0"/>
          <c:order val="0"/>
          <c:tx>
            <c:strRef>
              <c:f>Sheet1!$B$1</c:f>
              <c:strCache>
                <c:ptCount val="1"/>
                <c:pt idx="0">
                  <c:v>Вкупен сообраќај во сопствена мрежа</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c:formatCode>
                <c:ptCount val="4"/>
                <c:pt idx="0">
                  <c:v>676654.9</c:v>
                </c:pt>
                <c:pt idx="1">
                  <c:v>728458.1</c:v>
                </c:pt>
                <c:pt idx="2">
                  <c:v>744304.2</c:v>
                </c:pt>
                <c:pt idx="3">
                  <c:v>811044.8</c:v>
                </c:pt>
              </c:numCache>
            </c:numRef>
          </c:val>
          <c:smooth val="0"/>
        </c:ser>
        <c:ser>
          <c:idx val="1"/>
          <c:order val="1"/>
          <c:tx>
            <c:strRef>
              <c:f>Sheet1!$C$1</c:f>
              <c:strCache>
                <c:ptCount val="1"/>
                <c:pt idx="0">
                  <c:v>Сообраќај кон други мобилни мрежи во РМ</c:v>
                </c:pt>
              </c:strCache>
            </c:strRef>
          </c:tx>
          <c:dLbls>
            <c:dLbl>
              <c:idx val="0"/>
              <c:layout>
                <c:manualLayout>
                  <c:x val="-6.5466448445171924E-2"/>
                  <c:y val="-3.4707158351409986E-2"/>
                </c:manualLayout>
              </c:layout>
              <c:showLegendKey val="0"/>
              <c:showVal val="1"/>
              <c:showCatName val="0"/>
              <c:showSerName val="0"/>
              <c:showPercent val="0"/>
              <c:showBubbleSize val="0"/>
            </c:dLbl>
            <c:dLbl>
              <c:idx val="1"/>
              <c:layout>
                <c:manualLayout>
                  <c:x val="-5.6737599255789334E-2"/>
                  <c:y val="-3.3138798826617258E-2"/>
                </c:manualLayout>
              </c:layout>
              <c:showLegendKey val="0"/>
              <c:showVal val="1"/>
              <c:showCatName val="0"/>
              <c:showSerName val="0"/>
              <c:showPercent val="0"/>
              <c:showBubbleSize val="0"/>
            </c:dLbl>
            <c:dLbl>
              <c:idx val="2"/>
              <c:layout>
                <c:manualLayout>
                  <c:x val="-6.3501777467689868E-2"/>
                  <c:y val="-3.4707233287015651E-2"/>
                </c:manualLayout>
              </c:layout>
              <c:showLegendKey val="0"/>
              <c:showVal val="1"/>
              <c:showCatName val="0"/>
              <c:showSerName val="0"/>
              <c:showPercent val="0"/>
              <c:showBubbleSize val="0"/>
            </c:dLbl>
            <c:dLbl>
              <c:idx val="3"/>
              <c:layout>
                <c:manualLayout>
                  <c:x val="-6.5466460679756824E-2"/>
                  <c:y val="-2.9805272502703484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c:formatCode>
                <c:ptCount val="4"/>
                <c:pt idx="0">
                  <c:v>85259.7</c:v>
                </c:pt>
                <c:pt idx="1">
                  <c:v>98980.1</c:v>
                </c:pt>
                <c:pt idx="2">
                  <c:v>104189.9</c:v>
                </c:pt>
                <c:pt idx="3">
                  <c:v>102577.7</c:v>
                </c:pt>
              </c:numCache>
            </c:numRef>
          </c:val>
          <c:smooth val="0"/>
        </c:ser>
        <c:ser>
          <c:idx val="2"/>
          <c:order val="2"/>
          <c:tx>
            <c:strRef>
              <c:f>Sheet1!$D$1</c:f>
              <c:strCache>
                <c:ptCount val="1"/>
                <c:pt idx="0">
                  <c:v>Сообраќај кон фиксни телефонски мрежи во РМ</c:v>
                </c:pt>
              </c:strCache>
            </c:strRef>
          </c:tx>
          <c:dLbls>
            <c:dLbl>
              <c:idx val="0"/>
              <c:layout>
                <c:manualLayout>
                  <c:x val="0"/>
                  <c:y val="-1.4461315979754157E-2"/>
                </c:manualLayout>
              </c:layout>
              <c:showLegendKey val="0"/>
              <c:showVal val="1"/>
              <c:showCatName val="0"/>
              <c:showSerName val="0"/>
              <c:showPercent val="0"/>
              <c:showBubbleSize val="0"/>
            </c:dLbl>
            <c:dLbl>
              <c:idx val="1"/>
              <c:layout>
                <c:manualLayout>
                  <c:x val="0"/>
                  <c:y val="-2.0245842371657E-2"/>
                </c:manualLayout>
              </c:layout>
              <c:showLegendKey val="0"/>
              <c:showVal val="1"/>
              <c:showCatName val="0"/>
              <c:showSerName val="0"/>
              <c:showPercent val="0"/>
              <c:showBubbleSize val="0"/>
            </c:dLbl>
            <c:dLbl>
              <c:idx val="2"/>
              <c:layout>
                <c:manualLayout>
                  <c:x val="-6.5466448445172104E-3"/>
                  <c:y val="-1.7353579175704993E-2"/>
                </c:manualLayout>
              </c:layout>
              <c:showLegendKey val="0"/>
              <c:showVal val="1"/>
              <c:showCatName val="0"/>
              <c:showSerName val="0"/>
              <c:showPercent val="0"/>
              <c:showBubbleSize val="0"/>
            </c:dLbl>
            <c:dLbl>
              <c:idx val="3"/>
              <c:layout>
                <c:manualLayout>
                  <c:x val="-2.1822149481725743E-3"/>
                  <c:y val="-1.4461315979754157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Sheet1!$D$2:$D$5</c:f>
              <c:numCache>
                <c:formatCode>#,##0.0</c:formatCode>
                <c:ptCount val="4"/>
                <c:pt idx="0">
                  <c:v>12101.7</c:v>
                </c:pt>
                <c:pt idx="1">
                  <c:v>12783.5</c:v>
                </c:pt>
                <c:pt idx="2">
                  <c:v>14057.6</c:v>
                </c:pt>
                <c:pt idx="3">
                  <c:v>14474.9</c:v>
                </c:pt>
              </c:numCache>
            </c:numRef>
          </c:val>
          <c:smooth val="0"/>
        </c:ser>
        <c:ser>
          <c:idx val="3"/>
          <c:order val="3"/>
          <c:tx>
            <c:strRef>
              <c:f>Sheet1!$E$1</c:f>
              <c:strCache>
                <c:ptCount val="1"/>
                <c:pt idx="0">
                  <c:v>Сообраќај кон мрежи во странски држави</c:v>
                </c:pt>
              </c:strCache>
            </c:strRef>
          </c:tx>
          <c:dLbls>
            <c:dLbl>
              <c:idx val="0"/>
              <c:layout>
                <c:manualLayout>
                  <c:x val="-0.10692853246044742"/>
                  <c:y val="-1.4461315979754157E-2"/>
                </c:manualLayout>
              </c:layout>
              <c:showLegendKey val="0"/>
              <c:showVal val="1"/>
              <c:showCatName val="0"/>
              <c:showSerName val="0"/>
              <c:showPercent val="0"/>
              <c:showBubbleSize val="0"/>
            </c:dLbl>
            <c:dLbl>
              <c:idx val="1"/>
              <c:layout>
                <c:manualLayout>
                  <c:x val="-0.10692853246044742"/>
                  <c:y val="-1.7353579175704993E-2"/>
                </c:manualLayout>
              </c:layout>
              <c:showLegendKey val="0"/>
              <c:showVal val="1"/>
              <c:showCatName val="0"/>
              <c:showSerName val="0"/>
              <c:showPercent val="0"/>
              <c:showBubbleSize val="0"/>
            </c:dLbl>
            <c:dLbl>
              <c:idx val="2"/>
              <c:layout>
                <c:manualLayout>
                  <c:x val="-0.10474631751227496"/>
                  <c:y val="-2.0245842371657E-2"/>
                </c:manualLayout>
              </c:layout>
              <c:showLegendKey val="0"/>
              <c:showVal val="1"/>
              <c:showCatName val="0"/>
              <c:showSerName val="0"/>
              <c:showPercent val="0"/>
              <c:showBubbleSize val="0"/>
            </c:dLbl>
            <c:dLbl>
              <c:idx val="3"/>
              <c:layout>
                <c:manualLayout>
                  <c:x val="-0.10256410256410479"/>
                  <c:y val="-2.8922631959508123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Sheet1!$E$2:$E$5</c:f>
              <c:numCache>
                <c:formatCode>#,##0.0</c:formatCode>
                <c:ptCount val="4"/>
                <c:pt idx="0">
                  <c:v>5452</c:v>
                </c:pt>
                <c:pt idx="1">
                  <c:v>6117.2</c:v>
                </c:pt>
                <c:pt idx="2">
                  <c:v>7809.2</c:v>
                </c:pt>
                <c:pt idx="3">
                  <c:v>6180.5</c:v>
                </c:pt>
              </c:numCache>
            </c:numRef>
          </c:val>
          <c:smooth val="0"/>
        </c:ser>
        <c:dLbls>
          <c:showLegendKey val="0"/>
          <c:showVal val="0"/>
          <c:showCatName val="0"/>
          <c:showSerName val="0"/>
          <c:showPercent val="0"/>
          <c:showBubbleSize val="0"/>
        </c:dLbls>
        <c:marker val="1"/>
        <c:smooth val="0"/>
        <c:axId val="200287360"/>
        <c:axId val="200288896"/>
      </c:lineChart>
      <c:catAx>
        <c:axId val="200287360"/>
        <c:scaling>
          <c:orientation val="minMax"/>
        </c:scaling>
        <c:delete val="0"/>
        <c:axPos val="b"/>
        <c:majorTickMark val="none"/>
        <c:minorTickMark val="none"/>
        <c:tickLblPos val="nextTo"/>
        <c:crossAx val="200288896"/>
        <c:crosses val="autoZero"/>
        <c:auto val="1"/>
        <c:lblAlgn val="ctr"/>
        <c:lblOffset val="100"/>
        <c:noMultiLvlLbl val="0"/>
      </c:catAx>
      <c:valAx>
        <c:axId val="200288896"/>
        <c:scaling>
          <c:orientation val="minMax"/>
        </c:scaling>
        <c:delete val="0"/>
        <c:axPos val="l"/>
        <c:majorGridlines/>
        <c:numFmt formatCode="#,##0" sourceLinked="0"/>
        <c:majorTickMark val="none"/>
        <c:minorTickMark val="none"/>
        <c:tickLblPos val="nextTo"/>
        <c:crossAx val="200287360"/>
        <c:crosses val="autoZero"/>
        <c:crossBetween val="between"/>
      </c:valAx>
    </c:plotArea>
    <c:legend>
      <c:legendPos val="b"/>
      <c:layout>
        <c:manualLayout>
          <c:xMode val="edge"/>
          <c:yMode val="edge"/>
          <c:x val="0.22240506329113924"/>
          <c:y val="0.78013565951316777"/>
          <c:w val="0.5910548523206941"/>
          <c:h val="0.18947217075806699"/>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col"/>
        <c:grouping val="clustered"/>
        <c:varyColors val="0"/>
        <c:ser>
          <c:idx val="0"/>
          <c:order val="0"/>
          <c:tx>
            <c:strRef>
              <c:f>Sheet1!$B$1</c:f>
              <c:strCache>
                <c:ptCount val="1"/>
                <c:pt idx="0">
                  <c:v>2011 година</c:v>
                </c:pt>
              </c:strCache>
            </c:strRef>
          </c:tx>
          <c:invertIfNegative val="0"/>
          <c:dLbls>
            <c:dLbl>
              <c:idx val="0"/>
              <c:layout>
                <c:manualLayout>
                  <c:x val="-1.3502905934717238E-2"/>
                  <c:y val="0"/>
                </c:manualLayout>
              </c:layout>
              <c:showLegendKey val="0"/>
              <c:showVal val="1"/>
              <c:showCatName val="0"/>
              <c:showSerName val="0"/>
              <c:showPercent val="0"/>
              <c:showBubbleSize val="0"/>
            </c:dLbl>
            <c:dLbl>
              <c:idx val="1"/>
              <c:layout>
                <c:manualLayout>
                  <c:x val="-1.7360879058921901E-2"/>
                  <c:y val="0"/>
                </c:manualLayout>
              </c:layout>
              <c:showLegendKey val="0"/>
              <c:showVal val="1"/>
              <c:showCatName val="0"/>
              <c:showSerName val="0"/>
              <c:showPercent val="0"/>
              <c:showBubbleSize val="0"/>
            </c:dLbl>
            <c:dLbl>
              <c:idx val="2"/>
              <c:layout>
                <c:manualLayout>
                  <c:x val="-1.5431892496819461E-2"/>
                  <c:y val="-7.2750482331547195E-17"/>
                </c:manualLayout>
              </c:layout>
              <c:showLegendKey val="0"/>
              <c:showVal val="1"/>
              <c:showCatName val="0"/>
              <c:showSerName val="0"/>
              <c:showPercent val="0"/>
              <c:showBubbleSize val="0"/>
            </c:dLbl>
            <c:dLbl>
              <c:idx val="3"/>
              <c:layout>
                <c:manualLayout>
                  <c:x val="-1.3502905934717238E-2"/>
                  <c:y val="-7.2750482331547195E-17"/>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Вкупен сообраќај во сопствена мрежа</c:v>
                </c:pt>
                <c:pt idx="1">
                  <c:v>Сообраќај кон други мобилни мрежи во РМ</c:v>
                </c:pt>
                <c:pt idx="2">
                  <c:v>Сообраќај кон фиксни комуникациски мрежи во РМ</c:v>
                </c:pt>
                <c:pt idx="3">
                  <c:v>Сообраќај кон мрежи во странски држави</c:v>
                </c:pt>
              </c:strCache>
            </c:strRef>
          </c:cat>
          <c:val>
            <c:numRef>
              <c:f>Sheet1!$B$2:$B$5</c:f>
              <c:numCache>
                <c:formatCode>0.00%</c:formatCode>
                <c:ptCount val="4"/>
                <c:pt idx="0">
                  <c:v>0.86300000000000165</c:v>
                </c:pt>
                <c:pt idx="1">
                  <c:v>0.114</c:v>
                </c:pt>
                <c:pt idx="2">
                  <c:v>1.5599999999999998E-2</c:v>
                </c:pt>
                <c:pt idx="3">
                  <c:v>7.5000000000000318E-3</c:v>
                </c:pt>
              </c:numCache>
            </c:numRef>
          </c:val>
        </c:ser>
        <c:ser>
          <c:idx val="1"/>
          <c:order val="1"/>
          <c:tx>
            <c:strRef>
              <c:f>Sheet1!$C$1</c:f>
              <c:strCache>
                <c:ptCount val="1"/>
                <c:pt idx="0">
                  <c:v>2010 година</c:v>
                </c:pt>
              </c:strCache>
            </c:strRef>
          </c:tx>
          <c:invertIfNegative val="0"/>
          <c:dLbls>
            <c:dLbl>
              <c:idx val="0"/>
              <c:layout>
                <c:manualLayout>
                  <c:x val="1.9289865621024343E-2"/>
                  <c:y val="0"/>
                </c:manualLayout>
              </c:layout>
              <c:showLegendKey val="0"/>
              <c:showVal val="1"/>
              <c:showCatName val="0"/>
              <c:showSerName val="0"/>
              <c:showPercent val="0"/>
              <c:showBubbleSize val="0"/>
            </c:dLbl>
            <c:dLbl>
              <c:idx val="1"/>
              <c:layout>
                <c:manualLayout>
                  <c:x val="1.7360879058921901E-2"/>
                  <c:y val="-7.2750482331547195E-17"/>
                </c:manualLayout>
              </c:layout>
              <c:showLegendKey val="0"/>
              <c:showVal val="1"/>
              <c:showCatName val="0"/>
              <c:showSerName val="0"/>
              <c:showPercent val="0"/>
              <c:showBubbleSize val="0"/>
            </c:dLbl>
            <c:dLbl>
              <c:idx val="2"/>
              <c:layout>
                <c:manualLayout>
                  <c:x val="1.157391937261466E-2"/>
                  <c:y val="0"/>
                </c:manualLayout>
              </c:layout>
              <c:showLegendKey val="0"/>
              <c:showVal val="1"/>
              <c:showCatName val="0"/>
              <c:showSerName val="0"/>
              <c:showPercent val="0"/>
              <c:showBubbleSize val="0"/>
            </c:dLbl>
            <c:dLbl>
              <c:idx val="3"/>
              <c:layout>
                <c:manualLayout>
                  <c:x val="9.6449328105121558E-3"/>
                  <c:y val="0"/>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Вкупен сообраќај во сопствена мрежа</c:v>
                </c:pt>
                <c:pt idx="1">
                  <c:v>Сообраќај кон други мобилни мрежи во РМ</c:v>
                </c:pt>
                <c:pt idx="2">
                  <c:v>Сообраќај кон фиксни комуникациски мрежи во РМ</c:v>
                </c:pt>
                <c:pt idx="3">
                  <c:v>Сообраќај кон мрежи во странски држави</c:v>
                </c:pt>
              </c:strCache>
            </c:strRef>
          </c:cat>
          <c:val>
            <c:numRef>
              <c:f>Sheet1!$C$2:$C$5</c:f>
              <c:numCache>
                <c:formatCode>0.00%</c:formatCode>
                <c:ptCount val="4"/>
                <c:pt idx="0">
                  <c:v>0.85550000000000004</c:v>
                </c:pt>
                <c:pt idx="1">
                  <c:v>0.11720000000000012</c:v>
                </c:pt>
                <c:pt idx="2">
                  <c:v>1.8100000000000043E-2</c:v>
                </c:pt>
                <c:pt idx="3">
                  <c:v>9.2000000000000068E-3</c:v>
                </c:pt>
              </c:numCache>
            </c:numRef>
          </c:val>
        </c:ser>
        <c:dLbls>
          <c:showLegendKey val="0"/>
          <c:showVal val="0"/>
          <c:showCatName val="0"/>
          <c:showSerName val="0"/>
          <c:showPercent val="0"/>
          <c:showBubbleSize val="0"/>
        </c:dLbls>
        <c:gapWidth val="150"/>
        <c:axId val="200327168"/>
        <c:axId val="200328704"/>
      </c:barChart>
      <c:catAx>
        <c:axId val="200327168"/>
        <c:scaling>
          <c:orientation val="minMax"/>
        </c:scaling>
        <c:delete val="0"/>
        <c:axPos val="b"/>
        <c:majorTickMark val="out"/>
        <c:minorTickMark val="none"/>
        <c:tickLblPos val="nextTo"/>
        <c:txPr>
          <a:bodyPr/>
          <a:lstStyle/>
          <a:p>
            <a:pPr>
              <a:defRPr b="1"/>
            </a:pPr>
            <a:endParaRPr lang="mk-MK"/>
          </a:p>
        </c:txPr>
        <c:crossAx val="200328704"/>
        <c:crosses val="autoZero"/>
        <c:auto val="1"/>
        <c:lblAlgn val="ctr"/>
        <c:lblOffset val="100"/>
        <c:noMultiLvlLbl val="0"/>
      </c:catAx>
      <c:valAx>
        <c:axId val="200328704"/>
        <c:scaling>
          <c:orientation val="minMax"/>
        </c:scaling>
        <c:delete val="0"/>
        <c:axPos val="l"/>
        <c:majorGridlines/>
        <c:numFmt formatCode="0%" sourceLinked="0"/>
        <c:majorTickMark val="out"/>
        <c:minorTickMark val="none"/>
        <c:tickLblPos val="nextTo"/>
        <c:txPr>
          <a:bodyPr/>
          <a:lstStyle/>
          <a:p>
            <a:pPr>
              <a:defRPr b="1"/>
            </a:pPr>
            <a:endParaRPr lang="mk-MK"/>
          </a:p>
        </c:txPr>
        <c:crossAx val="200327168"/>
        <c:crosses val="autoZero"/>
        <c:crossBetween val="between"/>
      </c:valAx>
    </c:plotArea>
    <c:legend>
      <c:legendPos val="r"/>
      <c:overlay val="0"/>
      <c:txPr>
        <a:bodyPr/>
        <a:lstStyle/>
        <a:p>
          <a:pPr>
            <a:defRPr b="1"/>
          </a:pPr>
          <a:endParaRPr lang="mk-MK"/>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40455514691197569"/>
          <c:y val="3.9456121234510574E-2"/>
          <c:w val="0.48477003812982788"/>
          <c:h val="0.68494894428750563"/>
        </c:manualLayout>
      </c:layout>
      <c:barChart>
        <c:barDir val="bar"/>
        <c:grouping val="clustered"/>
        <c:varyColors val="0"/>
        <c:ser>
          <c:idx val="0"/>
          <c:order val="0"/>
          <c:tx>
            <c:strRef>
              <c:f>Sheet1!$B$1</c:f>
              <c:strCache>
                <c:ptCount val="1"/>
                <c:pt idx="0">
                  <c:v>2010 година</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Sheet1!$A$2:$A$6</c:f>
              <c:strCache>
                <c:ptCount val="5"/>
                <c:pt idx="0">
                  <c:v>Кон мрежи во странски држави</c:v>
                </c:pt>
                <c:pt idx="1">
                  <c:v>Кон фиксни мрежи во РМ</c:v>
                </c:pt>
                <c:pt idx="2">
                  <c:v>Кон други мобилни мрежи во РМ</c:v>
                </c:pt>
                <c:pt idx="3">
                  <c:v>Во сопствена мрежа</c:v>
                </c:pt>
                <c:pt idx="4">
                  <c:v>Вкупно сообраќај</c:v>
                </c:pt>
              </c:strCache>
            </c:strRef>
          </c:cat>
          <c:val>
            <c:numRef>
              <c:f>Sheet1!$B$2:$B$6</c:f>
              <c:numCache>
                <c:formatCode>General</c:formatCode>
                <c:ptCount val="5"/>
                <c:pt idx="0">
                  <c:v>0.99</c:v>
                </c:pt>
                <c:pt idx="1">
                  <c:v>1.9700000000000055</c:v>
                </c:pt>
                <c:pt idx="2">
                  <c:v>12.739999999999998</c:v>
                </c:pt>
                <c:pt idx="3">
                  <c:v>93.25</c:v>
                </c:pt>
                <c:pt idx="4">
                  <c:v>108.95</c:v>
                </c:pt>
              </c:numCache>
            </c:numRef>
          </c:val>
        </c:ser>
        <c:ser>
          <c:idx val="1"/>
          <c:order val="1"/>
          <c:tx>
            <c:strRef>
              <c:f>Sheet1!$C$1</c:f>
              <c:strCache>
                <c:ptCount val="1"/>
                <c:pt idx="0">
                  <c:v>2011 година</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Sheet1!$A$2:$A$6</c:f>
              <c:strCache>
                <c:ptCount val="5"/>
                <c:pt idx="0">
                  <c:v>Кон мрежи во странски држави</c:v>
                </c:pt>
                <c:pt idx="1">
                  <c:v>Кон фиксни мрежи во РМ</c:v>
                </c:pt>
                <c:pt idx="2">
                  <c:v>Кон други мобилни мрежи во РМ</c:v>
                </c:pt>
                <c:pt idx="3">
                  <c:v>Во сопствена мрежа</c:v>
                </c:pt>
                <c:pt idx="4">
                  <c:v>Вкупно сообраќај</c:v>
                </c:pt>
              </c:strCache>
            </c:strRef>
          </c:cat>
          <c:val>
            <c:numRef>
              <c:f>Sheet1!$C$2:$C$6</c:f>
              <c:numCache>
                <c:formatCode>General</c:formatCode>
                <c:ptCount val="5"/>
                <c:pt idx="0">
                  <c:v>0.96000000000000063</c:v>
                </c:pt>
                <c:pt idx="1">
                  <c:v>2.02</c:v>
                </c:pt>
                <c:pt idx="2">
                  <c:v>14.78</c:v>
                </c:pt>
                <c:pt idx="3">
                  <c:v>111.9</c:v>
                </c:pt>
                <c:pt idx="4">
                  <c:v>129.66</c:v>
                </c:pt>
              </c:numCache>
            </c:numRef>
          </c:val>
        </c:ser>
        <c:dLbls>
          <c:showLegendKey val="0"/>
          <c:showVal val="0"/>
          <c:showCatName val="0"/>
          <c:showSerName val="0"/>
          <c:showPercent val="0"/>
          <c:showBubbleSize val="0"/>
        </c:dLbls>
        <c:gapWidth val="150"/>
        <c:axId val="200411776"/>
        <c:axId val="200462720"/>
      </c:barChart>
      <c:catAx>
        <c:axId val="200411776"/>
        <c:scaling>
          <c:orientation val="minMax"/>
        </c:scaling>
        <c:delete val="0"/>
        <c:axPos val="l"/>
        <c:majorTickMark val="out"/>
        <c:minorTickMark val="none"/>
        <c:tickLblPos val="nextTo"/>
        <c:txPr>
          <a:bodyPr/>
          <a:lstStyle/>
          <a:p>
            <a:pPr>
              <a:defRPr b="1"/>
            </a:pPr>
            <a:endParaRPr lang="mk-MK"/>
          </a:p>
        </c:txPr>
        <c:crossAx val="200462720"/>
        <c:crosses val="autoZero"/>
        <c:auto val="1"/>
        <c:lblAlgn val="ctr"/>
        <c:lblOffset val="100"/>
        <c:noMultiLvlLbl val="0"/>
      </c:catAx>
      <c:valAx>
        <c:axId val="200462720"/>
        <c:scaling>
          <c:orientation val="minMax"/>
        </c:scaling>
        <c:delete val="0"/>
        <c:axPos val="b"/>
        <c:majorGridlines/>
        <c:numFmt formatCode="General" sourceLinked="1"/>
        <c:majorTickMark val="out"/>
        <c:minorTickMark val="none"/>
        <c:tickLblPos val="nextTo"/>
        <c:txPr>
          <a:bodyPr/>
          <a:lstStyle/>
          <a:p>
            <a:pPr>
              <a:defRPr b="1"/>
            </a:pPr>
            <a:endParaRPr lang="mk-MK"/>
          </a:p>
        </c:txPr>
        <c:crossAx val="200411776"/>
        <c:crosses val="autoZero"/>
        <c:crossBetween val="between"/>
      </c:valAx>
    </c:plotArea>
    <c:legend>
      <c:legendPos val="r"/>
      <c:layout>
        <c:manualLayout>
          <c:xMode val="edge"/>
          <c:yMode val="edge"/>
          <c:x val="0.24562578325199291"/>
          <c:y val="0.86981315817865801"/>
          <c:w val="0.60872396830209174"/>
          <c:h val="0.13018694057691541"/>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6181321084864392"/>
          <c:y val="4.3650793650793704E-2"/>
          <c:w val="0.5888475417616712"/>
          <c:h val="0.74247161012625074"/>
        </c:manualLayout>
      </c:layout>
      <c:barChart>
        <c:barDir val="bar"/>
        <c:grouping val="clustered"/>
        <c:varyColors val="0"/>
        <c:ser>
          <c:idx val="0"/>
          <c:order val="0"/>
          <c:tx>
            <c:strRef>
              <c:f>Sheet1!$B$1</c:f>
              <c:strCache>
                <c:ptCount val="1"/>
                <c:pt idx="0">
                  <c:v>2010 година</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Sheet1!$A$2:$A$4</c:f>
              <c:strCache>
                <c:ptCount val="3"/>
                <c:pt idx="0">
                  <c:v>ВИП</c:v>
                </c:pt>
                <c:pt idx="1">
                  <c:v>ОНЕ</c:v>
                </c:pt>
                <c:pt idx="2">
                  <c:v>Т-Мобиле</c:v>
                </c:pt>
              </c:strCache>
            </c:strRef>
          </c:cat>
          <c:val>
            <c:numRef>
              <c:f>Sheet1!$B$2:$B$4</c:f>
              <c:numCache>
                <c:formatCode>0.00</c:formatCode>
                <c:ptCount val="3"/>
                <c:pt idx="0">
                  <c:v>1.62</c:v>
                </c:pt>
                <c:pt idx="1">
                  <c:v>1.9400000000000055</c:v>
                </c:pt>
                <c:pt idx="2">
                  <c:v>1.44</c:v>
                </c:pt>
              </c:numCache>
            </c:numRef>
          </c:val>
        </c:ser>
        <c:ser>
          <c:idx val="1"/>
          <c:order val="1"/>
          <c:tx>
            <c:strRef>
              <c:f>Sheet1!$C$1</c:f>
              <c:strCache>
                <c:ptCount val="1"/>
                <c:pt idx="0">
                  <c:v>2011 година</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Sheet1!$A$2:$A$4</c:f>
              <c:strCache>
                <c:ptCount val="3"/>
                <c:pt idx="0">
                  <c:v>ВИП</c:v>
                </c:pt>
                <c:pt idx="1">
                  <c:v>ОНЕ</c:v>
                </c:pt>
                <c:pt idx="2">
                  <c:v>Т-Мобиле</c:v>
                </c:pt>
              </c:strCache>
            </c:strRef>
          </c:cat>
          <c:val>
            <c:numRef>
              <c:f>Sheet1!$C$2:$C$4</c:f>
              <c:numCache>
                <c:formatCode>0.00</c:formatCode>
                <c:ptCount val="3"/>
                <c:pt idx="0">
                  <c:v>1.77</c:v>
                </c:pt>
                <c:pt idx="1">
                  <c:v>2.21</c:v>
                </c:pt>
                <c:pt idx="2">
                  <c:v>1.46</c:v>
                </c:pt>
              </c:numCache>
            </c:numRef>
          </c:val>
        </c:ser>
        <c:dLbls>
          <c:showLegendKey val="0"/>
          <c:showVal val="0"/>
          <c:showCatName val="0"/>
          <c:showSerName val="0"/>
          <c:showPercent val="0"/>
          <c:showBubbleSize val="0"/>
        </c:dLbls>
        <c:gapWidth val="150"/>
        <c:axId val="200340992"/>
        <c:axId val="200342528"/>
      </c:barChart>
      <c:catAx>
        <c:axId val="200340992"/>
        <c:scaling>
          <c:orientation val="minMax"/>
        </c:scaling>
        <c:delete val="0"/>
        <c:axPos val="l"/>
        <c:majorTickMark val="out"/>
        <c:minorTickMark val="none"/>
        <c:tickLblPos val="nextTo"/>
        <c:txPr>
          <a:bodyPr/>
          <a:lstStyle/>
          <a:p>
            <a:pPr>
              <a:defRPr b="1"/>
            </a:pPr>
            <a:endParaRPr lang="mk-MK"/>
          </a:p>
        </c:txPr>
        <c:crossAx val="200342528"/>
        <c:crosses val="autoZero"/>
        <c:auto val="1"/>
        <c:lblAlgn val="ctr"/>
        <c:lblOffset val="100"/>
        <c:noMultiLvlLbl val="0"/>
      </c:catAx>
      <c:valAx>
        <c:axId val="200342528"/>
        <c:scaling>
          <c:orientation val="minMax"/>
        </c:scaling>
        <c:delete val="0"/>
        <c:axPos val="b"/>
        <c:majorGridlines/>
        <c:numFmt formatCode="0.00" sourceLinked="1"/>
        <c:majorTickMark val="out"/>
        <c:minorTickMark val="none"/>
        <c:tickLblPos val="nextTo"/>
        <c:txPr>
          <a:bodyPr/>
          <a:lstStyle/>
          <a:p>
            <a:pPr>
              <a:defRPr b="1"/>
            </a:pPr>
            <a:endParaRPr lang="mk-MK"/>
          </a:p>
        </c:txPr>
        <c:crossAx val="200340992"/>
        <c:crosses val="autoZero"/>
        <c:crossBetween val="between"/>
      </c:valAx>
    </c:plotArea>
    <c:legend>
      <c:legendPos val="r"/>
      <c:overlay val="0"/>
      <c:txPr>
        <a:bodyPr/>
        <a:lstStyle/>
        <a:p>
          <a:pPr>
            <a:defRPr b="1"/>
          </a:pPr>
          <a:endParaRPr lang="mk-MK"/>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868542428281089E-2"/>
          <c:y val="0.12434667104661638"/>
          <c:w val="0.81945044423775359"/>
          <c:h val="0.76425124361664665"/>
        </c:manualLayout>
      </c:layout>
      <c:pie3DChart>
        <c:varyColors val="1"/>
        <c:ser>
          <c:idx val="0"/>
          <c:order val="0"/>
          <c:tx>
            <c:strRef>
              <c:f>Sheet1!$B$1</c:f>
              <c:strCache>
                <c:ptCount val="1"/>
                <c:pt idx="0">
                  <c:v>Удел во вкупниот број на испратени SMS пораки за 2009 година</c:v>
                </c:pt>
              </c:strCache>
            </c:strRef>
          </c:tx>
          <c:explosion val="17"/>
          <c:dLbls>
            <c:dLbl>
              <c:idx val="0"/>
              <c:layout>
                <c:manualLayout>
                  <c:x val="7.5112363259751513E-2"/>
                  <c:y val="-2.692279821026048E-2"/>
                </c:manualLayout>
              </c:layout>
              <c:showLegendKey val="0"/>
              <c:showVal val="1"/>
              <c:showCatName val="1"/>
              <c:showSerName val="0"/>
              <c:showPercent val="0"/>
              <c:showBubbleSize val="0"/>
            </c:dLbl>
            <c:dLbl>
              <c:idx val="1"/>
              <c:layout>
                <c:manualLayout>
                  <c:x val="-5.5732903178769333E-2"/>
                  <c:y val="2.1287964004500252E-3"/>
                </c:manualLayout>
              </c:layout>
              <c:showLegendKey val="0"/>
              <c:showVal val="1"/>
              <c:showCatName val="1"/>
              <c:showSerName val="0"/>
              <c:showPercent val="0"/>
              <c:showBubbleSize val="0"/>
            </c:dLbl>
            <c:dLbl>
              <c:idx val="2"/>
              <c:layout>
                <c:manualLayout>
                  <c:x val="4.7708392736601504E-2"/>
                  <c:y val="-1.9081396830762525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Sheet1!$A$2:$A$4</c:f>
              <c:strCache>
                <c:ptCount val="3"/>
                <c:pt idx="0">
                  <c:v>Т-Мобиле</c:v>
                </c:pt>
                <c:pt idx="1">
                  <c:v>ОНЕ</c:v>
                </c:pt>
                <c:pt idx="2">
                  <c:v>ВИП</c:v>
                </c:pt>
              </c:strCache>
            </c:strRef>
          </c:cat>
          <c:val>
            <c:numRef>
              <c:f>Sheet1!$B$2:$B$4</c:f>
              <c:numCache>
                <c:formatCode>0.00%</c:formatCode>
                <c:ptCount val="3"/>
                <c:pt idx="0">
                  <c:v>0.78490000000000004</c:v>
                </c:pt>
                <c:pt idx="1">
                  <c:v>8.5900000000000004E-2</c:v>
                </c:pt>
                <c:pt idx="2">
                  <c:v>0.12920000000000001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486564645837278"/>
          <c:y val="0.11278048336443494"/>
          <c:w val="0.83645231846019263"/>
          <c:h val="0.80398825146858899"/>
        </c:manualLayout>
      </c:layout>
      <c:pie3DChart>
        <c:varyColors val="1"/>
        <c:ser>
          <c:idx val="0"/>
          <c:order val="0"/>
          <c:tx>
            <c:strRef>
              <c:f>Sheet1!$B$1</c:f>
              <c:strCache>
                <c:ptCount val="1"/>
                <c:pt idx="0">
                  <c:v>Удел во вкупниот број на испратени MMS пораки за 2009 година</c:v>
                </c:pt>
              </c:strCache>
            </c:strRef>
          </c:tx>
          <c:explosion val="25"/>
          <c:dLbls>
            <c:dLbl>
              <c:idx val="0"/>
              <c:layout>
                <c:manualLayout>
                  <c:x val="4.9356856533828534E-2"/>
                  <c:y val="-4.4158210466052047E-2"/>
                </c:manualLayout>
              </c:layout>
              <c:showLegendKey val="0"/>
              <c:showVal val="1"/>
              <c:showCatName val="1"/>
              <c:showSerName val="0"/>
              <c:showPercent val="0"/>
              <c:showBubbleSize val="0"/>
            </c:dLbl>
            <c:dLbl>
              <c:idx val="1"/>
              <c:layout>
                <c:manualLayout>
                  <c:x val="1.1692756393931181E-2"/>
                  <c:y val="-5.6119744779004756E-2"/>
                </c:manualLayout>
              </c:layout>
              <c:showLegendKey val="0"/>
              <c:showVal val="1"/>
              <c:showCatName val="1"/>
              <c:showSerName val="0"/>
              <c:showPercent val="0"/>
              <c:showBubbleSize val="0"/>
            </c:dLbl>
            <c:dLbl>
              <c:idx val="2"/>
              <c:layout>
                <c:manualLayout>
                  <c:x val="5.4317183325057514E-2"/>
                  <c:y val="-2.3808033534758868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Sheet1!$A$2:$A$4</c:f>
              <c:strCache>
                <c:ptCount val="3"/>
                <c:pt idx="0">
                  <c:v>Т-Мобиле</c:v>
                </c:pt>
                <c:pt idx="1">
                  <c:v>ОНЕ</c:v>
                </c:pt>
                <c:pt idx="2">
                  <c:v>ВИП</c:v>
                </c:pt>
              </c:strCache>
            </c:strRef>
          </c:cat>
          <c:val>
            <c:numRef>
              <c:f>Sheet1!$B$2:$B$4</c:f>
              <c:numCache>
                <c:formatCode>0.00%</c:formatCode>
                <c:ptCount val="3"/>
                <c:pt idx="0">
                  <c:v>0.71000000000000063</c:v>
                </c:pt>
                <c:pt idx="1">
                  <c:v>0.14040000000000041</c:v>
                </c:pt>
                <c:pt idx="2">
                  <c:v>0.14960000000000001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10"/>
      <c:rAngAx val="0"/>
      <c:perspective val="30"/>
    </c:view3D>
    <c:floor>
      <c:thickness val="0"/>
    </c:floor>
    <c:sideWall>
      <c:thickness val="0"/>
    </c:sideWall>
    <c:backWall>
      <c:thickness val="0"/>
    </c:backWall>
    <c:plotArea>
      <c:layout>
        <c:manualLayout>
          <c:layoutTarget val="inner"/>
          <c:xMode val="edge"/>
          <c:yMode val="edge"/>
          <c:x val="9.6515684390398607E-2"/>
          <c:y val="0.15824972703859491"/>
          <c:w val="0.86156950162480861"/>
          <c:h val="0.81351046748629852"/>
        </c:manualLayout>
      </c:layout>
      <c:pie3DChart>
        <c:varyColors val="1"/>
        <c:ser>
          <c:idx val="0"/>
          <c:order val="0"/>
          <c:tx>
            <c:strRef>
              <c:f>Sheet1!$B$1</c:f>
              <c:strCache>
                <c:ptCount val="1"/>
                <c:pt idx="0">
                  <c:v>Удел во проценти</c:v>
                </c:pt>
              </c:strCache>
            </c:strRef>
          </c:tx>
          <c:explosion val="34"/>
          <c:dLbls>
            <c:dLbl>
              <c:idx val="0"/>
              <c:layout>
                <c:manualLayout>
                  <c:x val="4.6451774231221514E-3"/>
                  <c:y val="7.1609375031716821E-4"/>
                </c:manualLayout>
              </c:layout>
              <c:dLblPos val="bestFit"/>
              <c:showLegendKey val="0"/>
              <c:showVal val="0"/>
              <c:showCatName val="1"/>
              <c:showSerName val="0"/>
              <c:showPercent val="1"/>
              <c:showBubbleSize val="0"/>
            </c:dLbl>
            <c:dLbl>
              <c:idx val="1"/>
              <c:layout>
                <c:manualLayout>
                  <c:x val="-0.19434927026416884"/>
                  <c:y val="0"/>
                </c:manualLayout>
              </c:layout>
              <c:showLegendKey val="0"/>
              <c:showVal val="0"/>
              <c:showCatName val="1"/>
              <c:showSerName val="0"/>
              <c:showPercent val="1"/>
              <c:showBubbleSize val="0"/>
            </c:dLbl>
            <c:dLbl>
              <c:idx val="2"/>
              <c:layout>
                <c:manualLayout>
                  <c:x val="6.2188151312749462E-2"/>
                  <c:y val="0.19477366588351167"/>
                </c:manualLayout>
              </c:layout>
              <c:dLblPos val="bestFit"/>
              <c:showLegendKey val="0"/>
              <c:showVal val="0"/>
              <c:showCatName val="1"/>
              <c:showSerName val="0"/>
              <c:showPercent val="1"/>
              <c:showBubbleSize val="0"/>
            </c:dLbl>
            <c:dLbl>
              <c:idx val="3"/>
              <c:layout>
                <c:manualLayout>
                  <c:x val="-1.2437630262549878E-2"/>
                  <c:y val="8.5931250038060528E-3"/>
                </c:manualLayout>
              </c:layout>
              <c:dLblPos val="bestFit"/>
              <c:showLegendKey val="0"/>
              <c:showVal val="0"/>
              <c:showCatName val="1"/>
              <c:showSerName val="0"/>
              <c:showPercent val="1"/>
              <c:showBubbleSize val="0"/>
            </c:dLbl>
            <c:dLbl>
              <c:idx val="4"/>
              <c:layout>
                <c:manualLayout>
                  <c:x val="-8.9357681273156284E-2"/>
                  <c:y val="-8.5931250038060097E-2"/>
                </c:manualLayout>
              </c:layout>
              <c:dLblPos val="bestFit"/>
              <c:showLegendKey val="0"/>
              <c:showVal val="0"/>
              <c:showCatName val="1"/>
              <c:showSerName val="0"/>
              <c:showPercent val="1"/>
              <c:showBubbleSize val="0"/>
            </c:dLbl>
            <c:dLbl>
              <c:idx val="5"/>
              <c:layout>
                <c:manualLayout>
                  <c:x val="9.8914906532514668E-2"/>
                  <c:y val="-2.7927656262369552E-2"/>
                </c:manualLayout>
              </c:layout>
              <c:showLegendKey val="0"/>
              <c:showVal val="0"/>
              <c:showCatName val="1"/>
              <c:showSerName val="0"/>
              <c:showPercent val="1"/>
              <c:showBubbleSize val="0"/>
            </c:dLbl>
            <c:dLbl>
              <c:idx val="6"/>
              <c:layout>
                <c:manualLayout>
                  <c:x val="0.18775982119845544"/>
                  <c:y val="-5.9530283097232933E-2"/>
                </c:manualLayout>
              </c:layout>
              <c:showLegendKey val="0"/>
              <c:showVal val="0"/>
              <c:showCatName val="1"/>
              <c:showSerName val="0"/>
              <c:showPercent val="1"/>
              <c:showBubbleSize val="0"/>
            </c:dLbl>
            <c:numFmt formatCode="0.00%" sourceLinked="0"/>
            <c:txPr>
              <a:bodyPr/>
              <a:lstStyle/>
              <a:p>
                <a:pPr>
                  <a:defRPr sz="900" b="1"/>
                </a:pPr>
                <a:endParaRPr lang="mk-MK"/>
              </a:p>
            </c:txPr>
            <c:showLegendKey val="0"/>
            <c:showVal val="0"/>
            <c:showCatName val="1"/>
            <c:showSerName val="0"/>
            <c:showPercent val="1"/>
            <c:showBubbleSize val="0"/>
            <c:showLeaderLines val="1"/>
          </c:dLbls>
          <c:cat>
            <c:strRef>
              <c:f>Sheet1!$A$2:$A$8</c:f>
              <c:strCache>
                <c:ptCount val="7"/>
                <c:pt idx="0">
                  <c:v>У1-Обезбедување на јавно достапни телефонски услуги на фиксна локација за национален и/или меѓународен сообраќај</c:v>
                </c:pt>
                <c:pt idx="1">
                  <c:v>У2-Обезбедување на јавно достапни телефонски услуги на јавна мобилна комуникациска мрежа за национален и/или меѓународен сообраќај</c:v>
                </c:pt>
                <c:pt idx="2">
                  <c:v>У3-Меѓуоператорски услуги за пренос или рутирање на национален и/или меѓународен сообраќај</c:v>
                </c:pt>
                <c:pt idx="3">
                  <c:v>У4-Услуги за пренос на податоци</c:v>
                </c:pt>
                <c:pt idx="4">
                  <c:v>У5-Услуги поврзани со радиодифузија</c:v>
                </c:pt>
                <c:pt idx="5">
                  <c:v>У6-Услуги на давање јавна електронска комуникациска мрежа под наем</c:v>
                </c:pt>
                <c:pt idx="6">
                  <c:v>У7-Други услуги</c:v>
                </c:pt>
              </c:strCache>
            </c:strRef>
          </c:cat>
          <c:val>
            <c:numRef>
              <c:f>Sheet1!$B$2:$B$8</c:f>
              <c:numCache>
                <c:formatCode>0.00%</c:formatCode>
                <c:ptCount val="7"/>
                <c:pt idx="0">
                  <c:v>0.1043</c:v>
                </c:pt>
                <c:pt idx="1">
                  <c:v>0.48880000000000057</c:v>
                </c:pt>
                <c:pt idx="2">
                  <c:v>0.15660000000000004</c:v>
                </c:pt>
                <c:pt idx="3">
                  <c:v>9.8400000000000043E-2</c:v>
                </c:pt>
                <c:pt idx="4">
                  <c:v>4.2800000000000032E-2</c:v>
                </c:pt>
                <c:pt idx="5">
                  <c:v>2.1399999999999999E-2</c:v>
                </c:pt>
                <c:pt idx="6">
                  <c:v>8.77E-2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0905858121901428"/>
          <c:y val="9.197719447000112E-2"/>
          <c:w val="0.84001549285505983"/>
          <c:h val="0.76582719111499864"/>
        </c:manualLayout>
      </c:layout>
      <c:barChart>
        <c:barDir val="col"/>
        <c:grouping val="clustered"/>
        <c:varyColors val="0"/>
        <c:ser>
          <c:idx val="0"/>
          <c:order val="0"/>
          <c:tx>
            <c:strRef>
              <c:f>Sheet1!$B$1</c:f>
              <c:strCache>
                <c:ptCount val="1"/>
                <c:pt idx="0">
                  <c:v>Број на претплатници на интернет со тесен опсег</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c:formatCode>
                <c:ptCount val="4"/>
                <c:pt idx="0">
                  <c:v>1481</c:v>
                </c:pt>
                <c:pt idx="1">
                  <c:v>1271</c:v>
                </c:pt>
                <c:pt idx="2">
                  <c:v>1116</c:v>
                </c:pt>
                <c:pt idx="3">
                  <c:v>1080</c:v>
                </c:pt>
              </c:numCache>
            </c:numRef>
          </c:val>
        </c:ser>
        <c:dLbls>
          <c:showLegendKey val="0"/>
          <c:showVal val="0"/>
          <c:showCatName val="0"/>
          <c:showSerName val="0"/>
          <c:showPercent val="0"/>
          <c:showBubbleSize val="0"/>
        </c:dLbls>
        <c:gapWidth val="150"/>
        <c:axId val="200577024"/>
        <c:axId val="200578560"/>
      </c:barChart>
      <c:catAx>
        <c:axId val="200577024"/>
        <c:scaling>
          <c:orientation val="minMax"/>
        </c:scaling>
        <c:delete val="0"/>
        <c:axPos val="b"/>
        <c:majorTickMark val="out"/>
        <c:minorTickMark val="none"/>
        <c:tickLblPos val="nextTo"/>
        <c:txPr>
          <a:bodyPr/>
          <a:lstStyle/>
          <a:p>
            <a:pPr>
              <a:defRPr b="1"/>
            </a:pPr>
            <a:endParaRPr lang="mk-MK"/>
          </a:p>
        </c:txPr>
        <c:crossAx val="200578560"/>
        <c:crosses val="autoZero"/>
        <c:auto val="1"/>
        <c:lblAlgn val="ctr"/>
        <c:lblOffset val="100"/>
        <c:noMultiLvlLbl val="0"/>
      </c:catAx>
      <c:valAx>
        <c:axId val="200578560"/>
        <c:scaling>
          <c:orientation val="minMax"/>
        </c:scaling>
        <c:delete val="0"/>
        <c:axPos val="l"/>
        <c:majorGridlines/>
        <c:numFmt formatCode="#,##0" sourceLinked="1"/>
        <c:majorTickMark val="out"/>
        <c:minorTickMark val="none"/>
        <c:tickLblPos val="nextTo"/>
        <c:txPr>
          <a:bodyPr/>
          <a:lstStyle/>
          <a:p>
            <a:pPr>
              <a:defRPr b="1"/>
            </a:pPr>
            <a:endParaRPr lang="mk-MK"/>
          </a:p>
        </c:txPr>
        <c:crossAx val="20057702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362345071449402"/>
          <c:y val="5.3809523809523932E-2"/>
          <c:w val="0.74108030766990063"/>
          <c:h val="0.80399481314837939"/>
        </c:manualLayout>
      </c:layout>
      <c:barChart>
        <c:barDir val="col"/>
        <c:grouping val="clustered"/>
        <c:varyColors val="0"/>
        <c:ser>
          <c:idx val="0"/>
          <c:order val="0"/>
          <c:tx>
            <c:strRef>
              <c:f>Sheet1!$B$1</c:f>
              <c:strCache>
                <c:ptCount val="1"/>
                <c:pt idx="0">
                  <c:v>Број на претплатници на интернет со широк опсег</c:v>
                </c:pt>
              </c:strCache>
            </c:strRef>
          </c:tx>
          <c:invertIfNegative val="0"/>
          <c:dLbls>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c:formatCode>
                <c:ptCount val="4"/>
                <c:pt idx="0">
                  <c:v>263713</c:v>
                </c:pt>
                <c:pt idx="1">
                  <c:v>266258</c:v>
                </c:pt>
                <c:pt idx="2">
                  <c:v>271773</c:v>
                </c:pt>
                <c:pt idx="3">
                  <c:v>282370</c:v>
                </c:pt>
              </c:numCache>
            </c:numRef>
          </c:val>
        </c:ser>
        <c:dLbls>
          <c:showLegendKey val="0"/>
          <c:showVal val="0"/>
          <c:showCatName val="0"/>
          <c:showSerName val="0"/>
          <c:showPercent val="0"/>
          <c:showBubbleSize val="0"/>
        </c:dLbls>
        <c:gapWidth val="150"/>
        <c:axId val="200860800"/>
        <c:axId val="200862336"/>
      </c:barChart>
      <c:catAx>
        <c:axId val="200860800"/>
        <c:scaling>
          <c:orientation val="minMax"/>
        </c:scaling>
        <c:delete val="0"/>
        <c:axPos val="b"/>
        <c:majorTickMark val="out"/>
        <c:minorTickMark val="none"/>
        <c:tickLblPos val="nextTo"/>
        <c:txPr>
          <a:bodyPr/>
          <a:lstStyle/>
          <a:p>
            <a:pPr>
              <a:defRPr b="1"/>
            </a:pPr>
            <a:endParaRPr lang="mk-MK"/>
          </a:p>
        </c:txPr>
        <c:crossAx val="200862336"/>
        <c:crosses val="autoZero"/>
        <c:auto val="1"/>
        <c:lblAlgn val="ctr"/>
        <c:lblOffset val="100"/>
        <c:noMultiLvlLbl val="0"/>
      </c:catAx>
      <c:valAx>
        <c:axId val="200862336"/>
        <c:scaling>
          <c:orientation val="minMax"/>
        </c:scaling>
        <c:delete val="0"/>
        <c:axPos val="l"/>
        <c:majorGridlines/>
        <c:numFmt formatCode="#,##0" sourceLinked="1"/>
        <c:majorTickMark val="out"/>
        <c:minorTickMark val="none"/>
        <c:tickLblPos val="nextTo"/>
        <c:txPr>
          <a:bodyPr/>
          <a:lstStyle/>
          <a:p>
            <a:pPr>
              <a:defRPr b="1"/>
            </a:pPr>
            <a:endParaRPr lang="mk-MK"/>
          </a:p>
        </c:txPr>
        <c:crossAx val="20086080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361111111111124"/>
          <c:y val="7.6468253968253963E-2"/>
          <c:w val="0.74167596237973543"/>
          <c:h val="0.8759126984126987"/>
        </c:manualLayout>
      </c:layout>
      <c:pie3DChart>
        <c:varyColors val="1"/>
        <c:ser>
          <c:idx val="0"/>
          <c:order val="0"/>
          <c:tx>
            <c:strRef>
              <c:f>Sheet1!$B$1</c:f>
              <c:strCache>
                <c:ptCount val="1"/>
                <c:pt idx="0">
                  <c:v>Sales</c:v>
                </c:pt>
              </c:strCache>
            </c:strRef>
          </c:tx>
          <c:explosion val="33"/>
          <c:dPt>
            <c:idx val="0"/>
            <c:bubble3D val="0"/>
            <c:explosion val="12"/>
          </c:dPt>
          <c:dLbls>
            <c:dLbl>
              <c:idx val="0"/>
              <c:layout>
                <c:manualLayout>
                  <c:x val="-4.2951297754447434E-2"/>
                  <c:y val="0.17271216097987754"/>
                </c:manualLayout>
              </c:layout>
              <c:showLegendKey val="0"/>
              <c:showVal val="1"/>
              <c:showCatName val="1"/>
              <c:showSerName val="0"/>
              <c:showPercent val="0"/>
              <c:showBubbleSize val="0"/>
            </c:dLbl>
            <c:dLbl>
              <c:idx val="1"/>
              <c:layout>
                <c:manualLayout>
                  <c:x val="-1.0450568678915601E-2"/>
                  <c:y val="0.12205411823522062"/>
                </c:manualLayout>
              </c:layout>
              <c:showLegendKey val="0"/>
              <c:showVal val="1"/>
              <c:showCatName val="1"/>
              <c:showSerName val="0"/>
              <c:showPercent val="0"/>
              <c:showBubbleSize val="0"/>
            </c:dLbl>
            <c:dLbl>
              <c:idx val="2"/>
              <c:layout>
                <c:manualLayout>
                  <c:x val="-0.13513252342178117"/>
                  <c:y val="8.6142272840853806E-4"/>
                </c:manualLayout>
              </c:layout>
              <c:showLegendKey val="0"/>
              <c:showVal val="1"/>
              <c:showCatName val="1"/>
              <c:showSerName val="0"/>
              <c:showPercent val="0"/>
              <c:showBubbleSize val="0"/>
            </c:dLbl>
            <c:dLbl>
              <c:idx val="3"/>
              <c:layout>
                <c:manualLayout>
                  <c:x val="6.3683507428079463E-3"/>
                  <c:y val="-4.6650733434799085E-2"/>
                </c:manualLayout>
              </c:layout>
              <c:showLegendKey val="0"/>
              <c:showVal val="1"/>
              <c:showCatName val="1"/>
              <c:showSerName val="0"/>
              <c:showPercent val="0"/>
              <c:showBubbleSize val="0"/>
            </c:dLbl>
            <c:dLbl>
              <c:idx val="4"/>
              <c:layout>
                <c:manualLayout>
                  <c:x val="0.19105664940161687"/>
                  <c:y val="-4.1732972105685433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Sheet1!$A$2:$A$7</c:f>
              <c:strCache>
                <c:ptCount val="6"/>
                <c:pt idx="0">
                  <c:v>Јавна комуникациска мрежа xDSL</c:v>
                </c:pt>
                <c:pt idx="1">
                  <c:v>Јавна CaTV мрежа</c:v>
                </c:pt>
                <c:pt idx="2">
                  <c:v>Јавна радиокомуникациска мрежа (не се вклучени претплатници преку мобилни мрежи)</c:v>
                </c:pt>
                <c:pt idx="3">
                  <c:v>Изнајмени линии</c:v>
                </c:pt>
                <c:pt idx="4">
                  <c:v>Јавна оптичка мрежа</c:v>
                </c:pt>
                <c:pt idx="5">
                  <c:v>Јавна LAN мрежа</c:v>
                </c:pt>
              </c:strCache>
            </c:strRef>
          </c:cat>
          <c:val>
            <c:numRef>
              <c:f>Sheet1!$B$2:$B$7</c:f>
              <c:numCache>
                <c:formatCode>0.00%</c:formatCode>
                <c:ptCount val="6"/>
                <c:pt idx="0">
                  <c:v>0.54479999999999995</c:v>
                </c:pt>
                <c:pt idx="1">
                  <c:v>0.31390000000000146</c:v>
                </c:pt>
                <c:pt idx="2">
                  <c:v>7.920000000000002E-2</c:v>
                </c:pt>
                <c:pt idx="3">
                  <c:v>2.8999999999999998E-3</c:v>
                </c:pt>
                <c:pt idx="4">
                  <c:v>1.4800000000000001E-2</c:v>
                </c:pt>
                <c:pt idx="5">
                  <c:v>4.4400000000000113E-2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166592095938327"/>
          <c:y val="0.15526949699607029"/>
          <c:w val="0.83107028753993661"/>
          <c:h val="0.77274598750918733"/>
        </c:manualLayout>
      </c:layout>
      <c:pie3DChart>
        <c:varyColors val="1"/>
        <c:ser>
          <c:idx val="0"/>
          <c:order val="0"/>
          <c:tx>
            <c:strRef>
              <c:f>Sheet1!$B$1</c:f>
              <c:strCache>
                <c:ptCount val="1"/>
                <c:pt idx="0">
                  <c:v>Sales</c:v>
                </c:pt>
              </c:strCache>
            </c:strRef>
          </c:tx>
          <c:explosion val="25"/>
          <c:dPt>
            <c:idx val="1"/>
            <c:bubble3D val="0"/>
            <c:explosion val="12"/>
          </c:dPt>
          <c:dLbls>
            <c:dLbl>
              <c:idx val="0"/>
              <c:layout>
                <c:manualLayout>
                  <c:x val="2.1825240594926833E-2"/>
                  <c:y val="1.9841269841270495E-3"/>
                </c:manualLayout>
              </c:layout>
              <c:showLegendKey val="0"/>
              <c:showVal val="1"/>
              <c:showCatName val="1"/>
              <c:showSerName val="0"/>
              <c:showPercent val="0"/>
              <c:showBubbleSize val="0"/>
            </c:dLbl>
            <c:dLbl>
              <c:idx val="1"/>
              <c:layout>
                <c:manualLayout>
                  <c:x val="-6.018518518518519E-4"/>
                  <c:y val="-8.9346956630421193E-2"/>
                </c:manualLayout>
              </c:layout>
              <c:showLegendKey val="0"/>
              <c:showVal val="1"/>
              <c:showCatName val="1"/>
              <c:showSerName val="0"/>
              <c:showPercent val="0"/>
              <c:showBubbleSize val="0"/>
            </c:dLbl>
            <c:dLbl>
              <c:idx val="2"/>
              <c:layout>
                <c:manualLayout>
                  <c:x val="-2.4456224371713919E-2"/>
                  <c:y val="-6.9996212128144414E-2"/>
                </c:manualLayout>
              </c:layout>
              <c:showLegendKey val="0"/>
              <c:showVal val="1"/>
              <c:showCatName val="1"/>
              <c:showSerName val="0"/>
              <c:showPercent val="0"/>
              <c:showBubbleSize val="0"/>
            </c:dLbl>
            <c:dLbl>
              <c:idx val="3"/>
              <c:layout>
                <c:manualLayout>
                  <c:x val="-6.5196315815954323E-2"/>
                  <c:y val="-1.4659613051505795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Sheet1!$A$2:$A$5</c:f>
              <c:strCache>
                <c:ptCount val="4"/>
                <c:pt idx="0">
                  <c:v>IPTV</c:v>
                </c:pt>
                <c:pt idx="1">
                  <c:v>DVB-T</c:v>
                </c:pt>
                <c:pt idx="2">
                  <c:v>Кабелска телевизија</c:v>
                </c:pt>
                <c:pt idx="3">
                  <c:v>Сателитска телевизија</c:v>
                </c:pt>
              </c:strCache>
            </c:strRef>
          </c:cat>
          <c:val>
            <c:numRef>
              <c:f>Sheet1!$B$2:$B$5</c:f>
              <c:numCache>
                <c:formatCode>0.00%</c:formatCode>
                <c:ptCount val="4"/>
                <c:pt idx="0">
                  <c:v>0.15950000000000067</c:v>
                </c:pt>
                <c:pt idx="1">
                  <c:v>0.20050000000000001</c:v>
                </c:pt>
                <c:pt idx="2">
                  <c:v>0.63410000000000255</c:v>
                </c:pt>
                <c:pt idx="3">
                  <c:v>5.9000000000000276E-3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2.6838181685622856E-2"/>
                  <c:y val="-4.8800462442194728E-2"/>
                </c:manualLayout>
              </c:layout>
              <c:showLegendKey val="0"/>
              <c:showVal val="1"/>
              <c:showCatName val="1"/>
              <c:showSerName val="0"/>
              <c:showPercent val="0"/>
              <c:showBubbleSize val="0"/>
            </c:dLbl>
            <c:dLbl>
              <c:idx val="1"/>
              <c:layout>
                <c:manualLayout>
                  <c:x val="5.5264836687080781E-3"/>
                  <c:y val="3.7245969253843852E-2"/>
                </c:manualLayout>
              </c:layout>
              <c:showLegendKey val="0"/>
              <c:showVal val="1"/>
              <c:showCatName val="1"/>
              <c:showSerName val="0"/>
              <c:showPercent val="0"/>
              <c:showBubbleSize val="0"/>
            </c:dLbl>
            <c:dLbl>
              <c:idx val="2"/>
              <c:layout>
                <c:manualLayout>
                  <c:x val="-1.9952245552639261E-2"/>
                  <c:y val="-1.2303462067241594E-2"/>
                </c:manualLayout>
              </c:layout>
              <c:showLegendKey val="0"/>
              <c:showVal val="1"/>
              <c:showCatName val="1"/>
              <c:showSerName val="0"/>
              <c:showPercent val="0"/>
              <c:showBubbleSize val="0"/>
            </c:dLbl>
            <c:dLbl>
              <c:idx val="3"/>
              <c:layout>
                <c:manualLayout>
                  <c:x val="1.4004629629629641E-2"/>
                  <c:y val="0.1100921759780048"/>
                </c:manualLayout>
              </c:layout>
              <c:showLegendKey val="0"/>
              <c:showVal val="1"/>
              <c:showCatName val="1"/>
              <c:showSerName val="0"/>
              <c:showPercent val="0"/>
              <c:showBubbleSize val="0"/>
            </c:dLbl>
            <c:dLbl>
              <c:idx val="5"/>
              <c:layout>
                <c:manualLayout>
                  <c:x val="2.6963970060737402E-2"/>
                  <c:y val="-4.5295275590551166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Sheet1!$A$2:$A$9</c:f>
              <c:strCache>
                <c:ptCount val="8"/>
                <c:pt idx="0">
                  <c:v>Близу</c:v>
                </c:pt>
                <c:pt idx="1">
                  <c:v>Роби</c:v>
                </c:pt>
                <c:pt idx="2">
                  <c:v>Македонски телеком</c:v>
                </c:pt>
                <c:pt idx="3">
                  <c:v>ОНЕ</c:v>
                </c:pt>
                <c:pt idx="4">
                  <c:v>ИнелИнтернационал</c:v>
                </c:pt>
                <c:pt idx="5">
                  <c:v>Инфел-КТВ</c:v>
                </c:pt>
                <c:pt idx="6">
                  <c:v>КДС Кабел Нет</c:v>
                </c:pt>
                <c:pt idx="7">
                  <c:v>Останати</c:v>
                </c:pt>
              </c:strCache>
            </c:strRef>
          </c:cat>
          <c:val>
            <c:numRef>
              <c:f>Sheet1!$B$2:$B$9</c:f>
              <c:numCache>
                <c:formatCode>0.00%</c:formatCode>
                <c:ptCount val="8"/>
                <c:pt idx="0">
                  <c:v>0.22819999999999999</c:v>
                </c:pt>
                <c:pt idx="1">
                  <c:v>0.22450000000000001</c:v>
                </c:pt>
                <c:pt idx="2">
                  <c:v>0.15950000000000061</c:v>
                </c:pt>
                <c:pt idx="3">
                  <c:v>0.20050000000000001</c:v>
                </c:pt>
                <c:pt idx="4">
                  <c:v>2.4400000000000002E-2</c:v>
                </c:pt>
                <c:pt idx="5">
                  <c:v>1.7500000000000005E-2</c:v>
                </c:pt>
                <c:pt idx="6">
                  <c:v>2.0299999999999999E-2</c:v>
                </c:pt>
                <c:pt idx="7">
                  <c:v>0.12509999999999999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2264654418198274"/>
          <c:y val="4.7698412698412712E-2"/>
          <c:w val="0.83736297668673754"/>
          <c:h val="0.66661678255460965"/>
        </c:manualLayout>
      </c:layout>
      <c:lineChart>
        <c:grouping val="standard"/>
        <c:varyColors val="0"/>
        <c:ser>
          <c:idx val="0"/>
          <c:order val="0"/>
          <c:tx>
            <c:strRef>
              <c:f>Sheet1!$B$1</c:f>
              <c:strCache>
                <c:ptCount val="1"/>
                <c:pt idx="0">
                  <c:v>Фиксни</c:v>
                </c:pt>
              </c:strCache>
            </c:strRef>
          </c:tx>
          <c:dLbls>
            <c:txPr>
              <a:bodyPr/>
              <a:lstStyle/>
              <a:p>
                <a:pPr>
                  <a:defRPr b="1"/>
                </a:pPr>
                <a:endParaRPr lang="mk-MK"/>
              </a:p>
            </c:txPr>
            <c:dLblPos val="t"/>
            <c:showLegendKey val="0"/>
            <c:showVal val="1"/>
            <c:showCatName val="0"/>
            <c:showSerName val="0"/>
            <c:showPercent val="0"/>
            <c:showBubbleSize val="0"/>
            <c:showLeaderLines val="0"/>
          </c:dLbls>
          <c:cat>
            <c:numRef>
              <c:f>Sheet1!$A$2:$A$13</c:f>
              <c:numCache>
                <c:formatCode>dd/mm/yyyy;@</c:formatCode>
                <c:ptCount val="12"/>
                <c:pt idx="0">
                  <c:v>39903</c:v>
                </c:pt>
                <c:pt idx="1">
                  <c:v>39994</c:v>
                </c:pt>
                <c:pt idx="2">
                  <c:v>40086</c:v>
                </c:pt>
                <c:pt idx="3">
                  <c:v>40178</c:v>
                </c:pt>
                <c:pt idx="4">
                  <c:v>40268</c:v>
                </c:pt>
                <c:pt idx="5">
                  <c:v>40359</c:v>
                </c:pt>
                <c:pt idx="6">
                  <c:v>40451</c:v>
                </c:pt>
                <c:pt idx="7">
                  <c:v>40543</c:v>
                </c:pt>
                <c:pt idx="8">
                  <c:v>40633</c:v>
                </c:pt>
                <c:pt idx="9">
                  <c:v>40724</c:v>
                </c:pt>
                <c:pt idx="10">
                  <c:v>40816</c:v>
                </c:pt>
                <c:pt idx="11">
                  <c:v>40908</c:v>
                </c:pt>
              </c:numCache>
            </c:numRef>
          </c:cat>
          <c:val>
            <c:numRef>
              <c:f>Sheet1!$B$2:$B$13</c:f>
              <c:numCache>
                <c:formatCode>#,##0</c:formatCode>
                <c:ptCount val="12"/>
                <c:pt idx="0">
                  <c:v>7645</c:v>
                </c:pt>
                <c:pt idx="1">
                  <c:v>10746</c:v>
                </c:pt>
                <c:pt idx="2">
                  <c:v>13857</c:v>
                </c:pt>
                <c:pt idx="3">
                  <c:v>17419</c:v>
                </c:pt>
                <c:pt idx="4">
                  <c:v>22572</c:v>
                </c:pt>
                <c:pt idx="5">
                  <c:v>25728</c:v>
                </c:pt>
                <c:pt idx="6">
                  <c:v>28312</c:v>
                </c:pt>
                <c:pt idx="7">
                  <c:v>39206</c:v>
                </c:pt>
                <c:pt idx="8">
                  <c:v>50304</c:v>
                </c:pt>
                <c:pt idx="9">
                  <c:v>57806</c:v>
                </c:pt>
                <c:pt idx="10">
                  <c:v>67624</c:v>
                </c:pt>
                <c:pt idx="11">
                  <c:v>76790</c:v>
                </c:pt>
              </c:numCache>
            </c:numRef>
          </c:val>
          <c:smooth val="0"/>
        </c:ser>
        <c:ser>
          <c:idx val="1"/>
          <c:order val="1"/>
          <c:tx>
            <c:strRef>
              <c:f>Sheet1!$C$1</c:f>
              <c:strCache>
                <c:ptCount val="1"/>
                <c:pt idx="0">
                  <c:v>Мобилни</c:v>
                </c:pt>
              </c:strCache>
            </c:strRef>
          </c:tx>
          <c:dLbls>
            <c:txPr>
              <a:bodyPr/>
              <a:lstStyle/>
              <a:p>
                <a:pPr>
                  <a:defRPr b="1"/>
                </a:pPr>
                <a:endParaRPr lang="mk-MK"/>
              </a:p>
            </c:txPr>
            <c:dLblPos val="t"/>
            <c:showLegendKey val="0"/>
            <c:showVal val="1"/>
            <c:showCatName val="0"/>
            <c:showSerName val="0"/>
            <c:showPercent val="0"/>
            <c:showBubbleSize val="0"/>
            <c:showLeaderLines val="0"/>
          </c:dLbls>
          <c:cat>
            <c:numRef>
              <c:f>Sheet1!$A$2:$A$13</c:f>
              <c:numCache>
                <c:formatCode>dd/mm/yyyy;@</c:formatCode>
                <c:ptCount val="12"/>
                <c:pt idx="0">
                  <c:v>39903</c:v>
                </c:pt>
                <c:pt idx="1">
                  <c:v>39994</c:v>
                </c:pt>
                <c:pt idx="2">
                  <c:v>40086</c:v>
                </c:pt>
                <c:pt idx="3">
                  <c:v>40178</c:v>
                </c:pt>
                <c:pt idx="4">
                  <c:v>40268</c:v>
                </c:pt>
                <c:pt idx="5">
                  <c:v>40359</c:v>
                </c:pt>
                <c:pt idx="6">
                  <c:v>40451</c:v>
                </c:pt>
                <c:pt idx="7">
                  <c:v>40543</c:v>
                </c:pt>
                <c:pt idx="8">
                  <c:v>40633</c:v>
                </c:pt>
                <c:pt idx="9">
                  <c:v>40724</c:v>
                </c:pt>
                <c:pt idx="10">
                  <c:v>40816</c:v>
                </c:pt>
                <c:pt idx="11">
                  <c:v>40908</c:v>
                </c:pt>
              </c:numCache>
            </c:numRef>
          </c:cat>
          <c:val>
            <c:numRef>
              <c:f>Sheet1!$C$2:$C$13</c:f>
              <c:numCache>
                <c:formatCode>#,##0</c:formatCode>
                <c:ptCount val="12"/>
                <c:pt idx="0">
                  <c:v>1907</c:v>
                </c:pt>
                <c:pt idx="1">
                  <c:v>3119</c:v>
                </c:pt>
                <c:pt idx="2">
                  <c:v>4356</c:v>
                </c:pt>
                <c:pt idx="3">
                  <c:v>6961</c:v>
                </c:pt>
                <c:pt idx="4">
                  <c:v>9957</c:v>
                </c:pt>
                <c:pt idx="5">
                  <c:v>14488</c:v>
                </c:pt>
                <c:pt idx="6">
                  <c:v>17722</c:v>
                </c:pt>
                <c:pt idx="7">
                  <c:v>25986</c:v>
                </c:pt>
                <c:pt idx="8">
                  <c:v>32811</c:v>
                </c:pt>
                <c:pt idx="9">
                  <c:v>42416</c:v>
                </c:pt>
                <c:pt idx="10">
                  <c:v>51352</c:v>
                </c:pt>
                <c:pt idx="11">
                  <c:v>59354</c:v>
                </c:pt>
              </c:numCache>
            </c:numRef>
          </c:val>
          <c:smooth val="0"/>
        </c:ser>
        <c:dLbls>
          <c:showLegendKey val="0"/>
          <c:showVal val="0"/>
          <c:showCatName val="0"/>
          <c:showSerName val="0"/>
          <c:showPercent val="0"/>
          <c:showBubbleSize val="0"/>
        </c:dLbls>
        <c:marker val="1"/>
        <c:smooth val="0"/>
        <c:axId val="201114752"/>
        <c:axId val="201116288"/>
      </c:lineChart>
      <c:catAx>
        <c:axId val="201114752"/>
        <c:scaling>
          <c:orientation val="minMax"/>
        </c:scaling>
        <c:delete val="0"/>
        <c:axPos val="b"/>
        <c:numFmt formatCode="dd/mm/yyyy;@" sourceLinked="1"/>
        <c:majorTickMark val="out"/>
        <c:minorTickMark val="none"/>
        <c:tickLblPos val="nextTo"/>
        <c:txPr>
          <a:bodyPr/>
          <a:lstStyle/>
          <a:p>
            <a:pPr>
              <a:defRPr b="1"/>
            </a:pPr>
            <a:endParaRPr lang="mk-MK"/>
          </a:p>
        </c:txPr>
        <c:crossAx val="201116288"/>
        <c:crosses val="autoZero"/>
        <c:auto val="0"/>
        <c:lblAlgn val="ctr"/>
        <c:lblOffset val="100"/>
        <c:noMultiLvlLbl val="0"/>
      </c:catAx>
      <c:valAx>
        <c:axId val="201116288"/>
        <c:scaling>
          <c:orientation val="minMax"/>
        </c:scaling>
        <c:delete val="0"/>
        <c:axPos val="l"/>
        <c:majorGridlines/>
        <c:numFmt formatCode="#,##0" sourceLinked="1"/>
        <c:majorTickMark val="out"/>
        <c:minorTickMark val="none"/>
        <c:tickLblPos val="nextTo"/>
        <c:txPr>
          <a:bodyPr/>
          <a:lstStyle/>
          <a:p>
            <a:pPr>
              <a:defRPr b="1"/>
            </a:pPr>
            <a:endParaRPr lang="mk-MK"/>
          </a:p>
        </c:txPr>
        <c:crossAx val="201114752"/>
        <c:crosses val="autoZero"/>
        <c:crossBetween val="between"/>
      </c:valAx>
    </c:plotArea>
    <c:legend>
      <c:legendPos val="b"/>
      <c:overlay val="0"/>
      <c:txPr>
        <a:bodyPr/>
        <a:lstStyle/>
        <a:p>
          <a:pPr>
            <a:defRPr b="1"/>
          </a:pPr>
          <a:endParaRPr lang="mk-MK"/>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962962962962782"/>
          <c:y val="0.12202380952381038"/>
          <c:w val="0.78011028283090977"/>
          <c:h val="0.74452558052968165"/>
        </c:manualLayout>
      </c:layout>
      <c:pie3DChart>
        <c:varyColors val="1"/>
        <c:ser>
          <c:idx val="0"/>
          <c:order val="0"/>
          <c:tx>
            <c:strRef>
              <c:f>Sheet1!$B$1</c:f>
              <c:strCache>
                <c:ptCount val="1"/>
                <c:pt idx="0">
                  <c:v>Sales</c:v>
                </c:pt>
              </c:strCache>
            </c:strRef>
          </c:tx>
          <c:explosion val="25"/>
          <c:dLbls>
            <c:dLbl>
              <c:idx val="0"/>
              <c:layout>
                <c:manualLayout>
                  <c:x val="7.1996208807232523E-2"/>
                  <c:y val="2.3809523809523812E-2"/>
                </c:manualLayout>
              </c:layout>
              <c:showLegendKey val="0"/>
              <c:showVal val="1"/>
              <c:showCatName val="1"/>
              <c:showSerName val="0"/>
              <c:showPercent val="0"/>
              <c:showBubbleSize val="0"/>
            </c:dLbl>
            <c:dLbl>
              <c:idx val="1"/>
              <c:layout>
                <c:manualLayout>
                  <c:x val="-1.8511045136159122E-2"/>
                  <c:y val="5.1633296119075064E-2"/>
                </c:manualLayout>
              </c:layout>
              <c:showLegendKey val="0"/>
              <c:showVal val="1"/>
              <c:showCatName val="1"/>
              <c:showSerName val="0"/>
              <c:showPercent val="0"/>
              <c:showBubbleSize val="0"/>
            </c:dLbl>
            <c:dLbl>
              <c:idx val="2"/>
              <c:layout>
                <c:manualLayout>
                  <c:x val="7.6004301545640534E-3"/>
                  <c:y val="1.3162417197850301E-2"/>
                </c:manualLayout>
              </c:layout>
              <c:showLegendKey val="0"/>
              <c:showVal val="1"/>
              <c:showCatName val="1"/>
              <c:showSerName val="0"/>
              <c:showPercent val="0"/>
              <c:showBubbleSize val="0"/>
            </c:dLbl>
            <c:dLbl>
              <c:idx val="3"/>
              <c:layout>
                <c:manualLayout>
                  <c:x val="1.4533721166450921E-3"/>
                  <c:y val="-1.7770776221817108E-2"/>
                </c:manualLayout>
              </c:layout>
              <c:showLegendKey val="0"/>
              <c:showVal val="1"/>
              <c:showCatName val="1"/>
              <c:showSerName val="0"/>
              <c:showPercent val="0"/>
              <c:showBubbleSize val="0"/>
            </c:dLbl>
            <c:dLbl>
              <c:idx val="4"/>
              <c:layout>
                <c:manualLayout>
                  <c:x val="-4.6573862440706805E-2"/>
                  <c:y val="-9.4920437879903504E-3"/>
                </c:manualLayout>
              </c:layout>
              <c:showLegendKey val="0"/>
              <c:showVal val="1"/>
              <c:showCatName val="1"/>
              <c:showSerName val="0"/>
              <c:showPercent val="0"/>
              <c:showBubbleSize val="0"/>
            </c:dLbl>
            <c:dLbl>
              <c:idx val="5"/>
              <c:layout>
                <c:manualLayout>
                  <c:x val="-4.9270742198891798E-2"/>
                  <c:y val="4.899075115610739E-3"/>
                </c:manualLayout>
              </c:layout>
              <c:showLegendKey val="0"/>
              <c:showVal val="1"/>
              <c:showCatName val="1"/>
              <c:showSerName val="0"/>
              <c:showPercent val="0"/>
              <c:showBubbleSize val="0"/>
            </c:dLbl>
            <c:dLbl>
              <c:idx val="6"/>
              <c:layout>
                <c:manualLayout>
                  <c:x val="-0.19816546369203891"/>
                  <c:y val="0"/>
                </c:manualLayout>
              </c:layout>
              <c:showLegendKey val="0"/>
              <c:showVal val="1"/>
              <c:showCatName val="1"/>
              <c:showSerName val="0"/>
              <c:showPercent val="0"/>
              <c:showBubbleSize val="0"/>
            </c:dLbl>
            <c:dLbl>
              <c:idx val="7"/>
              <c:layout>
                <c:manualLayout>
                  <c:x val="-1.0900590551181102E-2"/>
                  <c:y val="-1.9158230221222351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Sheet1!$A$2:$A$7</c:f>
              <c:strCache>
                <c:ptCount val="6"/>
                <c:pt idx="0">
                  <c:v>Македонски Телеком</c:v>
                </c:pt>
                <c:pt idx="1">
                  <c:v>ОНЕ</c:v>
                </c:pt>
                <c:pt idx="2">
                  <c:v>Неотел</c:v>
                </c:pt>
                <c:pt idx="3">
                  <c:v>Близу</c:v>
                </c:pt>
                <c:pt idx="4">
                  <c:v>Аикол</c:v>
                </c:pt>
                <c:pt idx="5">
                  <c:v>Инфел Нет Плус</c:v>
                </c:pt>
              </c:strCache>
            </c:strRef>
          </c:cat>
          <c:val>
            <c:numRef>
              <c:f>Sheet1!$B$2:$B$7</c:f>
              <c:numCache>
                <c:formatCode>0.00%</c:formatCode>
                <c:ptCount val="6"/>
                <c:pt idx="0">
                  <c:v>6.7299999999999999E-2</c:v>
                </c:pt>
                <c:pt idx="1">
                  <c:v>0.54379999999999995</c:v>
                </c:pt>
                <c:pt idx="2">
                  <c:v>0.1168</c:v>
                </c:pt>
                <c:pt idx="3">
                  <c:v>0.14540000000000056</c:v>
                </c:pt>
                <c:pt idx="4">
                  <c:v>0.10420000000000022</c:v>
                </c:pt>
                <c:pt idx="5">
                  <c:v>2.2400000000000052E-2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254824599200516E-2"/>
          <c:y val="0.10615088377428562"/>
          <c:w val="0.82407407407408628"/>
          <c:h val="0.78769841269843699"/>
        </c:manualLayout>
      </c:layout>
      <c:pie3DChart>
        <c:varyColors val="1"/>
        <c:ser>
          <c:idx val="0"/>
          <c:order val="0"/>
          <c:tx>
            <c:strRef>
              <c:f>Sheet1!$B$1</c:f>
              <c:strCache>
                <c:ptCount val="1"/>
                <c:pt idx="0">
                  <c:v>Sales</c:v>
                </c:pt>
              </c:strCache>
            </c:strRef>
          </c:tx>
          <c:explosion val="25"/>
          <c:dLbls>
            <c:dLbl>
              <c:idx val="0"/>
              <c:layout>
                <c:manualLayout>
                  <c:x val="7.7589494021582134E-2"/>
                  <c:y val="3.3730158730158728E-2"/>
                </c:manualLayout>
              </c:layout>
              <c:showLegendKey val="0"/>
              <c:showVal val="1"/>
              <c:showCatName val="1"/>
              <c:showSerName val="0"/>
              <c:showPercent val="0"/>
              <c:showBubbleSize val="0"/>
            </c:dLbl>
            <c:dLbl>
              <c:idx val="1"/>
              <c:layout>
                <c:manualLayout>
                  <c:x val="-1.9675925925925941E-3"/>
                  <c:y val="-8.0466504186976706E-2"/>
                </c:manualLayout>
              </c:layout>
              <c:showLegendKey val="0"/>
              <c:showVal val="1"/>
              <c:showCatName val="1"/>
              <c:showSerName val="0"/>
              <c:showPercent val="0"/>
              <c:showBubbleSize val="0"/>
            </c:dLbl>
            <c:dLbl>
              <c:idx val="2"/>
              <c:layout>
                <c:manualLayout>
                  <c:x val="4.4293981481481934E-2"/>
                  <c:y val="7.6178915135608052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Sheet1!$A$2:$A$4</c:f>
              <c:strCache>
                <c:ptCount val="3"/>
                <c:pt idx="0">
                  <c:v>Т-Мобиле</c:v>
                </c:pt>
                <c:pt idx="1">
                  <c:v>ОНЕ</c:v>
                </c:pt>
                <c:pt idx="2">
                  <c:v>ВИП</c:v>
                </c:pt>
              </c:strCache>
            </c:strRef>
          </c:cat>
          <c:val>
            <c:numRef>
              <c:f>Sheet1!$B$2:$B$4</c:f>
              <c:numCache>
                <c:formatCode>0.00%</c:formatCode>
                <c:ptCount val="3"/>
                <c:pt idx="0">
                  <c:v>0.15180000000000021</c:v>
                </c:pt>
                <c:pt idx="1">
                  <c:v>0.1368</c:v>
                </c:pt>
                <c:pt idx="2">
                  <c:v>0.71140000000000003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Sheet1!$B$1</c:f>
              <c:strCache>
                <c:ptCount val="1"/>
                <c:pt idx="0">
                  <c:v>Број на фиксни линии</c:v>
                </c:pt>
              </c:strCache>
            </c:strRef>
          </c:tx>
          <c:invertIfNegative val="0"/>
          <c:dLbls>
            <c:dLbl>
              <c:idx val="0"/>
              <c:layout>
                <c:manualLayout>
                  <c:x val="0"/>
                  <c:y val="0.17984496124031021"/>
                </c:manualLayout>
              </c:layout>
              <c:spPr/>
              <c:txPr>
                <a:bodyPr rot="5400000" vert="horz"/>
                <a:lstStyle/>
                <a:p>
                  <a:pPr>
                    <a:defRPr b="1"/>
                  </a:pPr>
                  <a:endParaRPr lang="mk-MK"/>
                </a:p>
              </c:txPr>
              <c:showLegendKey val="0"/>
              <c:showVal val="1"/>
              <c:showCatName val="0"/>
              <c:showSerName val="0"/>
              <c:showPercent val="0"/>
              <c:showBubbleSize val="0"/>
            </c:dLbl>
            <c:dLbl>
              <c:idx val="1"/>
              <c:layout>
                <c:manualLayout>
                  <c:x val="4.7534165181224008E-3"/>
                  <c:y val="0.18914704266618493"/>
                </c:manualLayout>
              </c:layout>
              <c:spPr/>
              <c:txPr>
                <a:bodyPr rot="5400000" vert="horz"/>
                <a:lstStyle/>
                <a:p>
                  <a:pPr>
                    <a:defRPr b="1"/>
                  </a:pPr>
                  <a:endParaRPr lang="mk-MK"/>
                </a:p>
              </c:txPr>
              <c:showLegendKey val="0"/>
              <c:showVal val="1"/>
              <c:showCatName val="0"/>
              <c:showSerName val="0"/>
              <c:showPercent val="0"/>
              <c:showBubbleSize val="0"/>
            </c:dLbl>
            <c:dLbl>
              <c:idx val="2"/>
              <c:layout>
                <c:manualLayout>
                  <c:x val="7.1301247771836124E-3"/>
                  <c:y val="0.16124006592199241"/>
                </c:manualLayout>
              </c:layout>
              <c:spPr/>
              <c:txPr>
                <a:bodyPr rot="5400000" vert="horz"/>
                <a:lstStyle/>
                <a:p>
                  <a:pPr>
                    <a:defRPr b="1"/>
                  </a:pPr>
                  <a:endParaRPr lang="mk-MK"/>
                </a:p>
              </c:txPr>
              <c:showLegendKey val="0"/>
              <c:showVal val="1"/>
              <c:showCatName val="0"/>
              <c:showSerName val="0"/>
              <c:showPercent val="0"/>
              <c:showBubbleSize val="0"/>
            </c:dLbl>
            <c:dLbl>
              <c:idx val="3"/>
              <c:layout>
                <c:manualLayout>
                  <c:x val="4.7534165181224008E-3"/>
                  <c:y val="0.18914728682171492"/>
                </c:manualLayout>
              </c:layout>
              <c:spPr/>
              <c:txPr>
                <a:bodyPr rot="5400000" vert="horz"/>
                <a:lstStyle/>
                <a:p>
                  <a:pPr>
                    <a:defRPr b="1"/>
                  </a:pPr>
                  <a:endParaRPr lang="mk-MK"/>
                </a:p>
              </c:txPr>
              <c:showLegendKey val="0"/>
              <c:showVal val="1"/>
              <c:showCatName val="0"/>
              <c:showSerName val="0"/>
              <c:showPercent val="0"/>
              <c:showBubbleSize val="0"/>
            </c:dLbl>
            <c:dLbl>
              <c:idx val="4"/>
              <c:layout>
                <c:manualLayout>
                  <c:x val="2.3767082590612004E-3"/>
                  <c:y val="0.16434108527131791"/>
                </c:manualLayout>
              </c:layout>
              <c:spPr/>
              <c:txPr>
                <a:bodyPr rot="5400000" vert="horz"/>
                <a:lstStyle/>
                <a:p>
                  <a:pPr>
                    <a:defRPr b="1"/>
                  </a:pPr>
                  <a:endParaRPr lang="mk-MK"/>
                </a:p>
              </c:txPr>
              <c:showLegendKey val="0"/>
              <c:showVal val="1"/>
              <c:showCatName val="0"/>
              <c:showSerName val="0"/>
              <c:showPercent val="0"/>
              <c:showBubbleSize val="0"/>
            </c:dLbl>
            <c:dLbl>
              <c:idx val="5"/>
              <c:layout>
                <c:manualLayout>
                  <c:x val="4.7534165181224008E-3"/>
                  <c:y val="0.17364341085271859"/>
                </c:manualLayout>
              </c:layout>
              <c:spPr/>
              <c:txPr>
                <a:bodyPr rot="5400000" vert="horz"/>
                <a:lstStyle/>
                <a:p>
                  <a:pPr>
                    <a:defRPr b="1"/>
                  </a:pPr>
                  <a:endParaRPr lang="mk-MK"/>
                </a:p>
              </c:txPr>
              <c:showLegendKey val="0"/>
              <c:showVal val="1"/>
              <c:showCatName val="0"/>
              <c:showSerName val="0"/>
              <c:showPercent val="0"/>
              <c:showBubbleSize val="0"/>
            </c:dLbl>
            <c:dLbl>
              <c:idx val="6"/>
              <c:layout>
                <c:manualLayout>
                  <c:x val="2.3767082590612004E-3"/>
                  <c:y val="0.17364341085271859"/>
                </c:manualLayout>
              </c:layout>
              <c:spPr/>
              <c:txPr>
                <a:bodyPr rot="5400000" vert="horz"/>
                <a:lstStyle/>
                <a:p>
                  <a:pPr>
                    <a:defRPr b="1"/>
                  </a:pPr>
                  <a:endParaRPr lang="mk-MK"/>
                </a:p>
              </c:txPr>
              <c:showLegendKey val="0"/>
              <c:showVal val="1"/>
              <c:showCatName val="0"/>
              <c:showSerName val="0"/>
              <c:showPercent val="0"/>
              <c:showBubbleSize val="0"/>
            </c:dLbl>
            <c:dLbl>
              <c:idx val="7"/>
              <c:layout>
                <c:manualLayout>
                  <c:x val="2.3767082590612004E-3"/>
                  <c:y val="0.15503851553440176"/>
                </c:manualLayout>
              </c:layout>
              <c:spPr/>
              <c:txPr>
                <a:bodyPr rot="5400000" vert="horz"/>
                <a:lstStyle/>
                <a:p>
                  <a:pPr>
                    <a:defRPr b="1"/>
                  </a:pPr>
                  <a:endParaRPr lang="mk-MK"/>
                </a:p>
              </c:txPr>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c:formatCode>
                <c:ptCount val="4"/>
                <c:pt idx="0">
                  <c:v>414066</c:v>
                </c:pt>
                <c:pt idx="1">
                  <c:v>415253</c:v>
                </c:pt>
                <c:pt idx="2">
                  <c:v>413468</c:v>
                </c:pt>
                <c:pt idx="3">
                  <c:v>422053</c:v>
                </c:pt>
              </c:numCache>
            </c:numRef>
          </c:val>
        </c:ser>
        <c:dLbls>
          <c:showLegendKey val="0"/>
          <c:showVal val="0"/>
          <c:showCatName val="0"/>
          <c:showSerName val="0"/>
          <c:showPercent val="0"/>
          <c:showBubbleSize val="0"/>
        </c:dLbls>
        <c:gapWidth val="75"/>
        <c:overlap val="-25"/>
        <c:axId val="161046528"/>
        <c:axId val="161048064"/>
      </c:barChart>
      <c:lineChart>
        <c:grouping val="standard"/>
        <c:varyColors val="0"/>
        <c:ser>
          <c:idx val="1"/>
          <c:order val="1"/>
          <c:tx>
            <c:strRef>
              <c:f>Sheet1!$C$1</c:f>
              <c:strCache>
                <c:ptCount val="1"/>
                <c:pt idx="0">
                  <c:v>Број на фиксни линии според популација 100</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20.170000000000005</c:v>
                </c:pt>
                <c:pt idx="1">
                  <c:v>20.23</c:v>
                </c:pt>
                <c:pt idx="2">
                  <c:v>20.09</c:v>
                </c:pt>
                <c:pt idx="3">
                  <c:v>20.56</c:v>
                </c:pt>
              </c:numCache>
            </c:numRef>
          </c:val>
          <c:smooth val="0"/>
        </c:ser>
        <c:dLbls>
          <c:showLegendKey val="0"/>
          <c:showVal val="0"/>
          <c:showCatName val="0"/>
          <c:showSerName val="0"/>
          <c:showPercent val="0"/>
          <c:showBubbleSize val="0"/>
        </c:dLbls>
        <c:marker val="1"/>
        <c:smooth val="0"/>
        <c:axId val="161067776"/>
        <c:axId val="161049600"/>
      </c:lineChart>
      <c:catAx>
        <c:axId val="161046528"/>
        <c:scaling>
          <c:orientation val="minMax"/>
        </c:scaling>
        <c:delete val="0"/>
        <c:axPos val="b"/>
        <c:majorTickMark val="none"/>
        <c:minorTickMark val="none"/>
        <c:tickLblPos val="nextTo"/>
        <c:txPr>
          <a:bodyPr/>
          <a:lstStyle/>
          <a:p>
            <a:pPr>
              <a:defRPr b="1"/>
            </a:pPr>
            <a:endParaRPr lang="mk-MK"/>
          </a:p>
        </c:txPr>
        <c:crossAx val="161048064"/>
        <c:crosses val="autoZero"/>
        <c:auto val="1"/>
        <c:lblAlgn val="ctr"/>
        <c:lblOffset val="100"/>
        <c:noMultiLvlLbl val="0"/>
      </c:catAx>
      <c:valAx>
        <c:axId val="161048064"/>
        <c:scaling>
          <c:orientation val="minMax"/>
          <c:max val="500000"/>
          <c:min val="100000"/>
        </c:scaling>
        <c:delete val="0"/>
        <c:axPos val="l"/>
        <c:majorGridlines/>
        <c:numFmt formatCode="#,##0" sourceLinked="1"/>
        <c:majorTickMark val="none"/>
        <c:minorTickMark val="none"/>
        <c:tickLblPos val="nextTo"/>
        <c:txPr>
          <a:bodyPr/>
          <a:lstStyle/>
          <a:p>
            <a:pPr>
              <a:defRPr b="1"/>
            </a:pPr>
            <a:endParaRPr lang="mk-MK"/>
          </a:p>
        </c:txPr>
        <c:crossAx val="161046528"/>
        <c:crosses val="autoZero"/>
        <c:crossBetween val="between"/>
      </c:valAx>
      <c:valAx>
        <c:axId val="161049600"/>
        <c:scaling>
          <c:orientation val="minMax"/>
          <c:min val="10"/>
        </c:scaling>
        <c:delete val="0"/>
        <c:axPos val="r"/>
        <c:numFmt formatCode="0" sourceLinked="0"/>
        <c:majorTickMark val="out"/>
        <c:minorTickMark val="none"/>
        <c:tickLblPos val="nextTo"/>
        <c:txPr>
          <a:bodyPr/>
          <a:lstStyle/>
          <a:p>
            <a:pPr>
              <a:defRPr b="1"/>
            </a:pPr>
            <a:endParaRPr lang="mk-MK"/>
          </a:p>
        </c:txPr>
        <c:crossAx val="161067776"/>
        <c:crosses val="max"/>
        <c:crossBetween val="between"/>
      </c:valAx>
      <c:catAx>
        <c:axId val="161067776"/>
        <c:scaling>
          <c:orientation val="minMax"/>
        </c:scaling>
        <c:delete val="1"/>
        <c:axPos val="b"/>
        <c:majorTickMark val="out"/>
        <c:minorTickMark val="none"/>
        <c:tickLblPos val="nextTo"/>
        <c:crossAx val="161049600"/>
        <c:crosses val="autoZero"/>
        <c:auto val="1"/>
        <c:lblAlgn val="ctr"/>
        <c:lblOffset val="100"/>
        <c:noMultiLvlLbl val="0"/>
      </c:catAx>
    </c:plotArea>
    <c:legend>
      <c:legendPos val="b"/>
      <c:overlay val="0"/>
      <c:txPr>
        <a:bodyPr/>
        <a:lstStyle/>
        <a:p>
          <a:pPr>
            <a:defRPr b="1"/>
          </a:pPr>
          <a:endParaRPr lang="mk-MK"/>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0753250657060738"/>
          <c:y val="4.7698412698412712E-2"/>
          <c:w val="0.87027463656306336"/>
          <c:h val="0.61125265560253261"/>
        </c:manualLayout>
      </c:layout>
      <c:barChart>
        <c:barDir val="col"/>
        <c:grouping val="clustered"/>
        <c:varyColors val="0"/>
        <c:ser>
          <c:idx val="0"/>
          <c:order val="0"/>
          <c:tx>
            <c:strRef>
              <c:f>Sheet1!$B$1</c:f>
              <c:strCache>
                <c:ptCount val="1"/>
                <c:pt idx="0">
                  <c:v>2011 година</c:v>
                </c:pt>
              </c:strCache>
            </c:strRef>
          </c:tx>
          <c:invertIfNegative val="0"/>
          <c:dLbls>
            <c:dLbl>
              <c:idx val="0"/>
              <c:layout>
                <c:manualLayout>
                  <c:x val="-1.0736525660296438E-2"/>
                  <c:y val="0"/>
                </c:manualLayout>
              </c:layout>
              <c:showLegendKey val="0"/>
              <c:showVal val="1"/>
              <c:showCatName val="0"/>
              <c:showSerName val="0"/>
              <c:showPercent val="0"/>
              <c:showBubbleSize val="0"/>
            </c:dLbl>
            <c:dLbl>
              <c:idx val="1"/>
              <c:layout>
                <c:manualLayout>
                  <c:x val="-1.0736525660296415E-2"/>
                  <c:y val="0"/>
                </c:manualLayout>
              </c:layout>
              <c:showLegendKey val="0"/>
              <c:showVal val="1"/>
              <c:showCatName val="0"/>
              <c:showSerName val="0"/>
              <c:showPercent val="0"/>
              <c:showBubbleSize val="0"/>
            </c:dLbl>
            <c:dLbl>
              <c:idx val="2"/>
              <c:layout>
                <c:manualLayout>
                  <c:x val="-1.0736525660296458E-2"/>
                  <c:y val="0"/>
                </c:manualLayout>
              </c:layout>
              <c:showLegendKey val="0"/>
              <c:showVal val="1"/>
              <c:showCatName val="0"/>
              <c:showSerName val="0"/>
              <c:showPercent val="0"/>
              <c:showBubbleSize val="0"/>
            </c:dLbl>
            <c:dLbl>
              <c:idx val="3"/>
              <c:layout>
                <c:manualLayout>
                  <c:x val="-1.0736525660296458E-2"/>
                  <c:y val="-2.6271163063796318E-7"/>
                </c:manualLayout>
              </c:layout>
              <c:showLegendKey val="0"/>
              <c:showVal val="1"/>
              <c:showCatName val="0"/>
              <c:showSerName val="0"/>
              <c:showPercent val="0"/>
              <c:showBubbleSize val="0"/>
            </c:dLbl>
            <c:dLbl>
              <c:idx val="4"/>
              <c:layout>
                <c:manualLayout>
                  <c:x val="-1.0736525660296458E-2"/>
                  <c:y val="0"/>
                </c:manualLayout>
              </c:layout>
              <c:showLegendKey val="0"/>
              <c:showVal val="1"/>
              <c:showCatName val="0"/>
              <c:showSerName val="0"/>
              <c:showPercent val="0"/>
              <c:showBubbleSize val="0"/>
            </c:dLbl>
            <c:dLbl>
              <c:idx val="5"/>
              <c:layout>
                <c:manualLayout>
                  <c:x val="-1.0328841019454983E-2"/>
                  <c:y val="0"/>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Sheet1!$A$2:$A$7</c:f>
              <c:strCache>
                <c:ptCount val="6"/>
                <c:pt idx="0">
                  <c:v>PSTN-линии</c:v>
                </c:pt>
                <c:pt idx="1">
                  <c:v>ISDN BRA-линии</c:v>
                </c:pt>
                <c:pt idx="2">
                  <c:v>ISDN PRA-линии</c:v>
                </c:pt>
                <c:pt idx="3">
                  <c:v>Линии преку безжични технологии</c:v>
                </c:pt>
                <c:pt idx="4">
                  <c:v>Линии преку кабелски мрежи</c:v>
                </c:pt>
                <c:pt idx="5">
                  <c:v>FTTH-линии</c:v>
                </c:pt>
              </c:strCache>
            </c:strRef>
          </c:cat>
          <c:val>
            <c:numRef>
              <c:f>Sheet1!$B$2:$B$7</c:f>
              <c:numCache>
                <c:formatCode>0.00%</c:formatCode>
                <c:ptCount val="6"/>
                <c:pt idx="0">
                  <c:v>0.71980000000000322</c:v>
                </c:pt>
                <c:pt idx="1">
                  <c:v>2.5600000000000012E-2</c:v>
                </c:pt>
                <c:pt idx="2">
                  <c:v>8.0000000000000264E-4</c:v>
                </c:pt>
                <c:pt idx="3">
                  <c:v>0.1348</c:v>
                </c:pt>
                <c:pt idx="4">
                  <c:v>0.10950000000000019</c:v>
                </c:pt>
                <c:pt idx="5">
                  <c:v>9.5000000000000067E-3</c:v>
                </c:pt>
              </c:numCache>
            </c:numRef>
          </c:val>
        </c:ser>
        <c:ser>
          <c:idx val="1"/>
          <c:order val="1"/>
          <c:tx>
            <c:strRef>
              <c:f>Sheet1!$C$1</c:f>
              <c:strCache>
                <c:ptCount val="1"/>
                <c:pt idx="0">
                  <c:v>2010 година</c:v>
                </c:pt>
              </c:strCache>
            </c:strRef>
          </c:tx>
          <c:invertIfNegative val="0"/>
          <c:dLbls>
            <c:dLbl>
              <c:idx val="0"/>
              <c:layout>
                <c:manualLayout>
                  <c:x val="1.9325746188533402E-2"/>
                  <c:y val="3.3364377091020412E-3"/>
                </c:manualLayout>
              </c:layout>
              <c:showLegendKey val="0"/>
              <c:showVal val="1"/>
              <c:showCatName val="0"/>
              <c:showSerName val="0"/>
              <c:showPercent val="0"/>
              <c:showBubbleSize val="0"/>
            </c:dLbl>
            <c:dLbl>
              <c:idx val="1"/>
              <c:layout>
                <c:manualLayout>
                  <c:x val="1.2883830792355767E-2"/>
                  <c:y val="6.116731805679556E-17"/>
                </c:manualLayout>
              </c:layout>
              <c:showLegendKey val="0"/>
              <c:showVal val="1"/>
              <c:showCatName val="0"/>
              <c:showSerName val="0"/>
              <c:showPercent val="0"/>
              <c:showBubbleSize val="0"/>
            </c:dLbl>
            <c:dLbl>
              <c:idx val="2"/>
              <c:layout>
                <c:manualLayout>
                  <c:x val="1.2883830792355767E-2"/>
                  <c:y val="0"/>
                </c:manualLayout>
              </c:layout>
              <c:showLegendKey val="0"/>
              <c:showVal val="1"/>
              <c:showCatName val="0"/>
              <c:showSerName val="0"/>
              <c:showPercent val="0"/>
              <c:showBubbleSize val="0"/>
            </c:dLbl>
            <c:dLbl>
              <c:idx val="3"/>
              <c:layout>
                <c:manualLayout>
                  <c:x val="1.7178441056474127E-2"/>
                  <c:y val="0"/>
                </c:manualLayout>
              </c:layout>
              <c:showLegendKey val="0"/>
              <c:showVal val="1"/>
              <c:showCatName val="0"/>
              <c:showSerName val="0"/>
              <c:showPercent val="0"/>
              <c:showBubbleSize val="0"/>
            </c:dLbl>
            <c:dLbl>
              <c:idx val="4"/>
              <c:layout>
                <c:manualLayout>
                  <c:x val="1.7178441056474127E-2"/>
                  <c:y val="6.116731805679556E-17"/>
                </c:manualLayout>
              </c:layout>
              <c:showLegendKey val="0"/>
              <c:showVal val="1"/>
              <c:showCatName val="0"/>
              <c:showSerName val="0"/>
              <c:showPercent val="0"/>
              <c:showBubbleSize val="0"/>
            </c:dLbl>
            <c:dLbl>
              <c:idx val="5"/>
              <c:layout>
                <c:manualLayout>
                  <c:x val="1.0328841019454983E-2"/>
                  <c:y val="0"/>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Sheet1!$A$2:$A$7</c:f>
              <c:strCache>
                <c:ptCount val="6"/>
                <c:pt idx="0">
                  <c:v>PSTN-линии</c:v>
                </c:pt>
                <c:pt idx="1">
                  <c:v>ISDN BRA-линии</c:v>
                </c:pt>
                <c:pt idx="2">
                  <c:v>ISDN PRA-линии</c:v>
                </c:pt>
                <c:pt idx="3">
                  <c:v>Линии преку безжични технологии</c:v>
                </c:pt>
                <c:pt idx="4">
                  <c:v>Линии преку кабелски мрежи</c:v>
                </c:pt>
                <c:pt idx="5">
                  <c:v>FTTH-линии</c:v>
                </c:pt>
              </c:strCache>
            </c:strRef>
          </c:cat>
          <c:val>
            <c:numRef>
              <c:f>Sheet1!$C$2:$C$7</c:f>
              <c:numCache>
                <c:formatCode>0.00%</c:formatCode>
                <c:ptCount val="6"/>
                <c:pt idx="0">
                  <c:v>0.79300000000000004</c:v>
                </c:pt>
                <c:pt idx="1">
                  <c:v>2.7600000000000183E-2</c:v>
                </c:pt>
                <c:pt idx="2">
                  <c:v>9.0000000000000247E-4</c:v>
                </c:pt>
                <c:pt idx="3">
                  <c:v>0.12130000000000002</c:v>
                </c:pt>
                <c:pt idx="4">
                  <c:v>5.7200000000000001E-2</c:v>
                </c:pt>
                <c:pt idx="5">
                  <c:v>4.9000000000000328E-3</c:v>
                </c:pt>
              </c:numCache>
            </c:numRef>
          </c:val>
        </c:ser>
        <c:dLbls>
          <c:showLegendKey val="0"/>
          <c:showVal val="0"/>
          <c:showCatName val="0"/>
          <c:showSerName val="0"/>
          <c:showPercent val="0"/>
          <c:showBubbleSize val="0"/>
        </c:dLbls>
        <c:gapWidth val="150"/>
        <c:axId val="161150848"/>
        <c:axId val="161152384"/>
      </c:barChart>
      <c:catAx>
        <c:axId val="161150848"/>
        <c:scaling>
          <c:orientation val="minMax"/>
        </c:scaling>
        <c:delete val="0"/>
        <c:axPos val="b"/>
        <c:majorTickMark val="out"/>
        <c:minorTickMark val="none"/>
        <c:tickLblPos val="nextTo"/>
        <c:txPr>
          <a:bodyPr/>
          <a:lstStyle/>
          <a:p>
            <a:pPr>
              <a:defRPr b="1"/>
            </a:pPr>
            <a:endParaRPr lang="mk-MK"/>
          </a:p>
        </c:txPr>
        <c:crossAx val="161152384"/>
        <c:crosses val="autoZero"/>
        <c:auto val="1"/>
        <c:lblAlgn val="ctr"/>
        <c:lblOffset val="100"/>
        <c:noMultiLvlLbl val="0"/>
      </c:catAx>
      <c:valAx>
        <c:axId val="161152384"/>
        <c:scaling>
          <c:orientation val="minMax"/>
        </c:scaling>
        <c:delete val="0"/>
        <c:axPos val="l"/>
        <c:majorGridlines/>
        <c:numFmt formatCode="0%" sourceLinked="0"/>
        <c:majorTickMark val="out"/>
        <c:minorTickMark val="none"/>
        <c:tickLblPos val="nextTo"/>
        <c:txPr>
          <a:bodyPr/>
          <a:lstStyle/>
          <a:p>
            <a:pPr>
              <a:defRPr b="1"/>
            </a:pPr>
            <a:endParaRPr lang="mk-MK"/>
          </a:p>
        </c:txPr>
        <c:crossAx val="161150848"/>
        <c:crosses val="autoZero"/>
        <c:crossBetween val="between"/>
      </c:valAx>
    </c:plotArea>
    <c:legend>
      <c:legendPos val="r"/>
      <c:layout>
        <c:manualLayout>
          <c:xMode val="edge"/>
          <c:yMode val="edge"/>
          <c:x val="0.12184671622939992"/>
          <c:y val="0.86606041579369863"/>
          <c:w val="0.69348504241351139"/>
          <c:h val="0.10906499617097799"/>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005542315397446"/>
          <c:y val="0.14039189166486893"/>
          <c:w val="0.7762247165455296"/>
          <c:h val="0.75308227826329865"/>
        </c:manualLayout>
      </c:layout>
      <c:pie3DChart>
        <c:varyColors val="1"/>
        <c:ser>
          <c:idx val="0"/>
          <c:order val="0"/>
          <c:tx>
            <c:strRef>
              <c:f>Sheet1!$B$1</c:f>
              <c:strCache>
                <c:ptCount val="1"/>
                <c:pt idx="0">
                  <c:v>Sales</c:v>
                </c:pt>
              </c:strCache>
            </c:strRef>
          </c:tx>
          <c:explosion val="25"/>
          <c:dLbls>
            <c:dLbl>
              <c:idx val="0"/>
              <c:layout>
                <c:manualLayout>
                  <c:x val="-3.7875630026805399E-2"/>
                  <c:y val="0.1636023034150367"/>
                </c:manualLayout>
              </c:layout>
              <c:showLegendKey val="1"/>
              <c:showVal val="1"/>
              <c:showCatName val="1"/>
              <c:showSerName val="0"/>
              <c:showPercent val="0"/>
              <c:showBubbleSize val="0"/>
            </c:dLbl>
            <c:dLbl>
              <c:idx val="1"/>
              <c:layout>
                <c:manualLayout>
                  <c:x val="-9.2763222821750105E-2"/>
                  <c:y val="0.12280980579813641"/>
                </c:manualLayout>
              </c:layout>
              <c:showLegendKey val="0"/>
              <c:showVal val="1"/>
              <c:showCatName val="1"/>
              <c:showSerName val="0"/>
              <c:showPercent val="0"/>
              <c:showBubbleSize val="0"/>
            </c:dLbl>
            <c:dLbl>
              <c:idx val="2"/>
              <c:layout>
                <c:manualLayout>
                  <c:x val="-0.18169658420052096"/>
                  <c:y val="7.2025113151311812E-2"/>
                </c:manualLayout>
              </c:layout>
              <c:showLegendKey val="0"/>
              <c:showVal val="1"/>
              <c:showCatName val="1"/>
              <c:showSerName val="0"/>
              <c:showPercent val="0"/>
              <c:showBubbleSize val="0"/>
            </c:dLbl>
            <c:dLbl>
              <c:idx val="3"/>
              <c:layout>
                <c:manualLayout>
                  <c:x val="-0.20239518867498971"/>
                  <c:y val="1.4815735292196181E-3"/>
                </c:manualLayout>
              </c:layout>
              <c:showLegendKey val="0"/>
              <c:showVal val="1"/>
              <c:showCatName val="1"/>
              <c:showSerName val="0"/>
              <c:showPercent val="0"/>
              <c:showBubbleSize val="0"/>
            </c:dLbl>
            <c:dLbl>
              <c:idx val="4"/>
              <c:layout>
                <c:manualLayout>
                  <c:x val="-0.14680265592828287"/>
                  <c:y val="-5.0382566498145834E-2"/>
                </c:manualLayout>
              </c:layout>
              <c:showLegendKey val="0"/>
              <c:showVal val="1"/>
              <c:showCatName val="1"/>
              <c:showSerName val="0"/>
              <c:showPercent val="0"/>
              <c:showBubbleSize val="0"/>
            </c:dLbl>
            <c:dLbl>
              <c:idx val="5"/>
              <c:layout>
                <c:manualLayout>
                  <c:x val="-5.3169033619785061E-2"/>
                  <c:y val="-9.9988346874870265E-2"/>
                </c:manualLayout>
              </c:layout>
              <c:showLegendKey val="0"/>
              <c:showVal val="1"/>
              <c:showCatName val="1"/>
              <c:showSerName val="0"/>
              <c:showPercent val="0"/>
              <c:showBubbleSize val="0"/>
            </c:dLbl>
            <c:dLbl>
              <c:idx val="6"/>
              <c:layout>
                <c:manualLayout>
                  <c:x val="0.26413905650543174"/>
                  <c:y val="-1.3417638730003939E-3"/>
                </c:manualLayout>
              </c:layout>
              <c:showLegendKey val="0"/>
              <c:showVal val="1"/>
              <c:showCatName val="1"/>
              <c:showSerName val="0"/>
              <c:showPercent val="0"/>
              <c:showBubbleSize val="0"/>
            </c:dLbl>
            <c:dLbl>
              <c:idx val="7"/>
              <c:layout>
                <c:manualLayout>
                  <c:x val="0.15460617793516571"/>
                  <c:y val="6.8790237614423877E-2"/>
                </c:manualLayout>
              </c:layout>
              <c:showLegendKey val="0"/>
              <c:showVal val="1"/>
              <c:showCatName val="1"/>
              <c:showSerName val="0"/>
              <c:showPercent val="0"/>
              <c:showBubbleSize val="0"/>
            </c:dLbl>
            <c:dLbl>
              <c:idx val="8"/>
              <c:layout>
                <c:manualLayout>
                  <c:x val="7.7835940758218924E-2"/>
                  <c:y val="-9.3215134556262763E-2"/>
                </c:manualLayout>
              </c:layout>
              <c:showLegendKey val="0"/>
              <c:showVal val="1"/>
              <c:showCatName val="1"/>
              <c:showSerName val="0"/>
              <c:showPercent val="0"/>
              <c:showBubbleSize val="0"/>
            </c:dLbl>
            <c:txPr>
              <a:bodyPr/>
              <a:lstStyle/>
              <a:p>
                <a:pPr>
                  <a:defRPr b="1"/>
                </a:pPr>
                <a:endParaRPr lang="mk-MK"/>
              </a:p>
            </c:txPr>
            <c:showLegendKey val="0"/>
            <c:showVal val="1"/>
            <c:showCatName val="1"/>
            <c:showSerName val="0"/>
            <c:showPercent val="0"/>
            <c:showBubbleSize val="0"/>
            <c:showLeaderLines val="1"/>
          </c:dLbls>
          <c:cat>
            <c:strRef>
              <c:f>Sheet1!$A$2:$A$8</c:f>
              <c:strCache>
                <c:ptCount val="7"/>
                <c:pt idx="0">
                  <c:v>Македонски телеком</c:v>
                </c:pt>
                <c:pt idx="1">
                  <c:v>ОНЕ</c:v>
                </c:pt>
                <c:pt idx="2">
                  <c:v>Неотел</c:v>
                </c:pt>
                <c:pt idx="3">
                  <c:v>Аикол</c:v>
                </c:pt>
                <c:pt idx="4">
                  <c:v>Близу</c:v>
                </c:pt>
                <c:pt idx="5">
                  <c:v>Инфел Нет Плус</c:v>
                </c:pt>
                <c:pt idx="6">
                  <c:v>Т-Мобиле</c:v>
                </c:pt>
              </c:strCache>
            </c:strRef>
          </c:cat>
          <c:val>
            <c:numRef>
              <c:f>Sheet1!$B$2:$B$8</c:f>
              <c:numCache>
                <c:formatCode>0.00%</c:formatCode>
                <c:ptCount val="7"/>
                <c:pt idx="0">
                  <c:v>0.6905</c:v>
                </c:pt>
                <c:pt idx="1">
                  <c:v>0.15620000000000098</c:v>
                </c:pt>
                <c:pt idx="2">
                  <c:v>4.0400000000000012E-2</c:v>
                </c:pt>
                <c:pt idx="3">
                  <c:v>3.8100000000000002E-2</c:v>
                </c:pt>
                <c:pt idx="4">
                  <c:v>6.4699999999999994E-2</c:v>
                </c:pt>
                <c:pt idx="5">
                  <c:v>7.2000000000000371E-3</c:v>
                </c:pt>
                <c:pt idx="6">
                  <c:v>2.8999999999999998E-3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8.6481282862897912E-2"/>
          <c:y val="2.9845483024299402E-2"/>
          <c:w val="0.84457076586356938"/>
          <c:h val="0.58386369301602659"/>
        </c:manualLayout>
      </c:layout>
      <c:lineChart>
        <c:grouping val="standard"/>
        <c:varyColors val="0"/>
        <c:ser>
          <c:idx val="0"/>
          <c:order val="0"/>
          <c:tx>
            <c:strRef>
              <c:f>Sheet1!$B$1</c:f>
              <c:strCache>
                <c:ptCount val="1"/>
                <c:pt idx="0">
                  <c:v>Удел на алтернативни оператори/даватели на услуги според фиксни линии</c:v>
                </c:pt>
              </c:strCache>
            </c:strRef>
          </c:tx>
          <c:dLbls>
            <c:dLbl>
              <c:idx val="3"/>
              <c:layout>
                <c:manualLayout>
                  <c:x val="-2.3617820719270016E-2"/>
                  <c:y val="2.2346368715083852E-2"/>
                </c:manualLayout>
              </c:layout>
              <c:dLblPos val="t"/>
              <c:showLegendKey val="0"/>
              <c:showVal val="1"/>
              <c:showCatName val="0"/>
              <c:showSerName val="0"/>
              <c:showPercent val="0"/>
              <c:showBubbleSize val="0"/>
            </c:dLbl>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0.00%</c:formatCode>
                <c:ptCount val="4"/>
                <c:pt idx="0">
                  <c:v>0.24780000000000021</c:v>
                </c:pt>
                <c:pt idx="1">
                  <c:v>0.26820000000000005</c:v>
                </c:pt>
                <c:pt idx="2">
                  <c:v>0.27900000000000008</c:v>
                </c:pt>
                <c:pt idx="3">
                  <c:v>0.3095000000000015</c:v>
                </c:pt>
              </c:numCache>
            </c:numRef>
          </c:val>
          <c:smooth val="0"/>
        </c:ser>
        <c:ser>
          <c:idx val="1"/>
          <c:order val="1"/>
          <c:tx>
            <c:strRef>
              <c:f>Sheet1!$C$1</c:f>
              <c:strCache>
                <c:ptCount val="1"/>
                <c:pt idx="0">
                  <c:v>Удел на алтернативните оператори/даватели на услуги според приходи  од обезбедување на пристап до мрежа на фиксна локација и јавно достапни телефонски услуги на фиксна локација за 2011 година</c:v>
                </c:pt>
              </c:strCache>
            </c:strRef>
          </c:tx>
          <c:dLbls>
            <c:dLbl>
              <c:idx val="0"/>
              <c:layout>
                <c:manualLayout>
                  <c:x val="-5.1529790660225387E-2"/>
                  <c:y val="-3.9726877715704642E-2"/>
                </c:manualLayout>
              </c:layout>
              <c:showLegendKey val="0"/>
              <c:showVal val="1"/>
              <c:showCatName val="0"/>
              <c:showSerName val="0"/>
              <c:showPercent val="0"/>
              <c:showBubbleSize val="0"/>
            </c:dLbl>
            <c:dLbl>
              <c:idx val="1"/>
              <c:layout>
                <c:manualLayout>
                  <c:x val="-3.8647342995170926E-2"/>
                  <c:y val="-3.7243947858476067E-2"/>
                </c:manualLayout>
              </c:layout>
              <c:showLegendKey val="0"/>
              <c:showVal val="1"/>
              <c:showCatName val="0"/>
              <c:showSerName val="0"/>
              <c:showPercent val="0"/>
              <c:showBubbleSize val="0"/>
            </c:dLbl>
            <c:dLbl>
              <c:idx val="2"/>
              <c:layout>
                <c:manualLayout>
                  <c:x val="-4.5088566827697324E-2"/>
                  <c:y val="-2.9795158286778402E-2"/>
                </c:manualLayout>
              </c:layout>
              <c:showLegendKey val="0"/>
              <c:showVal val="1"/>
              <c:showCatName val="0"/>
              <c:showSerName val="0"/>
              <c:showPercent val="0"/>
              <c:showBubbleSize val="0"/>
            </c:dLbl>
            <c:dLbl>
              <c:idx val="3"/>
              <c:layout>
                <c:manualLayout>
                  <c:x val="-7.3000536768652716E-2"/>
                  <c:y val="-3.9726877715704642E-2"/>
                </c:manualLayout>
              </c:layout>
              <c:showLegendKey val="0"/>
              <c:showVal val="1"/>
              <c:showCatName val="0"/>
              <c:showSerName val="0"/>
              <c:showPercent val="0"/>
              <c:showBubbleSize val="0"/>
            </c:dLbl>
            <c:dLbl>
              <c:idx val="4"/>
              <c:layout>
                <c:manualLayout>
                  <c:x val="-6.0118089103596534E-2"/>
                  <c:y val="-4.9658597144632124E-2"/>
                </c:manualLayout>
              </c:layout>
              <c:showLegendKey val="0"/>
              <c:showVal val="1"/>
              <c:showCatName val="0"/>
              <c:showSerName val="0"/>
              <c:showPercent val="0"/>
              <c:showBubbleSize val="0"/>
            </c:dLbl>
            <c:dLbl>
              <c:idx val="5"/>
              <c:layout>
                <c:manualLayout>
                  <c:x val="-6.6559312936124451E-2"/>
                  <c:y val="-2.9795158286778391E-2"/>
                </c:manualLayout>
              </c:layout>
              <c:showLegendKey val="0"/>
              <c:showVal val="1"/>
              <c:showCatName val="0"/>
              <c:showSerName val="0"/>
              <c:showPercent val="0"/>
              <c:showBubbleSize val="0"/>
            </c:dLbl>
            <c:dLbl>
              <c:idx val="6"/>
              <c:layout>
                <c:manualLayout>
                  <c:x val="-3.6500268384326656E-2"/>
                  <c:y val="-3.9726877715704642E-2"/>
                </c:manualLayout>
              </c:layout>
              <c:showLegendKey val="0"/>
              <c:showVal val="1"/>
              <c:showCatName val="0"/>
              <c:showSerName val="0"/>
              <c:showPercent val="0"/>
              <c:showBubbleSize val="0"/>
            </c:dLbl>
            <c:dLbl>
              <c:idx val="7"/>
              <c:layout>
                <c:manualLayout>
                  <c:x val="-5.1529790660225387E-2"/>
                  <c:y val="-4.4692737430169924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0.1293</c:v>
                </c:pt>
                <c:pt idx="1">
                  <c:v>0.14230000000000001</c:v>
                </c:pt>
                <c:pt idx="2">
                  <c:v>0.1343</c:v>
                </c:pt>
                <c:pt idx="3">
                  <c:v>0.1641</c:v>
                </c:pt>
              </c:numCache>
            </c:numRef>
          </c:val>
          <c:smooth val="0"/>
        </c:ser>
        <c:dLbls>
          <c:showLegendKey val="0"/>
          <c:showVal val="0"/>
          <c:showCatName val="0"/>
          <c:showSerName val="0"/>
          <c:showPercent val="0"/>
          <c:showBubbleSize val="0"/>
        </c:dLbls>
        <c:marker val="1"/>
        <c:smooth val="0"/>
        <c:axId val="161226112"/>
        <c:axId val="161440896"/>
      </c:lineChart>
      <c:catAx>
        <c:axId val="161226112"/>
        <c:scaling>
          <c:orientation val="minMax"/>
        </c:scaling>
        <c:delete val="0"/>
        <c:axPos val="b"/>
        <c:majorTickMark val="out"/>
        <c:minorTickMark val="none"/>
        <c:tickLblPos val="nextTo"/>
        <c:txPr>
          <a:bodyPr/>
          <a:lstStyle/>
          <a:p>
            <a:pPr>
              <a:defRPr b="1"/>
            </a:pPr>
            <a:endParaRPr lang="mk-MK"/>
          </a:p>
        </c:txPr>
        <c:crossAx val="161440896"/>
        <c:crosses val="autoZero"/>
        <c:auto val="1"/>
        <c:lblAlgn val="ctr"/>
        <c:lblOffset val="100"/>
        <c:noMultiLvlLbl val="0"/>
      </c:catAx>
      <c:valAx>
        <c:axId val="161440896"/>
        <c:scaling>
          <c:orientation val="minMax"/>
          <c:min val="6.0000000000000032E-2"/>
        </c:scaling>
        <c:delete val="0"/>
        <c:axPos val="l"/>
        <c:majorGridlines/>
        <c:numFmt formatCode="0%" sourceLinked="0"/>
        <c:majorTickMark val="out"/>
        <c:minorTickMark val="none"/>
        <c:tickLblPos val="nextTo"/>
        <c:txPr>
          <a:bodyPr/>
          <a:lstStyle/>
          <a:p>
            <a:pPr>
              <a:defRPr b="1"/>
            </a:pPr>
            <a:endParaRPr lang="mk-MK"/>
          </a:p>
        </c:txPr>
        <c:crossAx val="161226112"/>
        <c:crosses val="autoZero"/>
        <c:crossBetween val="between"/>
      </c:valAx>
    </c:plotArea>
    <c:legend>
      <c:legendPos val="r"/>
      <c:layout>
        <c:manualLayout>
          <c:xMode val="edge"/>
          <c:yMode val="edge"/>
          <c:x val="4.3953829442817234E-2"/>
          <c:y val="0.75970591662720577"/>
          <c:w val="0.93383987527840706"/>
          <c:h val="0.21123226851558391"/>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5216144853428754"/>
          <c:y val="3.3721940998642543E-2"/>
          <c:w val="0.76602656733544061"/>
          <c:h val="0.71413975958973663"/>
        </c:manualLayout>
      </c:layout>
      <c:lineChart>
        <c:grouping val="standard"/>
        <c:varyColors val="0"/>
        <c:ser>
          <c:idx val="0"/>
          <c:order val="0"/>
          <c:tx>
            <c:strRef>
              <c:f>Sheet1!$B$1</c:f>
              <c:strCache>
                <c:ptCount val="1"/>
                <c:pt idx="0">
                  <c:v>Во сопствена мрежа</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c:formatCode>
                <c:ptCount val="4"/>
                <c:pt idx="0">
                  <c:v>149712</c:v>
                </c:pt>
                <c:pt idx="1">
                  <c:v>139066.9</c:v>
                </c:pt>
                <c:pt idx="2">
                  <c:v>128132.2</c:v>
                </c:pt>
                <c:pt idx="3">
                  <c:v>130549.3</c:v>
                </c:pt>
              </c:numCache>
            </c:numRef>
          </c:val>
          <c:smooth val="0"/>
        </c:ser>
        <c:ser>
          <c:idx val="1"/>
          <c:order val="1"/>
          <c:tx>
            <c:strRef>
              <c:f>Sheet1!$C$1</c:f>
              <c:strCache>
                <c:ptCount val="1"/>
                <c:pt idx="0">
                  <c:v>Кон други фиксни мрежи во РМ</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c:formatCode>
                <c:ptCount val="4"/>
                <c:pt idx="0">
                  <c:v>45031.6</c:v>
                </c:pt>
                <c:pt idx="1">
                  <c:v>45378.1</c:v>
                </c:pt>
                <c:pt idx="2">
                  <c:v>43682.6</c:v>
                </c:pt>
                <c:pt idx="3">
                  <c:v>46654.9</c:v>
                </c:pt>
              </c:numCache>
            </c:numRef>
          </c:val>
          <c:smooth val="0"/>
        </c:ser>
        <c:ser>
          <c:idx val="2"/>
          <c:order val="2"/>
          <c:tx>
            <c:strRef>
              <c:f>Sheet1!$D$1</c:f>
              <c:strCache>
                <c:ptCount val="1"/>
                <c:pt idx="0">
                  <c:v>Кон мобилни мрежи во РМ</c:v>
                </c:pt>
              </c:strCache>
            </c:strRef>
          </c:tx>
          <c:dLbls>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Sheet1!$D$2:$D$5</c:f>
              <c:numCache>
                <c:formatCode>#,##0.0</c:formatCode>
                <c:ptCount val="4"/>
                <c:pt idx="0">
                  <c:v>13846.2</c:v>
                </c:pt>
                <c:pt idx="1">
                  <c:v>14827.6</c:v>
                </c:pt>
                <c:pt idx="2">
                  <c:v>14050.4</c:v>
                </c:pt>
                <c:pt idx="3">
                  <c:v>13468.4</c:v>
                </c:pt>
              </c:numCache>
            </c:numRef>
          </c:val>
          <c:smooth val="0"/>
        </c:ser>
        <c:ser>
          <c:idx val="3"/>
          <c:order val="3"/>
          <c:tx>
            <c:strRef>
              <c:f>Sheet1!$E$1</c:f>
              <c:strCache>
                <c:ptCount val="1"/>
                <c:pt idx="0">
                  <c:v>Кон мрежи во странски држави</c:v>
                </c:pt>
              </c:strCache>
            </c:strRef>
          </c:tx>
          <c:dLbls>
            <c:dLbl>
              <c:idx val="0"/>
              <c:layout>
                <c:manualLayout>
                  <c:x val="0"/>
                  <c:y val="-2.2443887519896615E-2"/>
                </c:manualLayout>
              </c:layout>
              <c:dLblPos val="b"/>
              <c:showLegendKey val="0"/>
              <c:showVal val="1"/>
              <c:showCatName val="0"/>
              <c:showSerName val="0"/>
              <c:showPercent val="0"/>
              <c:showBubbleSize val="0"/>
            </c:dLbl>
            <c:dLbl>
              <c:idx val="1"/>
              <c:layout>
                <c:manualLayout>
                  <c:x val="0"/>
                  <c:y val="-1.4027429699934958E-2"/>
                </c:manualLayout>
              </c:layout>
              <c:dLblPos val="b"/>
              <c:showLegendKey val="0"/>
              <c:showVal val="1"/>
              <c:showCatName val="0"/>
              <c:showSerName val="0"/>
              <c:showPercent val="0"/>
              <c:showBubbleSize val="0"/>
            </c:dLbl>
            <c:dLbl>
              <c:idx val="2"/>
              <c:layout>
                <c:manualLayout>
                  <c:x val="-8.327979173274069E-17"/>
                  <c:y val="-2.2443887519896615E-2"/>
                </c:manualLayout>
              </c:layout>
              <c:dLblPos val="b"/>
              <c:showLegendKey val="0"/>
              <c:showVal val="1"/>
              <c:showCatName val="0"/>
              <c:showSerName val="0"/>
              <c:showPercent val="0"/>
              <c:showBubbleSize val="0"/>
            </c:dLbl>
            <c:dLbl>
              <c:idx val="3"/>
              <c:layout>
                <c:manualLayout>
                  <c:x val="0"/>
                  <c:y val="-2.5249373459883009E-2"/>
                </c:manualLayout>
              </c:layout>
              <c:dLblPos val="b"/>
              <c:showLegendKey val="0"/>
              <c:showVal val="1"/>
              <c:showCatName val="0"/>
              <c:showSerName val="0"/>
              <c:showPercent val="0"/>
              <c:showBubbleSize val="0"/>
            </c:dLbl>
            <c:txPr>
              <a:bodyPr/>
              <a:lstStyle/>
              <a:p>
                <a:pPr>
                  <a:defRPr b="1"/>
                </a:pPr>
                <a:endParaRPr lang="mk-MK"/>
              </a:p>
            </c:txPr>
            <c:dLblPos val="b"/>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Sheet1!$E$2:$E$5</c:f>
              <c:numCache>
                <c:formatCode>#,##0.0</c:formatCode>
                <c:ptCount val="4"/>
                <c:pt idx="0">
                  <c:v>5687.6</c:v>
                </c:pt>
                <c:pt idx="1">
                  <c:v>5068.1000000000004</c:v>
                </c:pt>
                <c:pt idx="2">
                  <c:v>5128</c:v>
                </c:pt>
                <c:pt idx="3">
                  <c:v>5244.3</c:v>
                </c:pt>
              </c:numCache>
            </c:numRef>
          </c:val>
          <c:smooth val="0"/>
        </c:ser>
        <c:ser>
          <c:idx val="4"/>
          <c:order val="4"/>
          <c:tx>
            <c:strRef>
              <c:f>Sheet1!$F$1</c:f>
              <c:strCache>
                <c:ptCount val="1"/>
                <c:pt idx="0">
                  <c:v>Вкупно сообраќај по квартал</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Sheet1!$F$2:$F$5</c:f>
              <c:numCache>
                <c:formatCode>#,##0.0</c:formatCode>
                <c:ptCount val="4"/>
                <c:pt idx="0">
                  <c:v>214277.40000000002</c:v>
                </c:pt>
                <c:pt idx="1">
                  <c:v>204340.7</c:v>
                </c:pt>
                <c:pt idx="2">
                  <c:v>190993.19999999998</c:v>
                </c:pt>
                <c:pt idx="3">
                  <c:v>195916.9</c:v>
                </c:pt>
              </c:numCache>
            </c:numRef>
          </c:val>
          <c:smooth val="0"/>
        </c:ser>
        <c:dLbls>
          <c:showLegendKey val="0"/>
          <c:showVal val="0"/>
          <c:showCatName val="0"/>
          <c:showSerName val="0"/>
          <c:showPercent val="0"/>
          <c:showBubbleSize val="0"/>
        </c:dLbls>
        <c:marker val="1"/>
        <c:smooth val="0"/>
        <c:axId val="161466240"/>
        <c:axId val="161467776"/>
      </c:lineChart>
      <c:catAx>
        <c:axId val="161466240"/>
        <c:scaling>
          <c:orientation val="minMax"/>
        </c:scaling>
        <c:delete val="0"/>
        <c:axPos val="b"/>
        <c:majorTickMark val="out"/>
        <c:minorTickMark val="none"/>
        <c:tickLblPos val="nextTo"/>
        <c:txPr>
          <a:bodyPr/>
          <a:lstStyle/>
          <a:p>
            <a:pPr>
              <a:defRPr b="1"/>
            </a:pPr>
            <a:endParaRPr lang="mk-MK"/>
          </a:p>
        </c:txPr>
        <c:crossAx val="161467776"/>
        <c:crosses val="autoZero"/>
        <c:auto val="1"/>
        <c:lblAlgn val="ctr"/>
        <c:lblOffset val="100"/>
        <c:noMultiLvlLbl val="0"/>
      </c:catAx>
      <c:valAx>
        <c:axId val="161467776"/>
        <c:scaling>
          <c:orientation val="minMax"/>
        </c:scaling>
        <c:delete val="0"/>
        <c:axPos val="l"/>
        <c:majorGridlines/>
        <c:numFmt formatCode="#,##0.0" sourceLinked="1"/>
        <c:majorTickMark val="out"/>
        <c:minorTickMark val="none"/>
        <c:tickLblPos val="nextTo"/>
        <c:txPr>
          <a:bodyPr/>
          <a:lstStyle/>
          <a:p>
            <a:pPr>
              <a:defRPr b="1"/>
            </a:pPr>
            <a:endParaRPr lang="mk-MK"/>
          </a:p>
        </c:txPr>
        <c:crossAx val="161466240"/>
        <c:crosses val="autoZero"/>
        <c:crossBetween val="between"/>
        <c:majorUnit val="50000"/>
      </c:valAx>
    </c:plotArea>
    <c:legend>
      <c:legendPos val="r"/>
      <c:layout>
        <c:manualLayout>
          <c:xMode val="edge"/>
          <c:yMode val="edge"/>
          <c:x val="0.10733631307935861"/>
          <c:y val="0.85742410000784208"/>
          <c:w val="0.87222204735451714"/>
          <c:h val="0.1408247907759157"/>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33425163089820031"/>
          <c:y val="7.2519545645116479E-2"/>
          <c:w val="0.61397878299668662"/>
          <c:h val="0.65594372083151864"/>
        </c:manualLayout>
      </c:layout>
      <c:barChart>
        <c:barDir val="bar"/>
        <c:grouping val="clustered"/>
        <c:varyColors val="0"/>
        <c:ser>
          <c:idx val="0"/>
          <c:order val="0"/>
          <c:tx>
            <c:strRef>
              <c:f>Sheet1!$B$1</c:f>
              <c:strCache>
                <c:ptCount val="1"/>
                <c:pt idx="0">
                  <c:v>2010 година</c:v>
                </c:pt>
              </c:strCache>
            </c:strRef>
          </c:tx>
          <c:invertIfNegative val="0"/>
          <c:dLbls>
            <c:dLbl>
              <c:idx val="4"/>
              <c:layout>
                <c:manualLayout>
                  <c:x val="-4.8574369612844545E-3"/>
                  <c:y val="6.0993648589102011E-3"/>
                </c:manualLayout>
              </c:layout>
              <c:showLegendKey val="0"/>
              <c:showVal val="1"/>
              <c:showCatName val="0"/>
              <c:showSerName val="0"/>
              <c:showPercent val="0"/>
              <c:showBubbleSize val="0"/>
            </c:dLbl>
            <c:txPr>
              <a:bodyPr rot="0" vert="horz"/>
              <a:lstStyle/>
              <a:p>
                <a:pPr>
                  <a:defRPr b="1"/>
                </a:pPr>
                <a:endParaRPr lang="mk-MK"/>
              </a:p>
            </c:txPr>
            <c:showLegendKey val="0"/>
            <c:showVal val="1"/>
            <c:showCatName val="0"/>
            <c:showSerName val="0"/>
            <c:showPercent val="0"/>
            <c:showBubbleSize val="0"/>
            <c:showLeaderLines val="0"/>
          </c:dLbls>
          <c:cat>
            <c:strRef>
              <c:f>Sheet1!$A$2:$A$6</c:f>
              <c:strCache>
                <c:ptCount val="5"/>
                <c:pt idx="0">
                  <c:v>Кон мрежи во странски држави</c:v>
                </c:pt>
                <c:pt idx="1">
                  <c:v>Кон мобилни мрежи во РМ</c:v>
                </c:pt>
                <c:pt idx="2">
                  <c:v>Кон други фиксни мрежи во РМ</c:v>
                </c:pt>
                <c:pt idx="3">
                  <c:v>Во сопствена мрежа</c:v>
                </c:pt>
                <c:pt idx="4">
                  <c:v>Вкупно сообраќај</c:v>
                </c:pt>
              </c:strCache>
            </c:strRef>
          </c:cat>
          <c:val>
            <c:numRef>
              <c:f>Sheet1!$B$2:$B$6</c:f>
              <c:numCache>
                <c:formatCode>#,##0.00</c:formatCode>
                <c:ptCount val="5"/>
                <c:pt idx="0">
                  <c:v>4.74</c:v>
                </c:pt>
                <c:pt idx="1">
                  <c:v>13.3</c:v>
                </c:pt>
                <c:pt idx="2">
                  <c:v>37.82</c:v>
                </c:pt>
                <c:pt idx="3">
                  <c:v>128.97999999999999</c:v>
                </c:pt>
                <c:pt idx="4">
                  <c:v>184.84</c:v>
                </c:pt>
              </c:numCache>
            </c:numRef>
          </c:val>
        </c:ser>
        <c:ser>
          <c:idx val="1"/>
          <c:order val="1"/>
          <c:tx>
            <c:strRef>
              <c:f>Sheet1!$C$1</c:f>
              <c:strCache>
                <c:ptCount val="1"/>
                <c:pt idx="0">
                  <c:v>2011 година</c:v>
                </c:pt>
              </c:strCache>
            </c:strRef>
          </c:tx>
          <c:invertIfNegative val="0"/>
          <c:dLbls>
            <c:dLbl>
              <c:idx val="4"/>
              <c:layout>
                <c:manualLayout>
                  <c:x val="3.4905381946156219E-3"/>
                  <c:y val="-1.0508553268176372E-2"/>
                </c:manualLayout>
              </c:layout>
              <c:showLegendKey val="0"/>
              <c:showVal val="1"/>
              <c:showCatName val="0"/>
              <c:showSerName val="0"/>
              <c:showPercent val="0"/>
              <c:showBubbleSize val="0"/>
            </c:dLbl>
            <c:txPr>
              <a:bodyPr rot="0" vert="horz"/>
              <a:lstStyle/>
              <a:p>
                <a:pPr>
                  <a:defRPr b="1"/>
                </a:pPr>
                <a:endParaRPr lang="mk-MK"/>
              </a:p>
            </c:txPr>
            <c:showLegendKey val="0"/>
            <c:showVal val="1"/>
            <c:showCatName val="0"/>
            <c:showSerName val="0"/>
            <c:showPercent val="0"/>
            <c:showBubbleSize val="0"/>
            <c:showLeaderLines val="0"/>
          </c:dLbls>
          <c:cat>
            <c:strRef>
              <c:f>Sheet1!$A$2:$A$6</c:f>
              <c:strCache>
                <c:ptCount val="5"/>
                <c:pt idx="0">
                  <c:v>Кон мрежи во странски држави</c:v>
                </c:pt>
                <c:pt idx="1">
                  <c:v>Кон мобилни мрежи во РМ</c:v>
                </c:pt>
                <c:pt idx="2">
                  <c:v>Кон други фиксни мрежи во РМ</c:v>
                </c:pt>
                <c:pt idx="3">
                  <c:v>Во сопствена мрежа</c:v>
                </c:pt>
                <c:pt idx="4">
                  <c:v>Вкупно сообраќај</c:v>
                </c:pt>
              </c:strCache>
            </c:strRef>
          </c:cat>
          <c:val>
            <c:numRef>
              <c:f>Sheet1!$C$2:$C$6</c:f>
              <c:numCache>
                <c:formatCode>#,##0.00</c:formatCode>
                <c:ptCount val="5"/>
                <c:pt idx="0">
                  <c:v>4.3599999999999985</c:v>
                </c:pt>
                <c:pt idx="1">
                  <c:v>11.25</c:v>
                </c:pt>
                <c:pt idx="2">
                  <c:v>36.18</c:v>
                </c:pt>
                <c:pt idx="3">
                  <c:v>109.64</c:v>
                </c:pt>
                <c:pt idx="4">
                  <c:v>161.41999999999999</c:v>
                </c:pt>
              </c:numCache>
            </c:numRef>
          </c:val>
        </c:ser>
        <c:dLbls>
          <c:showLegendKey val="0"/>
          <c:showVal val="0"/>
          <c:showCatName val="0"/>
          <c:showSerName val="0"/>
          <c:showPercent val="0"/>
          <c:showBubbleSize val="0"/>
        </c:dLbls>
        <c:gapWidth val="150"/>
        <c:axId val="196199168"/>
        <c:axId val="196200704"/>
      </c:barChart>
      <c:catAx>
        <c:axId val="196199168"/>
        <c:scaling>
          <c:orientation val="minMax"/>
        </c:scaling>
        <c:delete val="0"/>
        <c:axPos val="l"/>
        <c:majorTickMark val="out"/>
        <c:minorTickMark val="none"/>
        <c:tickLblPos val="nextTo"/>
        <c:txPr>
          <a:bodyPr/>
          <a:lstStyle/>
          <a:p>
            <a:pPr>
              <a:defRPr b="1"/>
            </a:pPr>
            <a:endParaRPr lang="mk-MK"/>
          </a:p>
        </c:txPr>
        <c:crossAx val="196200704"/>
        <c:crosses val="autoZero"/>
        <c:auto val="1"/>
        <c:lblAlgn val="ctr"/>
        <c:lblOffset val="100"/>
        <c:noMultiLvlLbl val="0"/>
      </c:catAx>
      <c:valAx>
        <c:axId val="196200704"/>
        <c:scaling>
          <c:orientation val="minMax"/>
        </c:scaling>
        <c:delete val="0"/>
        <c:axPos val="b"/>
        <c:majorGridlines/>
        <c:numFmt formatCode="#,##0" sourceLinked="0"/>
        <c:majorTickMark val="out"/>
        <c:minorTickMark val="none"/>
        <c:tickLblPos val="nextTo"/>
        <c:txPr>
          <a:bodyPr/>
          <a:lstStyle/>
          <a:p>
            <a:pPr>
              <a:defRPr b="1"/>
            </a:pPr>
            <a:endParaRPr lang="mk-MK"/>
          </a:p>
        </c:txPr>
        <c:crossAx val="196199168"/>
        <c:crosses val="autoZero"/>
        <c:crossBetween val="between"/>
      </c:valAx>
    </c:plotArea>
    <c:legend>
      <c:legendPos val="r"/>
      <c:layout>
        <c:manualLayout>
          <c:xMode val="edge"/>
          <c:yMode val="edge"/>
          <c:x val="0.32040761173831295"/>
          <c:y val="0.81931255321129048"/>
          <c:w val="0.43616422383465342"/>
          <c:h val="0.12444437441249073"/>
        </c:manualLayout>
      </c:layout>
      <c:overlay val="0"/>
      <c:txPr>
        <a:bodyPr/>
        <a:lstStyle/>
        <a:p>
          <a:pPr>
            <a:defRPr b="1"/>
          </a:pPr>
          <a:endParaRPr lang="mk-MK"/>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lineChart>
        <c:grouping val="standard"/>
        <c:varyColors val="0"/>
        <c:ser>
          <c:idx val="0"/>
          <c:order val="0"/>
          <c:tx>
            <c:strRef>
              <c:f>Sheet1!$B$1</c:f>
              <c:strCache>
                <c:ptCount val="1"/>
                <c:pt idx="0">
                  <c:v>Во сопствена мрежа</c:v>
                </c:pt>
              </c:strCache>
            </c:strRef>
          </c:tx>
          <c:dLbls>
            <c:dLbl>
              <c:idx val="0"/>
              <c:layout>
                <c:manualLayout>
                  <c:x val="0"/>
                  <c:y val="6.9264069264069264E-3"/>
                </c:manualLayout>
              </c:layout>
              <c:dLblPos val="t"/>
              <c:showLegendKey val="0"/>
              <c:showVal val="1"/>
              <c:showCatName val="0"/>
              <c:showSerName val="0"/>
              <c:showPercent val="0"/>
              <c:showBubbleSize val="0"/>
            </c:dLbl>
            <c:dLbl>
              <c:idx val="2"/>
              <c:layout>
                <c:manualLayout>
                  <c:x val="7.3738045440118489E-17"/>
                  <c:y val="1.3852813852813789E-2"/>
                </c:manualLayout>
              </c:layout>
              <c:dLblPos val="t"/>
              <c:showLegendKey val="0"/>
              <c:showVal val="1"/>
              <c:showCatName val="0"/>
              <c:showSerName val="0"/>
              <c:showPercent val="0"/>
              <c:showBubbleSize val="0"/>
            </c:dLbl>
            <c:dLbl>
              <c:idx val="3"/>
              <c:layout>
                <c:manualLayout>
                  <c:x val="0"/>
                  <c:y val="2.0779220779221105E-2"/>
                </c:manualLayout>
              </c:layout>
              <c:dLblPos val="t"/>
              <c:showLegendKey val="0"/>
              <c:showVal val="1"/>
              <c:showCatName val="0"/>
              <c:showSerName val="0"/>
              <c:showPercent val="0"/>
              <c:showBubbleSize val="0"/>
            </c:dLbl>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Sheet1!$B$2:$B$5</c:f>
              <c:numCache>
                <c:formatCode>0.00%</c:formatCode>
                <c:ptCount val="4"/>
                <c:pt idx="0">
                  <c:v>0.10750000000000012</c:v>
                </c:pt>
                <c:pt idx="1">
                  <c:v>0.1108</c:v>
                </c:pt>
                <c:pt idx="2">
                  <c:v>0.1169</c:v>
                </c:pt>
                <c:pt idx="3">
                  <c:v>0.12790000000000001</c:v>
                </c:pt>
              </c:numCache>
            </c:numRef>
          </c:val>
          <c:smooth val="0"/>
        </c:ser>
        <c:ser>
          <c:idx val="1"/>
          <c:order val="1"/>
          <c:tx>
            <c:strRef>
              <c:f>Sheet1!$C$1</c:f>
              <c:strCache>
                <c:ptCount val="1"/>
                <c:pt idx="0">
                  <c:v>Кон други фиксни мрежи во РМ</c:v>
                </c:pt>
              </c:strCache>
            </c:strRef>
          </c:tx>
          <c:dLbls>
            <c:dLbl>
              <c:idx val="0"/>
              <c:layout>
                <c:manualLayout>
                  <c:x val="-4.4243338360985367E-2"/>
                  <c:y val="-4.5021645021645074E-2"/>
                </c:manualLayout>
              </c:layout>
              <c:showLegendKey val="0"/>
              <c:showVal val="1"/>
              <c:showCatName val="0"/>
              <c:showSerName val="0"/>
              <c:showPercent val="0"/>
              <c:showBubbleSize val="0"/>
            </c:dLbl>
            <c:dLbl>
              <c:idx val="1"/>
              <c:layout>
                <c:manualLayout>
                  <c:x val="-4.6254399195575668E-2"/>
                  <c:y val="-3.8095238095238099E-2"/>
                </c:manualLayout>
              </c:layout>
              <c:showLegendKey val="0"/>
              <c:showVal val="1"/>
              <c:showCatName val="0"/>
              <c:showSerName val="0"/>
              <c:showPercent val="0"/>
              <c:showBubbleSize val="0"/>
            </c:dLbl>
            <c:dLbl>
              <c:idx val="2"/>
              <c:layout>
                <c:manualLayout>
                  <c:x val="-4.4243338360985367E-2"/>
                  <c:y val="-5.1948051948051951E-2"/>
                </c:manualLayout>
              </c:layout>
              <c:showLegendKey val="0"/>
              <c:showVal val="1"/>
              <c:showCatName val="0"/>
              <c:showSerName val="0"/>
              <c:showPercent val="0"/>
              <c:showBubbleSize val="0"/>
            </c:dLbl>
            <c:dLbl>
              <c:idx val="3"/>
              <c:layout>
                <c:manualLayout>
                  <c:x val="-5.0276520864756161E-2"/>
                  <c:y val="-4.8484848484848485E-2"/>
                </c:manualLayout>
              </c:layout>
              <c:showLegendKey val="0"/>
              <c:showVal val="1"/>
              <c:showCatName val="0"/>
              <c:showSerName val="0"/>
              <c:showPercent val="0"/>
              <c:showBubbleSize val="0"/>
            </c:dLbl>
            <c:txPr>
              <a:bodyPr/>
              <a:lstStyle/>
              <a:p>
                <a:pPr>
                  <a:defRPr b="1"/>
                </a:pPr>
                <a:endParaRPr lang="mk-MK"/>
              </a:p>
            </c:txPr>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Sheet1!$C$2:$C$5</c:f>
              <c:numCache>
                <c:formatCode>0.00%</c:formatCode>
                <c:ptCount val="4"/>
                <c:pt idx="0">
                  <c:v>0.68340000000000001</c:v>
                </c:pt>
                <c:pt idx="1">
                  <c:v>0.66770000000000462</c:v>
                </c:pt>
                <c:pt idx="2">
                  <c:v>0.67730000000000334</c:v>
                </c:pt>
                <c:pt idx="3">
                  <c:v>0.67780000000000451</c:v>
                </c:pt>
              </c:numCache>
            </c:numRef>
          </c:val>
          <c:smooth val="0"/>
        </c:ser>
        <c:ser>
          <c:idx val="2"/>
          <c:order val="2"/>
          <c:tx>
            <c:strRef>
              <c:f>Sheet1!$D$1</c:f>
              <c:strCache>
                <c:ptCount val="1"/>
                <c:pt idx="0">
                  <c:v>Кон мобилни мрежи во РМ</c:v>
                </c:pt>
              </c:strCache>
            </c:strRef>
          </c:tx>
          <c:dLbls>
            <c:dLbl>
              <c:idx val="0"/>
              <c:layout>
                <c:manualLayout>
                  <c:x val="0"/>
                  <c:y val="2.0779220779220918E-2"/>
                </c:manualLayout>
              </c:layout>
              <c:dLblPos val="t"/>
              <c:showLegendKey val="0"/>
              <c:showVal val="1"/>
              <c:showCatName val="0"/>
              <c:showSerName val="0"/>
              <c:showPercent val="0"/>
              <c:showBubbleSize val="0"/>
            </c:dLbl>
            <c:dLbl>
              <c:idx val="1"/>
              <c:layout>
                <c:manualLayout>
                  <c:x val="0"/>
                  <c:y val="1.0389610389610461E-2"/>
                </c:manualLayout>
              </c:layout>
              <c:dLblPos val="t"/>
              <c:showLegendKey val="0"/>
              <c:showVal val="1"/>
              <c:showCatName val="0"/>
              <c:showSerName val="0"/>
              <c:showPercent val="0"/>
              <c:showBubbleSize val="0"/>
            </c:dLbl>
            <c:dLbl>
              <c:idx val="2"/>
              <c:layout>
                <c:manualLayout>
                  <c:x val="-7.3738045440117564E-17"/>
                  <c:y val="1.7316017316017323E-2"/>
                </c:manualLayout>
              </c:layout>
              <c:dLblPos val="t"/>
              <c:showLegendKey val="0"/>
              <c:showVal val="1"/>
              <c:showCatName val="0"/>
              <c:showSerName val="0"/>
              <c:showPercent val="0"/>
              <c:showBubbleSize val="0"/>
            </c:dLbl>
            <c:dLbl>
              <c:idx val="3"/>
              <c:layout>
                <c:manualLayout>
                  <c:x val="0"/>
                  <c:y val="1.7316017316017323E-2"/>
                </c:manualLayout>
              </c:layout>
              <c:dLblPos val="t"/>
              <c:showLegendKey val="0"/>
              <c:showVal val="1"/>
              <c:showCatName val="0"/>
              <c:showSerName val="0"/>
              <c:showPercent val="0"/>
              <c:showBubbleSize val="0"/>
            </c:dLbl>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Sheet1!$D$2:$D$5</c:f>
              <c:numCache>
                <c:formatCode>0.00%</c:formatCode>
                <c:ptCount val="4"/>
                <c:pt idx="0">
                  <c:v>0.21660000000000001</c:v>
                </c:pt>
                <c:pt idx="1">
                  <c:v>0.21040000000000081</c:v>
                </c:pt>
                <c:pt idx="2">
                  <c:v>0.22189999999999999</c:v>
                </c:pt>
                <c:pt idx="3">
                  <c:v>0.2225</c:v>
                </c:pt>
              </c:numCache>
            </c:numRef>
          </c:val>
          <c:smooth val="0"/>
        </c:ser>
        <c:ser>
          <c:idx val="3"/>
          <c:order val="3"/>
          <c:tx>
            <c:strRef>
              <c:f>Sheet1!$E$1</c:f>
              <c:strCache>
                <c:ptCount val="1"/>
                <c:pt idx="0">
                  <c:v>Кон мрежи во странски држави</c:v>
                </c:pt>
              </c:strCache>
            </c:strRef>
          </c:tx>
          <c:dLbls>
            <c:txPr>
              <a:bodyPr/>
              <a:lstStyle/>
              <a:p>
                <a:pPr>
                  <a:defRPr b="1"/>
                </a:pPr>
                <a:endParaRPr lang="mk-MK"/>
              </a:p>
            </c:txPr>
            <c:dLblPos val="t"/>
            <c:showLegendKey val="0"/>
            <c:showVal val="1"/>
            <c:showCatName val="0"/>
            <c:showSerName val="0"/>
            <c:showPercent val="0"/>
            <c:showBubbleSize val="0"/>
            <c:showLeaderLines val="0"/>
          </c:dLbls>
          <c:cat>
            <c:strRef>
              <c:f>Sheet1!$A$2:$A$5</c:f>
              <c:strCache>
                <c:ptCount val="4"/>
                <c:pt idx="0">
                  <c:v>2011/1 квартал</c:v>
                </c:pt>
                <c:pt idx="1">
                  <c:v>2011/2 квартал</c:v>
                </c:pt>
                <c:pt idx="2">
                  <c:v>2011/3 квартал</c:v>
                </c:pt>
                <c:pt idx="3">
                  <c:v>2011/4 квартал</c:v>
                </c:pt>
              </c:strCache>
            </c:strRef>
          </c:cat>
          <c:val>
            <c:numRef>
              <c:f>Sheet1!$E$2:$E$5</c:f>
              <c:numCache>
                <c:formatCode>0.00%</c:formatCode>
                <c:ptCount val="4"/>
                <c:pt idx="0">
                  <c:v>0.29150000000000031</c:v>
                </c:pt>
                <c:pt idx="1">
                  <c:v>0.2742</c:v>
                </c:pt>
                <c:pt idx="2">
                  <c:v>0.26090000000000002</c:v>
                </c:pt>
                <c:pt idx="3">
                  <c:v>0.31810000000000038</c:v>
                </c:pt>
              </c:numCache>
            </c:numRef>
          </c:val>
          <c:smooth val="0"/>
        </c:ser>
        <c:dLbls>
          <c:showLegendKey val="0"/>
          <c:showVal val="0"/>
          <c:showCatName val="0"/>
          <c:showSerName val="0"/>
          <c:showPercent val="0"/>
          <c:showBubbleSize val="0"/>
        </c:dLbls>
        <c:marker val="1"/>
        <c:smooth val="0"/>
        <c:axId val="196638976"/>
        <c:axId val="196648960"/>
      </c:lineChart>
      <c:catAx>
        <c:axId val="196638976"/>
        <c:scaling>
          <c:orientation val="minMax"/>
        </c:scaling>
        <c:delete val="0"/>
        <c:axPos val="b"/>
        <c:majorTickMark val="none"/>
        <c:minorTickMark val="none"/>
        <c:tickLblPos val="nextTo"/>
        <c:txPr>
          <a:bodyPr/>
          <a:lstStyle/>
          <a:p>
            <a:pPr>
              <a:defRPr b="1"/>
            </a:pPr>
            <a:endParaRPr lang="mk-MK"/>
          </a:p>
        </c:txPr>
        <c:crossAx val="196648960"/>
        <c:crosses val="autoZero"/>
        <c:auto val="1"/>
        <c:lblAlgn val="ctr"/>
        <c:lblOffset val="100"/>
        <c:noMultiLvlLbl val="0"/>
      </c:catAx>
      <c:valAx>
        <c:axId val="196648960"/>
        <c:scaling>
          <c:orientation val="minMax"/>
        </c:scaling>
        <c:delete val="0"/>
        <c:axPos val="l"/>
        <c:majorGridlines/>
        <c:numFmt formatCode="0%" sourceLinked="0"/>
        <c:majorTickMark val="none"/>
        <c:minorTickMark val="none"/>
        <c:tickLblPos val="nextTo"/>
        <c:txPr>
          <a:bodyPr/>
          <a:lstStyle/>
          <a:p>
            <a:pPr>
              <a:defRPr b="1"/>
            </a:pPr>
            <a:endParaRPr lang="mk-MK"/>
          </a:p>
        </c:txPr>
        <c:crossAx val="196638976"/>
        <c:crosses val="autoZero"/>
        <c:crossBetween val="between"/>
      </c:valAx>
    </c:plotArea>
    <c:legend>
      <c:legendPos val="b"/>
      <c:overlay val="0"/>
      <c:txPr>
        <a:bodyPr/>
        <a:lstStyle/>
        <a:p>
          <a:pPr>
            <a:defRPr b="1"/>
          </a:pPr>
          <a:endParaRPr lang="mk-MK"/>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EA711-C843-436F-ACB0-91739ED7F11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4DC5A80D-FD0F-4F01-BAC4-7E88EAA0F316}">
      <dgm:prSet phldrT="[Text]" custT="1"/>
      <dgm:spPr>
        <a:solidFill>
          <a:schemeClr val="accent2">
            <a:lumMod val="75000"/>
          </a:schemeClr>
        </a:solidFill>
      </dgm:spPr>
      <dgm:t>
        <a:bodyPr/>
        <a:lstStyle/>
        <a:p>
          <a:pPr algn="ctr"/>
          <a:r>
            <a:rPr lang="mk-MK" sz="1800"/>
            <a:t>ФИКСНА ТЕЛЕФОНИЈА</a:t>
          </a:r>
          <a:endParaRPr lang="en-US" sz="1800"/>
        </a:p>
      </dgm:t>
    </dgm:pt>
    <dgm:pt modelId="{DDDD9F79-37A3-4964-A841-7EF283F5D3ED}" type="parTrans" cxnId="{D4FF9374-E464-4D92-BFA4-EC0F36764D3E}">
      <dgm:prSet/>
      <dgm:spPr/>
      <dgm:t>
        <a:bodyPr/>
        <a:lstStyle/>
        <a:p>
          <a:endParaRPr lang="en-US"/>
        </a:p>
      </dgm:t>
    </dgm:pt>
    <dgm:pt modelId="{AC685C0B-131F-4040-B95F-D933D68A69DC}" type="sibTrans" cxnId="{D4FF9374-E464-4D92-BFA4-EC0F36764D3E}">
      <dgm:prSet/>
      <dgm:spPr/>
      <dgm:t>
        <a:bodyPr/>
        <a:lstStyle/>
        <a:p>
          <a:endParaRPr lang="en-US"/>
        </a:p>
      </dgm:t>
    </dgm:pt>
    <dgm:pt modelId="{E221F0F3-60C7-4D9F-94CD-20C7F2A650FC}" type="pres">
      <dgm:prSet presAssocID="{0A6EA711-C843-436F-ACB0-91739ED7F115}" presName="linear" presStyleCnt="0">
        <dgm:presLayoutVars>
          <dgm:animLvl val="lvl"/>
          <dgm:resizeHandles val="exact"/>
        </dgm:presLayoutVars>
      </dgm:prSet>
      <dgm:spPr/>
      <dgm:t>
        <a:bodyPr/>
        <a:lstStyle/>
        <a:p>
          <a:endParaRPr lang="en-US"/>
        </a:p>
      </dgm:t>
    </dgm:pt>
    <dgm:pt modelId="{AABF6FED-E964-4314-91F7-0E98DEDAC27D}" type="pres">
      <dgm:prSet presAssocID="{4DC5A80D-FD0F-4F01-BAC4-7E88EAA0F316}" presName="parentText" presStyleLbl="node1" presStyleIdx="0" presStyleCnt="1" custScaleY="33260">
        <dgm:presLayoutVars>
          <dgm:chMax val="0"/>
          <dgm:bulletEnabled val="1"/>
        </dgm:presLayoutVars>
      </dgm:prSet>
      <dgm:spPr/>
      <dgm:t>
        <a:bodyPr/>
        <a:lstStyle/>
        <a:p>
          <a:endParaRPr lang="en-US"/>
        </a:p>
      </dgm:t>
    </dgm:pt>
  </dgm:ptLst>
  <dgm:cxnLst>
    <dgm:cxn modelId="{377CAE04-5BCF-4159-B422-34EB00AA54B1}" type="presOf" srcId="{0A6EA711-C843-436F-ACB0-91739ED7F115}" destId="{E221F0F3-60C7-4D9F-94CD-20C7F2A650FC}" srcOrd="0" destOrd="0" presId="urn:microsoft.com/office/officeart/2005/8/layout/vList2"/>
    <dgm:cxn modelId="{5AC114A1-5B28-4F30-935E-18129C1BD742}" type="presOf" srcId="{4DC5A80D-FD0F-4F01-BAC4-7E88EAA0F316}" destId="{AABF6FED-E964-4314-91F7-0E98DEDAC27D}" srcOrd="0" destOrd="0" presId="urn:microsoft.com/office/officeart/2005/8/layout/vList2"/>
    <dgm:cxn modelId="{D4FF9374-E464-4D92-BFA4-EC0F36764D3E}" srcId="{0A6EA711-C843-436F-ACB0-91739ED7F115}" destId="{4DC5A80D-FD0F-4F01-BAC4-7E88EAA0F316}" srcOrd="0" destOrd="0" parTransId="{DDDD9F79-37A3-4964-A841-7EF283F5D3ED}" sibTransId="{AC685C0B-131F-4040-B95F-D933D68A69DC}"/>
    <dgm:cxn modelId="{F0D569DF-4C7C-4101-9A50-4FBDE511FC07}" type="presParOf" srcId="{E221F0F3-60C7-4D9F-94CD-20C7F2A650FC}" destId="{AABF6FED-E964-4314-91F7-0E98DEDAC27D}"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6EA711-C843-436F-ACB0-91739ED7F11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4DC5A80D-FD0F-4F01-BAC4-7E88EAA0F316}">
      <dgm:prSet phldrT="[Text]" custT="1"/>
      <dgm:spPr>
        <a:solidFill>
          <a:schemeClr val="accent1">
            <a:lumMod val="50000"/>
          </a:schemeClr>
        </a:solidFill>
      </dgm:spPr>
      <dgm:t>
        <a:bodyPr/>
        <a:lstStyle/>
        <a:p>
          <a:pPr algn="ctr"/>
          <a:r>
            <a:rPr lang="mk-MK" sz="1800"/>
            <a:t>МОБИЛНА ТЕЛЕФОНИЈА</a:t>
          </a:r>
          <a:endParaRPr lang="en-US" sz="1800"/>
        </a:p>
      </dgm:t>
    </dgm:pt>
    <dgm:pt modelId="{DDDD9F79-37A3-4964-A841-7EF283F5D3ED}" type="parTrans" cxnId="{D4FF9374-E464-4D92-BFA4-EC0F36764D3E}">
      <dgm:prSet/>
      <dgm:spPr/>
      <dgm:t>
        <a:bodyPr/>
        <a:lstStyle/>
        <a:p>
          <a:endParaRPr lang="en-US"/>
        </a:p>
      </dgm:t>
    </dgm:pt>
    <dgm:pt modelId="{AC685C0B-131F-4040-B95F-D933D68A69DC}" type="sibTrans" cxnId="{D4FF9374-E464-4D92-BFA4-EC0F36764D3E}">
      <dgm:prSet/>
      <dgm:spPr/>
      <dgm:t>
        <a:bodyPr/>
        <a:lstStyle/>
        <a:p>
          <a:endParaRPr lang="en-US"/>
        </a:p>
      </dgm:t>
    </dgm:pt>
    <dgm:pt modelId="{E221F0F3-60C7-4D9F-94CD-20C7F2A650FC}" type="pres">
      <dgm:prSet presAssocID="{0A6EA711-C843-436F-ACB0-91739ED7F115}" presName="linear" presStyleCnt="0">
        <dgm:presLayoutVars>
          <dgm:animLvl val="lvl"/>
          <dgm:resizeHandles val="exact"/>
        </dgm:presLayoutVars>
      </dgm:prSet>
      <dgm:spPr/>
      <dgm:t>
        <a:bodyPr/>
        <a:lstStyle/>
        <a:p>
          <a:endParaRPr lang="en-US"/>
        </a:p>
      </dgm:t>
    </dgm:pt>
    <dgm:pt modelId="{AABF6FED-E964-4314-91F7-0E98DEDAC27D}" type="pres">
      <dgm:prSet presAssocID="{4DC5A80D-FD0F-4F01-BAC4-7E88EAA0F316}" presName="parentText" presStyleLbl="node1" presStyleIdx="0" presStyleCnt="1" custScaleY="33260">
        <dgm:presLayoutVars>
          <dgm:chMax val="0"/>
          <dgm:bulletEnabled val="1"/>
        </dgm:presLayoutVars>
      </dgm:prSet>
      <dgm:spPr/>
      <dgm:t>
        <a:bodyPr/>
        <a:lstStyle/>
        <a:p>
          <a:endParaRPr lang="en-US"/>
        </a:p>
      </dgm:t>
    </dgm:pt>
  </dgm:ptLst>
  <dgm:cxnLst>
    <dgm:cxn modelId="{D4FF9374-E464-4D92-BFA4-EC0F36764D3E}" srcId="{0A6EA711-C843-436F-ACB0-91739ED7F115}" destId="{4DC5A80D-FD0F-4F01-BAC4-7E88EAA0F316}" srcOrd="0" destOrd="0" parTransId="{DDDD9F79-37A3-4964-A841-7EF283F5D3ED}" sibTransId="{AC685C0B-131F-4040-B95F-D933D68A69DC}"/>
    <dgm:cxn modelId="{2D6D3A54-BD1F-4893-AC4A-2262F11D1AB0}" type="presOf" srcId="{0A6EA711-C843-436F-ACB0-91739ED7F115}" destId="{E221F0F3-60C7-4D9F-94CD-20C7F2A650FC}" srcOrd="0" destOrd="0" presId="urn:microsoft.com/office/officeart/2005/8/layout/vList2"/>
    <dgm:cxn modelId="{8A2E10E5-9FB7-4752-BDA5-864F472F78B0}" type="presOf" srcId="{4DC5A80D-FD0F-4F01-BAC4-7E88EAA0F316}" destId="{AABF6FED-E964-4314-91F7-0E98DEDAC27D}" srcOrd="0" destOrd="0" presId="urn:microsoft.com/office/officeart/2005/8/layout/vList2"/>
    <dgm:cxn modelId="{F35D81C0-3CAC-4ACC-91E0-3FB356DAC2D4}" type="presParOf" srcId="{E221F0F3-60C7-4D9F-94CD-20C7F2A650FC}" destId="{AABF6FED-E964-4314-91F7-0E98DEDAC27D}"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B8CACF-9C4F-4D1C-A84F-F5788ED3107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E9397D2-7A60-4D07-9E4B-1FE3912C8633}">
      <dgm:prSet phldrT="[Text]" custT="1"/>
      <dgm:spPr>
        <a:solidFill>
          <a:schemeClr val="accent3">
            <a:lumMod val="50000"/>
          </a:schemeClr>
        </a:solidFill>
      </dgm:spPr>
      <dgm:t>
        <a:bodyPr/>
        <a:lstStyle/>
        <a:p>
          <a:pPr algn="ctr"/>
          <a:r>
            <a:rPr lang="mk-MK" sz="1800"/>
            <a:t>ПРИСТАП НА ИНТЕРНЕТ</a:t>
          </a:r>
          <a:endParaRPr lang="en-US" sz="1800"/>
        </a:p>
      </dgm:t>
    </dgm:pt>
    <dgm:pt modelId="{B3DE0C2A-E71C-428A-825F-1530AF5B69E9}" type="parTrans" cxnId="{C5824024-7879-4E64-AA73-67B94A6B944F}">
      <dgm:prSet/>
      <dgm:spPr/>
      <dgm:t>
        <a:bodyPr/>
        <a:lstStyle/>
        <a:p>
          <a:endParaRPr lang="en-US"/>
        </a:p>
      </dgm:t>
    </dgm:pt>
    <dgm:pt modelId="{8169EB33-C877-417C-83C5-32FD72C3BFD9}" type="sibTrans" cxnId="{C5824024-7879-4E64-AA73-67B94A6B944F}">
      <dgm:prSet/>
      <dgm:spPr/>
      <dgm:t>
        <a:bodyPr/>
        <a:lstStyle/>
        <a:p>
          <a:endParaRPr lang="en-US"/>
        </a:p>
      </dgm:t>
    </dgm:pt>
    <dgm:pt modelId="{06FBC7A1-CD5E-4B33-B4A2-AED040E3E6B6}" type="pres">
      <dgm:prSet presAssocID="{ADB8CACF-9C4F-4D1C-A84F-F5788ED31074}" presName="linear" presStyleCnt="0">
        <dgm:presLayoutVars>
          <dgm:animLvl val="lvl"/>
          <dgm:resizeHandles val="exact"/>
        </dgm:presLayoutVars>
      </dgm:prSet>
      <dgm:spPr/>
      <dgm:t>
        <a:bodyPr/>
        <a:lstStyle/>
        <a:p>
          <a:endParaRPr lang="en-US"/>
        </a:p>
      </dgm:t>
    </dgm:pt>
    <dgm:pt modelId="{16B14D38-58C9-4F84-85F2-FD34A185BA81}" type="pres">
      <dgm:prSet presAssocID="{BE9397D2-7A60-4D07-9E4B-1FE3912C8633}" presName="parentText" presStyleLbl="node1" presStyleIdx="0" presStyleCnt="1" custScaleY="34094">
        <dgm:presLayoutVars>
          <dgm:chMax val="0"/>
          <dgm:bulletEnabled val="1"/>
        </dgm:presLayoutVars>
      </dgm:prSet>
      <dgm:spPr/>
      <dgm:t>
        <a:bodyPr/>
        <a:lstStyle/>
        <a:p>
          <a:endParaRPr lang="en-US"/>
        </a:p>
      </dgm:t>
    </dgm:pt>
  </dgm:ptLst>
  <dgm:cxnLst>
    <dgm:cxn modelId="{C5824024-7879-4E64-AA73-67B94A6B944F}" srcId="{ADB8CACF-9C4F-4D1C-A84F-F5788ED31074}" destId="{BE9397D2-7A60-4D07-9E4B-1FE3912C8633}" srcOrd="0" destOrd="0" parTransId="{B3DE0C2A-E71C-428A-825F-1530AF5B69E9}" sibTransId="{8169EB33-C877-417C-83C5-32FD72C3BFD9}"/>
    <dgm:cxn modelId="{66104F1D-8FF8-4616-B512-09EC19AC5FF3}" type="presOf" srcId="{BE9397D2-7A60-4D07-9E4B-1FE3912C8633}" destId="{16B14D38-58C9-4F84-85F2-FD34A185BA81}" srcOrd="0" destOrd="0" presId="urn:microsoft.com/office/officeart/2005/8/layout/vList2"/>
    <dgm:cxn modelId="{9F432886-56FB-4889-AA5D-97D8BB08C7A2}" type="presOf" srcId="{ADB8CACF-9C4F-4D1C-A84F-F5788ED31074}" destId="{06FBC7A1-CD5E-4B33-B4A2-AED040E3E6B6}" srcOrd="0" destOrd="0" presId="urn:microsoft.com/office/officeart/2005/8/layout/vList2"/>
    <dgm:cxn modelId="{B602E498-C543-4868-B598-ABFECD0F2F7C}" type="presParOf" srcId="{06FBC7A1-CD5E-4B33-B4A2-AED040E3E6B6}" destId="{16B14D38-58C9-4F84-85F2-FD34A185BA81}" srcOrd="0"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94A7BF-EF2F-40B8-801E-FD0721D80D6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C56AE07-8CF8-48D4-B2A8-A6F6A798C8BA}">
      <dgm:prSet phldrT="[Text]" custT="1"/>
      <dgm:spPr>
        <a:solidFill>
          <a:schemeClr val="accent4">
            <a:lumMod val="50000"/>
          </a:schemeClr>
        </a:solidFill>
      </dgm:spPr>
      <dgm:t>
        <a:bodyPr/>
        <a:lstStyle/>
        <a:p>
          <a:pPr algn="ctr"/>
          <a:r>
            <a:rPr lang="mk-MK" sz="1800"/>
            <a:t>ПРЕНОС НА РАДИО И ТВ СИГНАЛИ ДО КРАЈНИ КОРИСНИЦИ</a:t>
          </a:r>
          <a:endParaRPr lang="en-US" sz="1800"/>
        </a:p>
      </dgm:t>
    </dgm:pt>
    <dgm:pt modelId="{5E371DA3-23DD-46EF-98E1-495FEDEAD364}" type="parTrans" cxnId="{287669C2-5634-477B-885D-4F0B07AFB52F}">
      <dgm:prSet/>
      <dgm:spPr/>
      <dgm:t>
        <a:bodyPr/>
        <a:lstStyle/>
        <a:p>
          <a:endParaRPr lang="en-US"/>
        </a:p>
      </dgm:t>
    </dgm:pt>
    <dgm:pt modelId="{2B97C313-77D7-4473-8482-8FA5A3C00189}" type="sibTrans" cxnId="{287669C2-5634-477B-885D-4F0B07AFB52F}">
      <dgm:prSet/>
      <dgm:spPr/>
      <dgm:t>
        <a:bodyPr/>
        <a:lstStyle/>
        <a:p>
          <a:endParaRPr lang="en-US"/>
        </a:p>
      </dgm:t>
    </dgm:pt>
    <dgm:pt modelId="{8430C0C8-1088-4242-A329-79F7977A4D29}" type="pres">
      <dgm:prSet presAssocID="{E194A7BF-EF2F-40B8-801E-FD0721D80D65}" presName="linear" presStyleCnt="0">
        <dgm:presLayoutVars>
          <dgm:animLvl val="lvl"/>
          <dgm:resizeHandles val="exact"/>
        </dgm:presLayoutVars>
      </dgm:prSet>
      <dgm:spPr/>
      <dgm:t>
        <a:bodyPr/>
        <a:lstStyle/>
        <a:p>
          <a:endParaRPr lang="en-US"/>
        </a:p>
      </dgm:t>
    </dgm:pt>
    <dgm:pt modelId="{6105E983-34AF-4740-8BCF-C213C803FA56}" type="pres">
      <dgm:prSet presAssocID="{5C56AE07-8CF8-48D4-B2A8-A6F6A798C8BA}" presName="parentText" presStyleLbl="node1" presStyleIdx="0" presStyleCnt="1" custScaleY="52530" custLinFactNeighborY="-1416">
        <dgm:presLayoutVars>
          <dgm:chMax val="0"/>
          <dgm:bulletEnabled val="1"/>
        </dgm:presLayoutVars>
      </dgm:prSet>
      <dgm:spPr/>
      <dgm:t>
        <a:bodyPr/>
        <a:lstStyle/>
        <a:p>
          <a:endParaRPr lang="en-US"/>
        </a:p>
      </dgm:t>
    </dgm:pt>
  </dgm:ptLst>
  <dgm:cxnLst>
    <dgm:cxn modelId="{5C967111-628C-4B42-AF40-C88CE81AF9B9}" type="presOf" srcId="{E194A7BF-EF2F-40B8-801E-FD0721D80D65}" destId="{8430C0C8-1088-4242-A329-79F7977A4D29}" srcOrd="0" destOrd="0" presId="urn:microsoft.com/office/officeart/2005/8/layout/vList2"/>
    <dgm:cxn modelId="{287669C2-5634-477B-885D-4F0B07AFB52F}" srcId="{E194A7BF-EF2F-40B8-801E-FD0721D80D65}" destId="{5C56AE07-8CF8-48D4-B2A8-A6F6A798C8BA}" srcOrd="0" destOrd="0" parTransId="{5E371DA3-23DD-46EF-98E1-495FEDEAD364}" sibTransId="{2B97C313-77D7-4473-8482-8FA5A3C00189}"/>
    <dgm:cxn modelId="{A51CCF66-B10D-435E-BE17-4748B0277FD6}" type="presOf" srcId="{5C56AE07-8CF8-48D4-B2A8-A6F6A798C8BA}" destId="{6105E983-34AF-4740-8BCF-C213C803FA56}" srcOrd="0" destOrd="0" presId="urn:microsoft.com/office/officeart/2005/8/layout/vList2"/>
    <dgm:cxn modelId="{96B16020-DE93-4788-8FF3-E77629B57130}" type="presParOf" srcId="{8430C0C8-1088-4242-A329-79F7977A4D29}" destId="{6105E983-34AF-4740-8BCF-C213C803FA56}" srcOrd="0" destOrd="0" presId="urn:microsoft.com/office/officeart/2005/8/layout/vList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F59A97-B2F1-40F6-B721-994A21FDB11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3355BC36-4871-49C4-97D4-5B6B01382D53}">
      <dgm:prSet phldrT="[Text]" custT="1"/>
      <dgm:spPr>
        <a:solidFill>
          <a:schemeClr val="accent5">
            <a:lumMod val="50000"/>
          </a:schemeClr>
        </a:solidFill>
      </dgm:spPr>
      <dgm:t>
        <a:bodyPr/>
        <a:lstStyle/>
        <a:p>
          <a:pPr algn="ctr"/>
          <a:r>
            <a:rPr lang="mk-MK" sz="1800"/>
            <a:t>ИЗНАЈМЕНИ ЛИНИИ</a:t>
          </a:r>
          <a:endParaRPr lang="en-US" sz="1800"/>
        </a:p>
      </dgm:t>
    </dgm:pt>
    <dgm:pt modelId="{65359936-C637-40C6-9F56-E0E955021640}" type="parTrans" cxnId="{342AD8B5-1AB2-4154-AA5A-9D52B26EEAD0}">
      <dgm:prSet/>
      <dgm:spPr/>
      <dgm:t>
        <a:bodyPr/>
        <a:lstStyle/>
        <a:p>
          <a:endParaRPr lang="en-US"/>
        </a:p>
      </dgm:t>
    </dgm:pt>
    <dgm:pt modelId="{098F183A-EBBF-4C75-B88A-5F0CC0350458}" type="sibTrans" cxnId="{342AD8B5-1AB2-4154-AA5A-9D52B26EEAD0}">
      <dgm:prSet/>
      <dgm:spPr/>
      <dgm:t>
        <a:bodyPr/>
        <a:lstStyle/>
        <a:p>
          <a:endParaRPr lang="en-US"/>
        </a:p>
      </dgm:t>
    </dgm:pt>
    <dgm:pt modelId="{6B0B1EE6-CCA7-4905-8852-F02A6195BC49}" type="pres">
      <dgm:prSet presAssocID="{5EF59A97-B2F1-40F6-B721-994A21FDB11B}" presName="linear" presStyleCnt="0">
        <dgm:presLayoutVars>
          <dgm:animLvl val="lvl"/>
          <dgm:resizeHandles val="exact"/>
        </dgm:presLayoutVars>
      </dgm:prSet>
      <dgm:spPr/>
      <dgm:t>
        <a:bodyPr/>
        <a:lstStyle/>
        <a:p>
          <a:endParaRPr lang="en-US"/>
        </a:p>
      </dgm:t>
    </dgm:pt>
    <dgm:pt modelId="{154BD120-6603-4A07-8C49-773797739A3D}" type="pres">
      <dgm:prSet presAssocID="{3355BC36-4871-49C4-97D4-5B6B01382D53}" presName="parentText" presStyleLbl="node1" presStyleIdx="0" presStyleCnt="1">
        <dgm:presLayoutVars>
          <dgm:chMax val="0"/>
          <dgm:bulletEnabled val="1"/>
        </dgm:presLayoutVars>
      </dgm:prSet>
      <dgm:spPr/>
      <dgm:t>
        <a:bodyPr/>
        <a:lstStyle/>
        <a:p>
          <a:endParaRPr lang="en-US"/>
        </a:p>
      </dgm:t>
    </dgm:pt>
  </dgm:ptLst>
  <dgm:cxnLst>
    <dgm:cxn modelId="{87BE037F-3364-4B85-8289-343D95011EC3}" type="presOf" srcId="{3355BC36-4871-49C4-97D4-5B6B01382D53}" destId="{154BD120-6603-4A07-8C49-773797739A3D}" srcOrd="0" destOrd="0" presId="urn:microsoft.com/office/officeart/2005/8/layout/vList2"/>
    <dgm:cxn modelId="{10EF1E14-31C5-49D6-B320-244871EDF018}" type="presOf" srcId="{5EF59A97-B2F1-40F6-B721-994A21FDB11B}" destId="{6B0B1EE6-CCA7-4905-8852-F02A6195BC49}" srcOrd="0" destOrd="0" presId="urn:microsoft.com/office/officeart/2005/8/layout/vList2"/>
    <dgm:cxn modelId="{342AD8B5-1AB2-4154-AA5A-9D52B26EEAD0}" srcId="{5EF59A97-B2F1-40F6-B721-994A21FDB11B}" destId="{3355BC36-4871-49C4-97D4-5B6B01382D53}" srcOrd="0" destOrd="0" parTransId="{65359936-C637-40C6-9F56-E0E955021640}" sibTransId="{098F183A-EBBF-4C75-B88A-5F0CC0350458}"/>
    <dgm:cxn modelId="{42D59D61-5005-4EEB-9999-0527FC511E20}" type="presParOf" srcId="{6B0B1EE6-CCA7-4905-8852-F02A6195BC49}" destId="{154BD120-6603-4A07-8C49-773797739A3D}" srcOrd="0" destOrd="0" presId="urn:microsoft.com/office/officeart/2005/8/layout/vList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DAA0FC-9119-4AF0-85BF-05802230F12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CA963BA-1214-4C5D-B71C-B5E39D1A7AA3}">
      <dgm:prSet phldrT="[Text]" custT="1"/>
      <dgm:spPr>
        <a:solidFill>
          <a:schemeClr val="accent6">
            <a:lumMod val="50000"/>
          </a:schemeClr>
        </a:solidFill>
      </dgm:spPr>
      <dgm:t>
        <a:bodyPr/>
        <a:lstStyle/>
        <a:p>
          <a:pPr algn="ctr"/>
          <a:r>
            <a:rPr lang="mk-MK" sz="1800"/>
            <a:t>ПРЕНОСЛИВОСТ НА БРОЕВИ</a:t>
          </a:r>
          <a:endParaRPr lang="en-US" sz="1800"/>
        </a:p>
      </dgm:t>
    </dgm:pt>
    <dgm:pt modelId="{04D27665-A2BF-48BD-8AE6-184D2EF0FFA1}" type="parTrans" cxnId="{C6D4F50C-AB32-45F9-B6AA-FA9E72A5D80F}">
      <dgm:prSet/>
      <dgm:spPr/>
      <dgm:t>
        <a:bodyPr/>
        <a:lstStyle/>
        <a:p>
          <a:endParaRPr lang="en-US"/>
        </a:p>
      </dgm:t>
    </dgm:pt>
    <dgm:pt modelId="{01DEB29E-EB0D-438E-9B1F-E2AB6851074D}" type="sibTrans" cxnId="{C6D4F50C-AB32-45F9-B6AA-FA9E72A5D80F}">
      <dgm:prSet/>
      <dgm:spPr/>
      <dgm:t>
        <a:bodyPr/>
        <a:lstStyle/>
        <a:p>
          <a:endParaRPr lang="en-US"/>
        </a:p>
      </dgm:t>
    </dgm:pt>
    <dgm:pt modelId="{46EEFCCC-55B7-45A4-A10C-FFD54794879C}" type="pres">
      <dgm:prSet presAssocID="{EEDAA0FC-9119-4AF0-85BF-05802230F128}" presName="linear" presStyleCnt="0">
        <dgm:presLayoutVars>
          <dgm:animLvl val="lvl"/>
          <dgm:resizeHandles val="exact"/>
        </dgm:presLayoutVars>
      </dgm:prSet>
      <dgm:spPr/>
      <dgm:t>
        <a:bodyPr/>
        <a:lstStyle/>
        <a:p>
          <a:endParaRPr lang="en-US"/>
        </a:p>
      </dgm:t>
    </dgm:pt>
    <dgm:pt modelId="{992BC02B-B2B6-40E5-A82B-367F2FCE5E13}" type="pres">
      <dgm:prSet presAssocID="{5CA963BA-1214-4C5D-B71C-B5E39D1A7AA3}" presName="parentText" presStyleLbl="node1" presStyleIdx="0" presStyleCnt="1" custScaleY="29008" custLinFactNeighborY="-920">
        <dgm:presLayoutVars>
          <dgm:chMax val="0"/>
          <dgm:bulletEnabled val="1"/>
        </dgm:presLayoutVars>
      </dgm:prSet>
      <dgm:spPr/>
      <dgm:t>
        <a:bodyPr/>
        <a:lstStyle/>
        <a:p>
          <a:endParaRPr lang="en-US"/>
        </a:p>
      </dgm:t>
    </dgm:pt>
  </dgm:ptLst>
  <dgm:cxnLst>
    <dgm:cxn modelId="{B6E136E7-FFE4-4CD8-9FF8-821998CD6754}" type="presOf" srcId="{5CA963BA-1214-4C5D-B71C-B5E39D1A7AA3}" destId="{992BC02B-B2B6-40E5-A82B-367F2FCE5E13}" srcOrd="0" destOrd="0" presId="urn:microsoft.com/office/officeart/2005/8/layout/vList2"/>
    <dgm:cxn modelId="{6A92CC75-25BE-4360-A1D1-5F80220EBBA9}" type="presOf" srcId="{EEDAA0FC-9119-4AF0-85BF-05802230F128}" destId="{46EEFCCC-55B7-45A4-A10C-FFD54794879C}" srcOrd="0" destOrd="0" presId="urn:microsoft.com/office/officeart/2005/8/layout/vList2"/>
    <dgm:cxn modelId="{C6D4F50C-AB32-45F9-B6AA-FA9E72A5D80F}" srcId="{EEDAA0FC-9119-4AF0-85BF-05802230F128}" destId="{5CA963BA-1214-4C5D-B71C-B5E39D1A7AA3}" srcOrd="0" destOrd="0" parTransId="{04D27665-A2BF-48BD-8AE6-184D2EF0FFA1}" sibTransId="{01DEB29E-EB0D-438E-9B1F-E2AB6851074D}"/>
    <dgm:cxn modelId="{541397CF-A49C-4E41-B819-1DAE4FEDA4D8}" type="presParOf" srcId="{46EEFCCC-55B7-45A4-A10C-FFD54794879C}" destId="{992BC02B-B2B6-40E5-A82B-367F2FCE5E13}" srcOrd="0"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BF6FED-E964-4314-91F7-0E98DEDAC27D}">
      <dsp:nvSpPr>
        <dsp:cNvPr id="0" name=""/>
        <dsp:cNvSpPr/>
      </dsp:nvSpPr>
      <dsp:spPr>
        <a:xfrm>
          <a:off x="0" y="200676"/>
          <a:ext cx="6513461" cy="417354"/>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ФИКСНА ТЕЛЕФОНИЈА</a:t>
          </a:r>
          <a:endParaRPr lang="en-US" sz="1800" kern="1200"/>
        </a:p>
      </dsp:txBody>
      <dsp:txXfrm>
        <a:off x="20374" y="221050"/>
        <a:ext cx="6472713" cy="3766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BF6FED-E964-4314-91F7-0E98DEDAC27D}">
      <dsp:nvSpPr>
        <dsp:cNvPr id="0" name=""/>
        <dsp:cNvSpPr/>
      </dsp:nvSpPr>
      <dsp:spPr>
        <a:xfrm>
          <a:off x="0" y="200676"/>
          <a:ext cx="6513461" cy="417354"/>
        </a:xfrm>
        <a:prstGeom prst="roundRect">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МОБИЛНА ТЕЛЕФОНИЈА</a:t>
          </a:r>
          <a:endParaRPr lang="en-US" sz="1800" kern="1200"/>
        </a:p>
      </dsp:txBody>
      <dsp:txXfrm>
        <a:off x="20374" y="221050"/>
        <a:ext cx="6472713" cy="376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14D38-58C9-4F84-85F2-FD34A185BA81}">
      <dsp:nvSpPr>
        <dsp:cNvPr id="0" name=""/>
        <dsp:cNvSpPr/>
      </dsp:nvSpPr>
      <dsp:spPr>
        <a:xfrm>
          <a:off x="0" y="201925"/>
          <a:ext cx="6531241" cy="414855"/>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ПРИСТАП НА ИНТЕРНЕТ</a:t>
          </a:r>
          <a:endParaRPr lang="en-US" sz="1800" kern="1200"/>
        </a:p>
      </dsp:txBody>
      <dsp:txXfrm>
        <a:off x="20252" y="222177"/>
        <a:ext cx="6490737" cy="3743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05E983-34AF-4740-8BCF-C213C803FA56}">
      <dsp:nvSpPr>
        <dsp:cNvPr id="0" name=""/>
        <dsp:cNvSpPr/>
      </dsp:nvSpPr>
      <dsp:spPr>
        <a:xfrm>
          <a:off x="0" y="178722"/>
          <a:ext cx="6555355" cy="629351"/>
        </a:xfrm>
        <a:prstGeom prst="roundRect">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ПРЕНОС НА РАДИО И ТВ СИГНАЛИ ДО КРАЈНИ КОРИСНИЦИ</a:t>
          </a:r>
          <a:endParaRPr lang="en-US" sz="1800" kern="1200"/>
        </a:p>
      </dsp:txBody>
      <dsp:txXfrm>
        <a:off x="30722" y="209444"/>
        <a:ext cx="6493911" cy="5679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BD120-6603-4A07-8C49-773797739A3D}">
      <dsp:nvSpPr>
        <dsp:cNvPr id="0" name=""/>
        <dsp:cNvSpPr/>
      </dsp:nvSpPr>
      <dsp:spPr>
        <a:xfrm>
          <a:off x="0" y="7551"/>
          <a:ext cx="6505206" cy="580320"/>
        </a:xfrm>
        <a:prstGeom prst="round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ИЗНАЈМЕНИ ЛИНИИ</a:t>
          </a:r>
          <a:endParaRPr lang="en-US" sz="1800" kern="1200"/>
        </a:p>
      </dsp:txBody>
      <dsp:txXfrm>
        <a:off x="28329" y="35880"/>
        <a:ext cx="6448548" cy="5236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BC02B-B2B6-40E5-A82B-367F2FCE5E13}">
      <dsp:nvSpPr>
        <dsp:cNvPr id="0" name=""/>
        <dsp:cNvSpPr/>
      </dsp:nvSpPr>
      <dsp:spPr>
        <a:xfrm>
          <a:off x="0" y="182031"/>
          <a:ext cx="6344610" cy="347539"/>
        </a:xfrm>
        <a:prstGeom prst="round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mk-MK" sz="1800" kern="1200"/>
            <a:t>ПРЕНОСЛИВОСТ НА БРОЕВИ</a:t>
          </a:r>
          <a:endParaRPr lang="en-US" sz="1800" kern="1200"/>
        </a:p>
      </dsp:txBody>
      <dsp:txXfrm>
        <a:off x="16965" y="198996"/>
        <a:ext cx="6310680" cy="31360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0.21807</cdr:x>
      <cdr:y>0.26866</cdr:y>
    </cdr:from>
    <cdr:to>
      <cdr:x>0.33235</cdr:x>
      <cdr:y>0.49859</cdr:y>
    </cdr:to>
    <cdr:sp macro="" textlink="">
      <cdr:nvSpPr>
        <cdr:cNvPr id="2" name="TextBox 1"/>
        <cdr:cNvSpPr txBox="1"/>
      </cdr:nvSpPr>
      <cdr:spPr>
        <a:xfrm xmlns:a="http://schemas.openxmlformats.org/drawingml/2006/main">
          <a:off x="1222316" y="1068779"/>
          <a:ext cx="640557" cy="9147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p>
      </cdr:txBody>
    </cdr:sp>
  </cdr:relSizeAnchor>
  <cdr:relSizeAnchor xmlns:cdr="http://schemas.openxmlformats.org/drawingml/2006/chartDrawing">
    <cdr:from>
      <cdr:x>0.52986</cdr:x>
      <cdr:y>0</cdr:y>
    </cdr:from>
    <cdr:to>
      <cdr:x>0.62985</cdr:x>
      <cdr:y>0.10593</cdr:y>
    </cdr:to>
    <cdr:sp macro="" textlink="">
      <cdr:nvSpPr>
        <cdr:cNvPr id="3" name="TextBox 2"/>
        <cdr:cNvSpPr txBox="1"/>
      </cdr:nvSpPr>
      <cdr:spPr>
        <a:xfrm xmlns:a="http://schemas.openxmlformats.org/drawingml/2006/main">
          <a:off x="2969946" y="0"/>
          <a:ext cx="560433" cy="421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p>
      </cdr:txBody>
    </cdr:sp>
  </cdr:relSizeAnchor>
  <cdr:relSizeAnchor xmlns:cdr="http://schemas.openxmlformats.org/drawingml/2006/chartDrawing">
    <cdr:from>
      <cdr:x>0.76381</cdr:x>
      <cdr:y>0.03284</cdr:y>
    </cdr:from>
    <cdr:to>
      <cdr:x>0.86972</cdr:x>
      <cdr:y>0.17356</cdr:y>
    </cdr:to>
    <cdr:sp macro="" textlink="">
      <cdr:nvSpPr>
        <cdr:cNvPr id="4" name="TextBox 3"/>
        <cdr:cNvSpPr txBox="1"/>
      </cdr:nvSpPr>
      <cdr:spPr>
        <a:xfrm xmlns:a="http://schemas.openxmlformats.org/drawingml/2006/main">
          <a:off x="4281273" y="130628"/>
          <a:ext cx="593642" cy="5598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p>
        <a:p xmlns:a="http://schemas.openxmlformats.org/drawingml/2006/main">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ЕК">
      <a:majorFont>
        <a:latin typeface="StobiSerif Regular"/>
        <a:ea typeface=""/>
        <a:cs typeface=""/>
      </a:majorFont>
      <a:minorFont>
        <a:latin typeface="StobiSerif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DC9F92-BA95-4445-BA64-6C6D8838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1</Pages>
  <Words>8331</Words>
  <Characters>47492</Characters>
  <Application>Microsoft Office Word</Application>
  <DocSecurity>8</DocSecurity>
  <Lines>395</Lines>
  <Paragraphs>111</Paragraphs>
  <ScaleCrop>false</ScaleCrop>
  <HeadingPairs>
    <vt:vector size="2" baseType="variant">
      <vt:variant>
        <vt:lpstr>Title</vt:lpstr>
      </vt:variant>
      <vt:variant>
        <vt:i4>1</vt:i4>
      </vt:variant>
    </vt:vector>
  </HeadingPairs>
  <TitlesOfParts>
    <vt:vector size="1" baseType="lpstr">
      <vt:lpstr>Годишен Извештај за развојот на пазарот на електронски комуникации за 2011 година</vt:lpstr>
    </vt:vector>
  </TitlesOfParts>
  <Company>Hewlett-Packard Company</Company>
  <LinksUpToDate>false</LinksUpToDate>
  <CharactersWithSpaces>55712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Извештај за развојот на пазарот на електронски комуникации за 2011 година</dc:title>
  <dc:creator>User</dc:creator>
  <cp:lastModifiedBy>root.aec</cp:lastModifiedBy>
  <cp:revision>39</cp:revision>
  <cp:lastPrinted>2012-05-28T09:33:00Z</cp:lastPrinted>
  <dcterms:created xsi:type="dcterms:W3CDTF">2012-04-17T07:37:00Z</dcterms:created>
  <dcterms:modified xsi:type="dcterms:W3CDTF">2012-06-12T15:49:00Z</dcterms:modified>
</cp:coreProperties>
</file>