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0" w:rsidRDefault="00E91BD0" w:rsidP="00E91BD0">
      <w:pPr>
        <w:pStyle w:val="Titletype"/>
        <w:tabs>
          <w:tab w:val="center" w:pos="4677"/>
        </w:tabs>
        <w:spacing w:line="400" w:lineRule="exact"/>
        <w:ind w:left="0" w:right="-312"/>
        <w:jc w:val="center"/>
        <w:rPr>
          <w:rFonts w:ascii="Calibri" w:hAnsi="Calibri" w:cs="Calibri"/>
          <w:color w:val="FFFFFF"/>
          <w:sz w:val="32"/>
          <w:szCs w:val="32"/>
        </w:rPr>
      </w:pPr>
      <w:r>
        <w:rPr>
          <w:rFonts w:cs="Calibri"/>
          <w:b w:val="0"/>
          <w:bCs w:val="0"/>
          <w:noProof/>
          <w:color w:val="FFFF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6.5pt;margin-top:-113.4pt;width:603pt;height:849pt;z-index:-1;visibility:visible">
            <v:imagedata r:id="rId8" o:title=""/>
          </v:shape>
        </w:pict>
      </w:r>
      <w:r>
        <w:rPr>
          <w:rFonts w:ascii="Calibri" w:hAnsi="Calibri" w:cs="Calibri"/>
          <w:color w:val="FFFFFF"/>
          <w:sz w:val="32"/>
          <w:szCs w:val="32"/>
        </w:rPr>
        <w:t>Invitation for public hearing</w:t>
      </w:r>
    </w:p>
    <w:p w:rsidR="00C7686B" w:rsidRDefault="00E91BD0" w:rsidP="00E91BD0">
      <w:pPr>
        <w:pStyle w:val="Titletype"/>
        <w:tabs>
          <w:tab w:val="center" w:pos="4677"/>
        </w:tabs>
        <w:spacing w:before="0" w:after="0" w:line="400" w:lineRule="exact"/>
        <w:ind w:left="0" w:right="-312"/>
        <w:jc w:val="center"/>
        <w:rPr>
          <w:rFonts w:ascii="Calibri" w:hAnsi="Calibri" w:cs="Calibri"/>
          <w:color w:val="FFFFFF"/>
          <w:sz w:val="32"/>
          <w:szCs w:val="32"/>
        </w:rPr>
      </w:pPr>
      <w:r>
        <w:rPr>
          <w:rFonts w:ascii="Calibri" w:hAnsi="Calibri" w:cs="Calibri"/>
          <w:color w:val="FFFFFF"/>
          <w:sz w:val="32"/>
          <w:szCs w:val="32"/>
        </w:rPr>
        <w:t xml:space="preserve"> Draft </w:t>
      </w:r>
      <w:r w:rsidRPr="00E91BD0">
        <w:rPr>
          <w:rFonts w:ascii="Calibri" w:hAnsi="Calibri" w:cs="Calibri"/>
          <w:color w:val="FFFFFF"/>
          <w:sz w:val="32"/>
          <w:szCs w:val="32"/>
        </w:rPr>
        <w:t xml:space="preserve">Modelling Results Report for a Bottom-Up LRIC Bitstream service in </w:t>
      </w:r>
      <w:r w:rsidR="00E95540">
        <w:rPr>
          <w:rFonts w:ascii="Calibri" w:hAnsi="Calibri" w:cs="Calibri"/>
          <w:color w:val="FFFFFF"/>
          <w:sz w:val="32"/>
          <w:szCs w:val="32"/>
        </w:rPr>
        <w:t xml:space="preserve">Republic of </w:t>
      </w:r>
      <w:r w:rsidRPr="00E91BD0">
        <w:rPr>
          <w:rFonts w:ascii="Calibri" w:hAnsi="Calibri" w:cs="Calibri"/>
          <w:color w:val="FFFFFF"/>
          <w:sz w:val="32"/>
          <w:szCs w:val="32"/>
        </w:rPr>
        <w:t>Macedonia</w:t>
      </w:r>
      <w:r w:rsidR="00C7686B">
        <w:rPr>
          <w:rFonts w:ascii="Calibri" w:hAnsi="Calibri" w:cs="Calibri"/>
          <w:color w:val="FFFFFF"/>
          <w:sz w:val="32"/>
          <w:szCs w:val="32"/>
        </w:rPr>
        <w:t xml:space="preserve"> </w:t>
      </w: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C7686B"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p>
    <w:p w:rsidR="00E91BD0" w:rsidRPr="00EE5C57" w:rsidRDefault="00C7686B" w:rsidP="00E91BD0">
      <w:pPr>
        <w:pStyle w:val="Titletype"/>
        <w:tabs>
          <w:tab w:val="center" w:pos="4677"/>
        </w:tabs>
        <w:spacing w:before="0" w:after="0" w:line="400" w:lineRule="exact"/>
        <w:ind w:left="0" w:right="-312"/>
        <w:jc w:val="center"/>
        <w:rPr>
          <w:rFonts w:ascii="Calibri" w:hAnsi="Calibri" w:cs="Calibri"/>
          <w:color w:val="FFFFFF"/>
          <w:sz w:val="32"/>
          <w:szCs w:val="32"/>
        </w:rPr>
      </w:pPr>
      <w:r w:rsidRPr="00C7686B">
        <w:rPr>
          <w:rFonts w:ascii="Calibri" w:hAnsi="Calibri" w:cs="Calibri"/>
          <w:color w:val="FFFFFF"/>
          <w:sz w:val="32"/>
          <w:szCs w:val="32"/>
        </w:rPr>
        <w:t xml:space="preserve"> July 24, 2012</w:t>
      </w:r>
    </w:p>
    <w:p w:rsidR="00CC0C50" w:rsidRPr="00C51090" w:rsidRDefault="00E91BD0">
      <w:pPr>
        <w:rPr>
          <w:rFonts w:ascii="Tahoma" w:hAnsi="Tahoma" w:cs="Tahoma"/>
          <w:color w:val="000080"/>
          <w:sz w:val="20"/>
          <w:szCs w:val="20"/>
        </w:rPr>
      </w:pPr>
      <w:r>
        <w:rPr>
          <w:rFonts w:ascii="Tahoma" w:hAnsi="Tahoma" w:cs="Tahoma"/>
          <w:noProof/>
          <w:color w:val="000080"/>
          <w:sz w:val="20"/>
          <w:szCs w:val="20"/>
        </w:rPr>
        <w:pict>
          <v:shape id="Picture 1" o:spid="_x0000_s1028" type="#_x0000_t75" style="position:absolute;left:0;text-align:left;margin-left:-70.8pt;margin-top:-112.45pt;width:603pt;height:849pt;z-index:-2;visibility:visible">
            <v:imagedata r:id="rId8" o:title=""/>
          </v:shape>
        </w:pict>
      </w:r>
    </w:p>
    <w:p w:rsidR="00E91BD0" w:rsidRDefault="00E91BD0">
      <w:pPr>
        <w:rPr>
          <w:rFonts w:ascii="Tahoma" w:hAnsi="Tahoma" w:cs="Tahoma"/>
          <w:color w:val="000080"/>
          <w:sz w:val="20"/>
          <w:szCs w:val="20"/>
        </w:rPr>
      </w:pPr>
    </w:p>
    <w:p w:rsidR="00783521" w:rsidRDefault="00783521">
      <w:pPr>
        <w:rPr>
          <w:rFonts w:ascii="Tahoma" w:hAnsi="Tahoma" w:cs="Tahoma"/>
          <w:color w:val="000080"/>
          <w:sz w:val="20"/>
          <w:szCs w:val="20"/>
        </w:rPr>
      </w:pPr>
    </w:p>
    <w:p w:rsidR="00E91BD0" w:rsidRPr="00D3317E" w:rsidRDefault="00E91BD0" w:rsidP="00E91BD0">
      <w:pPr>
        <w:jc w:val="center"/>
        <w:rPr>
          <w:rFonts w:ascii="StobiSerif Regular" w:hAnsi="StobiSerif Regular" w:cs="Calibri"/>
          <w:sz w:val="22"/>
          <w:szCs w:val="22"/>
        </w:rPr>
      </w:pPr>
      <w:r w:rsidRPr="00D3317E">
        <w:rPr>
          <w:rFonts w:ascii="StobiSerif Regular" w:hAnsi="StobiSerif Regular" w:cs="Calibri"/>
          <w:sz w:val="22"/>
          <w:szCs w:val="22"/>
        </w:rPr>
        <w:t xml:space="preserve">Invitation for public hearing </w:t>
      </w:r>
    </w:p>
    <w:p w:rsidR="00E91BD0" w:rsidRPr="00D3317E" w:rsidRDefault="00E91BD0" w:rsidP="00E91BD0">
      <w:pPr>
        <w:jc w:val="left"/>
        <w:rPr>
          <w:rFonts w:ascii="StobiSerif Regular" w:hAnsi="StobiSerif Regular"/>
          <w:sz w:val="22"/>
          <w:szCs w:val="22"/>
        </w:rPr>
      </w:pPr>
    </w:p>
    <w:p w:rsidR="00E91BD0" w:rsidRPr="00D3317E" w:rsidRDefault="00E91BD0" w:rsidP="00E91BD0">
      <w:pPr>
        <w:jc w:val="left"/>
        <w:rPr>
          <w:rFonts w:ascii="StobiSerif Regular" w:hAnsi="StobiSerif Regular" w:cs="Calibri"/>
          <w:sz w:val="22"/>
          <w:szCs w:val="22"/>
        </w:rPr>
      </w:pPr>
    </w:p>
    <w:p w:rsidR="00E91BD0" w:rsidRPr="00D3317E" w:rsidRDefault="00E91BD0" w:rsidP="00E91BD0">
      <w:pPr>
        <w:jc w:val="left"/>
        <w:rPr>
          <w:rFonts w:ascii="StobiSerif Regular" w:hAnsi="StobiSerif Regular" w:cs="Calibri"/>
          <w:sz w:val="22"/>
          <w:szCs w:val="22"/>
        </w:rPr>
      </w:pPr>
      <w:r w:rsidRPr="00D3317E">
        <w:rPr>
          <w:rFonts w:ascii="StobiSerif Regular" w:hAnsi="StobiSerif Regular" w:cs="Calibri"/>
          <w:sz w:val="22"/>
          <w:szCs w:val="22"/>
        </w:rPr>
        <w:t>Dear all,</w:t>
      </w:r>
    </w:p>
    <w:p w:rsidR="00E91BD0" w:rsidRPr="00D3317E" w:rsidRDefault="00E91BD0" w:rsidP="00E91BD0">
      <w:pPr>
        <w:jc w:val="left"/>
        <w:rPr>
          <w:rFonts w:ascii="StobiSerif Regular" w:hAnsi="StobiSerif Regular"/>
          <w:sz w:val="22"/>
          <w:szCs w:val="22"/>
        </w:rPr>
      </w:pPr>
    </w:p>
    <w:p w:rsidR="00E91BD0" w:rsidRPr="00D3317E" w:rsidRDefault="00E91BD0" w:rsidP="00E91BD0">
      <w:pPr>
        <w:pStyle w:val="Titlemain"/>
        <w:ind w:left="0"/>
        <w:jc w:val="both"/>
        <w:rPr>
          <w:rFonts w:ascii="StobiSerif Regular" w:hAnsi="StobiSerif Regular" w:cs="Calibri"/>
          <w:sz w:val="22"/>
          <w:szCs w:val="22"/>
        </w:rPr>
      </w:pPr>
      <w:r w:rsidRPr="00D3317E">
        <w:rPr>
          <w:rFonts w:ascii="StobiSerif Regular" w:hAnsi="StobiSerif Regular" w:cs="Calibri"/>
          <w:sz w:val="22"/>
          <w:szCs w:val="22"/>
        </w:rPr>
        <w:t>With this invitation we invite all interested parties in period of 30 days starting from day of publication of “Modelling Results Report for a Bottom-Up LRIC Bitstream service in Macedonia” to submit their views and comments about proposed subject of public hearing.</w:t>
      </w:r>
    </w:p>
    <w:p w:rsidR="008651B3" w:rsidRPr="00D3317E" w:rsidRDefault="00E91BD0" w:rsidP="008651B3">
      <w:pPr>
        <w:pStyle w:val="Titlemain"/>
        <w:ind w:left="0"/>
        <w:jc w:val="both"/>
        <w:rPr>
          <w:rFonts w:ascii="StobiSerif Regular" w:hAnsi="StobiSerif Regular" w:cs="Calibri"/>
          <w:color w:val="000000"/>
          <w:sz w:val="22"/>
          <w:szCs w:val="22"/>
        </w:rPr>
      </w:pPr>
      <w:r w:rsidRPr="00D3317E">
        <w:rPr>
          <w:rFonts w:ascii="StobiSerif Regular" w:hAnsi="StobiSerif Regular" w:cs="Calibri"/>
          <w:sz w:val="22"/>
          <w:szCs w:val="22"/>
        </w:rPr>
        <w:t xml:space="preserve">On the meeting held on 14.10.2011 the Agency for electronic communications informed interested parties that starts with development and implementation of Bottom-up LRIC model  </w:t>
      </w:r>
      <w:r w:rsidRPr="00D3317E">
        <w:rPr>
          <w:rFonts w:ascii="StobiSerif Regular" w:hAnsi="StobiSerif Regular" w:cs="Calibri"/>
          <w:color w:val="000000"/>
          <w:sz w:val="22"/>
          <w:szCs w:val="22"/>
        </w:rPr>
        <w:t>for B</w:t>
      </w:r>
      <w:r w:rsidR="008651B3" w:rsidRPr="00D3317E">
        <w:rPr>
          <w:rFonts w:ascii="StobiSerif Regular" w:hAnsi="StobiSerif Regular" w:cs="Calibri"/>
          <w:color w:val="000000"/>
          <w:sz w:val="22"/>
          <w:szCs w:val="22"/>
        </w:rPr>
        <w:t>itstream</w:t>
      </w:r>
      <w:r w:rsidR="00123379" w:rsidRPr="00D3317E">
        <w:rPr>
          <w:rFonts w:ascii="StobiSerif Regular" w:hAnsi="StobiSerif Regular" w:cs="Calibri"/>
          <w:color w:val="000000"/>
          <w:sz w:val="22"/>
          <w:szCs w:val="22"/>
        </w:rPr>
        <w:t xml:space="preserve"> </w:t>
      </w:r>
      <w:r w:rsidR="00123379" w:rsidRPr="00D3317E">
        <w:rPr>
          <w:rFonts w:ascii="StobiSerif Regular" w:hAnsi="StobiSerif Regular" w:cs="Calibri"/>
          <w:sz w:val="22"/>
          <w:szCs w:val="22"/>
        </w:rPr>
        <w:t>service</w:t>
      </w:r>
      <w:r w:rsidR="008651B3" w:rsidRPr="00D3317E">
        <w:rPr>
          <w:rFonts w:ascii="StobiSerif Regular" w:hAnsi="StobiSerif Regular" w:cs="Calibri"/>
          <w:color w:val="000000"/>
          <w:sz w:val="22"/>
          <w:szCs w:val="22"/>
        </w:rPr>
        <w:t xml:space="preserve">. </w:t>
      </w:r>
      <w:r w:rsidR="008651B3" w:rsidRPr="00D3317E">
        <w:rPr>
          <w:rFonts w:ascii="StobiSerif Regular" w:hAnsi="StobiSerif Regular" w:cs="Calibri"/>
          <w:color w:val="000000"/>
          <w:sz w:val="22"/>
          <w:szCs w:val="22"/>
          <w:lang w:val="en-US"/>
        </w:rPr>
        <w:t>So far, the method for determining the prices for Bitstream</w:t>
      </w:r>
      <w:r w:rsidR="00123379" w:rsidRPr="00D3317E">
        <w:rPr>
          <w:rFonts w:ascii="StobiSerif Regular" w:hAnsi="StobiSerif Regular" w:cs="Calibri"/>
          <w:sz w:val="22"/>
          <w:szCs w:val="22"/>
        </w:rPr>
        <w:t xml:space="preserve"> service</w:t>
      </w:r>
      <w:r w:rsidR="00123379" w:rsidRPr="00D3317E">
        <w:rPr>
          <w:rFonts w:ascii="StobiSerif Regular" w:hAnsi="StobiSerif Regular" w:cs="Calibri"/>
          <w:color w:val="000000"/>
          <w:sz w:val="22"/>
          <w:szCs w:val="22"/>
          <w:lang w:val="en-US"/>
        </w:rPr>
        <w:t xml:space="preserve"> </w:t>
      </w:r>
      <w:r w:rsidR="008651B3" w:rsidRPr="00D3317E">
        <w:rPr>
          <w:rFonts w:ascii="StobiSerif Regular" w:hAnsi="StobiSerif Regular" w:cs="Calibri"/>
          <w:color w:val="000000"/>
          <w:sz w:val="22"/>
          <w:szCs w:val="22"/>
          <w:lang w:val="en-US"/>
        </w:rPr>
        <w:t xml:space="preserve">is implementing on the basis of retail minus. The technique of determining the price using this method is performed on the basis of the retail price of a certain service and by implementing of a defined control percentage is determined the amount of the wholesale price. This means that the prices are defined based on retail price of the </w:t>
      </w:r>
      <w:r w:rsidR="00675FFB" w:rsidRPr="00D3317E">
        <w:rPr>
          <w:rFonts w:ascii="StobiSerif Regular" w:hAnsi="StobiSerif Regular" w:cs="Calibri"/>
          <w:color w:val="000000"/>
          <w:sz w:val="22"/>
          <w:szCs w:val="22"/>
          <w:lang w:val="en-US"/>
        </w:rPr>
        <w:t xml:space="preserve">SMP operator </w:t>
      </w:r>
      <w:r w:rsidR="008651B3" w:rsidRPr="00D3317E">
        <w:rPr>
          <w:rFonts w:ascii="StobiSerif Regular" w:hAnsi="StobiSerif Regular" w:cs="Calibri"/>
          <w:color w:val="000000"/>
          <w:sz w:val="22"/>
          <w:szCs w:val="22"/>
          <w:lang w:val="en-US"/>
        </w:rPr>
        <w:t>which may contain elements of inefficient operations and contain elements that are not necessary in creating the service.</w:t>
      </w:r>
      <w:r w:rsidR="001D7CE6" w:rsidRPr="00D3317E">
        <w:rPr>
          <w:rFonts w:ascii="StobiSerif Regular" w:hAnsi="StobiSerif Regular" w:cs="Calibri"/>
          <w:color w:val="000000"/>
          <w:sz w:val="22"/>
          <w:szCs w:val="22"/>
          <w:lang w:val="en-US"/>
        </w:rPr>
        <w:t xml:space="preserve"> </w:t>
      </w:r>
      <w:r w:rsidR="008651B3" w:rsidRPr="00D3317E">
        <w:rPr>
          <w:rFonts w:ascii="StobiSerif Regular" w:hAnsi="StobiSerif Regular" w:cs="Calibri"/>
          <w:sz w:val="22"/>
          <w:szCs w:val="22"/>
          <w:lang w:val="en-US"/>
        </w:rPr>
        <w:t xml:space="preserve">It </w:t>
      </w:r>
      <w:r w:rsidR="001D7CE6" w:rsidRPr="00D3317E">
        <w:rPr>
          <w:rFonts w:ascii="StobiSerif Regular" w:hAnsi="StobiSerif Regular" w:cs="Calibri"/>
          <w:sz w:val="22"/>
          <w:szCs w:val="22"/>
          <w:lang w:val="en-US"/>
        </w:rPr>
        <w:t>was</w:t>
      </w:r>
      <w:r w:rsidR="008651B3" w:rsidRPr="00D3317E">
        <w:rPr>
          <w:rFonts w:ascii="StobiSerif Regular" w:hAnsi="StobiSerif Regular" w:cs="Calibri"/>
          <w:sz w:val="22"/>
          <w:szCs w:val="22"/>
          <w:lang w:val="en-US"/>
        </w:rPr>
        <w:t xml:space="preserve"> therefore necessary to develop and implement a model </w:t>
      </w:r>
      <w:r w:rsidR="008651B3" w:rsidRPr="00D3317E">
        <w:rPr>
          <w:rFonts w:ascii="StobiSerif Regular" w:hAnsi="StobiSerif Regular" w:cs="Calibri"/>
          <w:color w:val="000000"/>
          <w:sz w:val="22"/>
          <w:szCs w:val="22"/>
          <w:lang w:val="en-US"/>
        </w:rPr>
        <w:t>that enables calculation of prices based on costs incurred that are necessary and indispensable when creating the service.</w:t>
      </w:r>
    </w:p>
    <w:p w:rsidR="00E91BD0" w:rsidRPr="00D3317E" w:rsidRDefault="00E91BD0" w:rsidP="00E91BD0">
      <w:pPr>
        <w:pStyle w:val="Titlemain"/>
        <w:ind w:left="0"/>
        <w:jc w:val="both"/>
        <w:rPr>
          <w:rFonts w:ascii="StobiSerif Regular" w:hAnsi="StobiSerif Regular" w:cs="Calibri"/>
          <w:sz w:val="22"/>
          <w:szCs w:val="22"/>
        </w:rPr>
      </w:pPr>
      <w:r w:rsidRPr="00D3317E">
        <w:rPr>
          <w:rFonts w:ascii="StobiSerif Regular" w:hAnsi="StobiSerif Regular" w:cs="Calibri"/>
          <w:color w:val="000000"/>
          <w:sz w:val="22"/>
          <w:szCs w:val="22"/>
        </w:rPr>
        <w:t xml:space="preserve">The </w:t>
      </w:r>
      <w:r w:rsidR="00E30906" w:rsidRPr="00D3317E">
        <w:rPr>
          <w:rFonts w:ascii="StobiSerif Regular" w:hAnsi="StobiSerif Regular" w:cs="Calibri"/>
          <w:color w:val="000000"/>
          <w:sz w:val="22"/>
          <w:szCs w:val="22"/>
        </w:rPr>
        <w:t>BU</w:t>
      </w:r>
      <w:r w:rsidR="00D3317E" w:rsidRPr="00D3317E">
        <w:rPr>
          <w:rFonts w:ascii="StobiSerif Regular" w:hAnsi="StobiSerif Regular" w:cs="Calibri"/>
          <w:color w:val="000000"/>
          <w:sz w:val="22"/>
          <w:szCs w:val="22"/>
          <w:lang w:val="mk-MK"/>
        </w:rPr>
        <w:t>-</w:t>
      </w:r>
      <w:r w:rsidR="00E30906" w:rsidRPr="00D3317E">
        <w:rPr>
          <w:rFonts w:ascii="StobiSerif Regular" w:hAnsi="StobiSerif Regular" w:cs="Calibri"/>
          <w:color w:val="000000"/>
          <w:sz w:val="22"/>
          <w:szCs w:val="22"/>
        </w:rPr>
        <w:t xml:space="preserve">LRIC model </w:t>
      </w:r>
      <w:r w:rsidRPr="00D3317E">
        <w:rPr>
          <w:rFonts w:ascii="StobiSerif Regular" w:hAnsi="StobiSerif Regular" w:cs="Calibri"/>
          <w:color w:val="000000"/>
          <w:sz w:val="22"/>
          <w:szCs w:val="22"/>
        </w:rPr>
        <w:t xml:space="preserve">was developed </w:t>
      </w:r>
      <w:r w:rsidRPr="00D3317E">
        <w:rPr>
          <w:rFonts w:ascii="StobiSerif Regular" w:hAnsi="StobiSerif Regular" w:cs="Calibri"/>
          <w:sz w:val="22"/>
          <w:szCs w:val="22"/>
        </w:rPr>
        <w:t xml:space="preserve">in cooperation with Deloitte-Croatia based on contract for consultant services. </w:t>
      </w:r>
    </w:p>
    <w:p w:rsidR="00E91BD0" w:rsidRPr="00D3317E" w:rsidRDefault="00E91BD0">
      <w:pPr>
        <w:rPr>
          <w:rFonts w:ascii="StobiSerif Regular" w:hAnsi="StobiSerif Regular" w:cs="Tahoma"/>
          <w:color w:val="000080"/>
          <w:sz w:val="22"/>
          <w:szCs w:val="22"/>
        </w:rPr>
      </w:pPr>
    </w:p>
    <w:p w:rsidR="00E91BD0" w:rsidRDefault="00E91BD0">
      <w:pPr>
        <w:rPr>
          <w:rFonts w:ascii="Tahoma" w:hAnsi="Tahoma" w:cs="Tahoma"/>
          <w:color w:val="000080"/>
          <w:sz w:val="20"/>
          <w:szCs w:val="20"/>
        </w:rPr>
      </w:pPr>
    </w:p>
    <w:p w:rsidR="00E91BD0" w:rsidRDefault="00E91BD0">
      <w:pPr>
        <w:rPr>
          <w:rFonts w:ascii="Tahoma" w:hAnsi="Tahoma" w:cs="Tahoma"/>
          <w:color w:val="000080"/>
          <w:sz w:val="20"/>
          <w:szCs w:val="20"/>
        </w:rPr>
      </w:pPr>
    </w:p>
    <w:p w:rsidR="00E91BD0" w:rsidRDefault="00E91BD0">
      <w:pPr>
        <w:rPr>
          <w:rFonts w:ascii="Tahoma" w:hAnsi="Tahoma" w:cs="Tahoma"/>
          <w:color w:val="000080"/>
          <w:sz w:val="20"/>
          <w:szCs w:val="20"/>
        </w:rPr>
      </w:pPr>
    </w:p>
    <w:p w:rsidR="00E91BD0" w:rsidRDefault="00E91BD0">
      <w:pPr>
        <w:rPr>
          <w:rFonts w:ascii="Tahoma" w:hAnsi="Tahoma" w:cs="Tahoma"/>
          <w:color w:val="000080"/>
          <w:sz w:val="20"/>
          <w:szCs w:val="20"/>
        </w:rPr>
      </w:pPr>
    </w:p>
    <w:p w:rsidR="00E91BD0" w:rsidRDefault="00E91BD0" w:rsidP="000C2B33">
      <w:pPr>
        <w:jc w:val="center"/>
        <w:rPr>
          <w:rFonts w:ascii="Tahoma" w:hAnsi="Tahoma" w:cs="Tahoma"/>
          <w:b/>
          <w:bCs/>
          <w:color w:val="000080"/>
          <w:sz w:val="28"/>
          <w:szCs w:val="28"/>
          <w:lang w:eastAsia="en-US"/>
        </w:rPr>
      </w:pPr>
    </w:p>
    <w:p w:rsidR="00E91BD0" w:rsidRDefault="00E91BD0" w:rsidP="000C2B33">
      <w:pPr>
        <w:jc w:val="center"/>
        <w:rPr>
          <w:rFonts w:ascii="Tahoma" w:hAnsi="Tahoma" w:cs="Tahoma"/>
          <w:b/>
          <w:bCs/>
          <w:color w:val="000080"/>
          <w:sz w:val="28"/>
          <w:szCs w:val="28"/>
          <w:lang w:eastAsia="en-US"/>
        </w:rPr>
      </w:pPr>
    </w:p>
    <w:p w:rsidR="00E91BD0" w:rsidRDefault="00E91BD0" w:rsidP="000C2B33">
      <w:pPr>
        <w:jc w:val="center"/>
        <w:rPr>
          <w:rFonts w:ascii="Tahoma" w:hAnsi="Tahoma" w:cs="Tahoma"/>
          <w:b/>
          <w:bCs/>
          <w:color w:val="000080"/>
          <w:sz w:val="28"/>
          <w:szCs w:val="28"/>
          <w:lang w:eastAsia="en-US"/>
        </w:rPr>
      </w:pPr>
    </w:p>
    <w:p w:rsidR="00E91BD0" w:rsidRDefault="00E91BD0" w:rsidP="000C2B33">
      <w:pPr>
        <w:jc w:val="center"/>
        <w:rPr>
          <w:rFonts w:ascii="Tahoma" w:hAnsi="Tahoma" w:cs="Tahoma"/>
          <w:b/>
          <w:bCs/>
          <w:color w:val="000080"/>
          <w:sz w:val="28"/>
          <w:szCs w:val="28"/>
          <w:lang w:eastAsia="en-US"/>
        </w:rPr>
      </w:pPr>
    </w:p>
    <w:p w:rsidR="000C2B33" w:rsidRPr="00C51090" w:rsidRDefault="000C2B33" w:rsidP="000C2B33">
      <w:pPr>
        <w:jc w:val="center"/>
        <w:rPr>
          <w:rFonts w:ascii="Tahoma" w:hAnsi="Tahoma" w:cs="Tahoma"/>
          <w:b/>
          <w:bCs/>
          <w:color w:val="000080"/>
          <w:sz w:val="28"/>
          <w:szCs w:val="28"/>
          <w:lang w:eastAsia="en-US"/>
        </w:rPr>
      </w:pPr>
    </w:p>
    <w:p w:rsidR="000C2B33" w:rsidRPr="00C51090" w:rsidRDefault="000C2B33" w:rsidP="000C2B33">
      <w:pPr>
        <w:jc w:val="center"/>
        <w:rPr>
          <w:rFonts w:ascii="Tahoma" w:hAnsi="Tahoma" w:cs="Tahoma"/>
          <w:b/>
          <w:bCs/>
          <w:color w:val="000080"/>
          <w:sz w:val="28"/>
          <w:szCs w:val="28"/>
          <w:lang w:eastAsia="en-US"/>
        </w:rPr>
      </w:pPr>
    </w:p>
    <w:p w:rsidR="000C2B33" w:rsidRPr="00C51090" w:rsidRDefault="000C2B33" w:rsidP="000C2B33">
      <w:pPr>
        <w:jc w:val="center"/>
        <w:rPr>
          <w:rFonts w:ascii="Tahoma" w:hAnsi="Tahoma" w:cs="Tahoma"/>
          <w:b/>
          <w:bCs/>
          <w:color w:val="000080"/>
          <w:sz w:val="28"/>
          <w:szCs w:val="28"/>
          <w:lang w:eastAsia="en-US"/>
        </w:rPr>
      </w:pPr>
    </w:p>
    <w:p w:rsidR="000C2B33" w:rsidRPr="00C51090" w:rsidRDefault="000C2B33" w:rsidP="000C2B33">
      <w:pPr>
        <w:jc w:val="center"/>
        <w:rPr>
          <w:rFonts w:ascii="Tahoma" w:hAnsi="Tahoma" w:cs="Tahoma"/>
          <w:b/>
          <w:bCs/>
          <w:color w:val="000080"/>
          <w:sz w:val="28"/>
          <w:szCs w:val="28"/>
          <w:lang w:eastAsia="en-US"/>
        </w:rPr>
      </w:pPr>
    </w:p>
    <w:p w:rsidR="006A58C4" w:rsidRPr="00C51090" w:rsidRDefault="006A58C4" w:rsidP="000C2B33">
      <w:pPr>
        <w:jc w:val="center"/>
        <w:rPr>
          <w:rFonts w:ascii="Tahoma" w:hAnsi="Tahoma" w:cs="Tahoma"/>
          <w:b/>
          <w:bCs/>
          <w:color w:val="000080"/>
          <w:sz w:val="38"/>
          <w:szCs w:val="28"/>
          <w:lang w:eastAsia="en-US"/>
        </w:rPr>
      </w:pPr>
    </w:p>
    <w:p w:rsidR="000C2B33" w:rsidRPr="00C85235" w:rsidRDefault="0012690E" w:rsidP="000C2B33">
      <w:pPr>
        <w:jc w:val="center"/>
        <w:rPr>
          <w:rFonts w:ascii="Tahoma" w:hAnsi="Tahoma" w:cs="Tahoma"/>
          <w:b/>
          <w:bCs/>
          <w:color w:val="000080"/>
          <w:sz w:val="38"/>
          <w:szCs w:val="28"/>
        </w:rPr>
      </w:pPr>
      <w:r w:rsidRPr="00C85235">
        <w:rPr>
          <w:rFonts w:ascii="Tahoma" w:hAnsi="Tahoma" w:cs="Tahoma"/>
          <w:b/>
          <w:bCs/>
          <w:color w:val="000080"/>
          <w:sz w:val="38"/>
          <w:szCs w:val="28"/>
          <w:lang w:eastAsia="en-US"/>
        </w:rPr>
        <w:t>Agency for Electronic Communications</w:t>
      </w:r>
    </w:p>
    <w:p w:rsidR="000C2B33" w:rsidRPr="00C85235" w:rsidRDefault="000C2B33" w:rsidP="000C2B33">
      <w:pPr>
        <w:jc w:val="center"/>
        <w:rPr>
          <w:rFonts w:ascii="Tahoma" w:hAnsi="Tahoma" w:cs="Tahoma"/>
          <w:b/>
          <w:bCs/>
          <w:color w:val="000080"/>
          <w:sz w:val="38"/>
          <w:szCs w:val="28"/>
        </w:rPr>
      </w:pPr>
    </w:p>
    <w:p w:rsidR="00F00B7D" w:rsidRDefault="00F00B7D" w:rsidP="000C2B33">
      <w:pPr>
        <w:jc w:val="center"/>
        <w:rPr>
          <w:rFonts w:ascii="Tahoma" w:hAnsi="Tahoma" w:cs="Tahoma"/>
          <w:color w:val="000080"/>
          <w:sz w:val="30"/>
          <w:szCs w:val="20"/>
        </w:rPr>
      </w:pPr>
    </w:p>
    <w:p w:rsidR="001C59A8" w:rsidRPr="00C85235" w:rsidRDefault="001C59A8" w:rsidP="000C2B33">
      <w:pPr>
        <w:jc w:val="center"/>
        <w:rPr>
          <w:rFonts w:ascii="Tahoma" w:hAnsi="Tahoma" w:cs="Tahoma"/>
          <w:color w:val="000080"/>
          <w:sz w:val="30"/>
          <w:szCs w:val="20"/>
        </w:rPr>
      </w:pPr>
    </w:p>
    <w:p w:rsidR="00D3317E" w:rsidRDefault="00D3317E" w:rsidP="001C59A8">
      <w:pPr>
        <w:jc w:val="center"/>
        <w:rPr>
          <w:rFonts w:ascii="Tahoma" w:hAnsi="Tahoma" w:cs="Tahoma"/>
          <w:b/>
          <w:color w:val="000080"/>
          <w:sz w:val="38"/>
          <w:szCs w:val="28"/>
        </w:rPr>
      </w:pPr>
      <w:r>
        <w:rPr>
          <w:rFonts w:ascii="Tahoma" w:hAnsi="Tahoma" w:cs="Tahoma"/>
          <w:b/>
          <w:color w:val="000080"/>
          <w:sz w:val="38"/>
          <w:szCs w:val="28"/>
          <w:lang w:val="en-US"/>
        </w:rPr>
        <w:t xml:space="preserve">Draft </w:t>
      </w:r>
      <w:r w:rsidR="008E3284">
        <w:rPr>
          <w:rFonts w:ascii="Tahoma" w:hAnsi="Tahoma" w:cs="Tahoma"/>
          <w:b/>
          <w:color w:val="000080"/>
          <w:sz w:val="38"/>
          <w:szCs w:val="28"/>
        </w:rPr>
        <w:t>Modelling</w:t>
      </w:r>
      <w:r w:rsidR="001C59A8">
        <w:rPr>
          <w:rFonts w:ascii="Tahoma" w:hAnsi="Tahoma" w:cs="Tahoma"/>
          <w:b/>
          <w:color w:val="000080"/>
          <w:sz w:val="38"/>
          <w:szCs w:val="28"/>
        </w:rPr>
        <w:t xml:space="preserve"> Results Report </w:t>
      </w:r>
    </w:p>
    <w:p w:rsidR="001C59A8" w:rsidRPr="00C85235" w:rsidRDefault="001C59A8" w:rsidP="001C59A8">
      <w:pPr>
        <w:jc w:val="center"/>
        <w:rPr>
          <w:rFonts w:ascii="Tahoma" w:hAnsi="Tahoma" w:cs="Tahoma"/>
          <w:b/>
          <w:color w:val="000080"/>
          <w:sz w:val="38"/>
          <w:szCs w:val="28"/>
        </w:rPr>
      </w:pPr>
      <w:r>
        <w:rPr>
          <w:rFonts w:ascii="Tahoma" w:hAnsi="Tahoma" w:cs="Tahoma"/>
          <w:b/>
          <w:color w:val="000080"/>
          <w:sz w:val="38"/>
          <w:szCs w:val="28"/>
        </w:rPr>
        <w:t>for a</w:t>
      </w:r>
      <w:r w:rsidRPr="00C85235">
        <w:rPr>
          <w:rFonts w:ascii="Tahoma" w:hAnsi="Tahoma" w:cs="Tahoma"/>
          <w:b/>
          <w:color w:val="000080"/>
          <w:sz w:val="38"/>
          <w:szCs w:val="28"/>
        </w:rPr>
        <w:t xml:space="preserve"> Bottom-Up LRIC </w:t>
      </w:r>
      <w:r w:rsidR="00540B3B">
        <w:rPr>
          <w:rFonts w:ascii="Tahoma" w:hAnsi="Tahoma" w:cs="Tahoma"/>
          <w:b/>
          <w:color w:val="000080"/>
          <w:sz w:val="38"/>
          <w:szCs w:val="28"/>
        </w:rPr>
        <w:t xml:space="preserve">Bitstream service </w:t>
      </w:r>
      <w:r w:rsidRPr="00C85235">
        <w:rPr>
          <w:rFonts w:ascii="Tahoma" w:hAnsi="Tahoma" w:cs="Tahoma"/>
          <w:b/>
          <w:color w:val="000080"/>
          <w:sz w:val="38"/>
          <w:szCs w:val="28"/>
        </w:rPr>
        <w:t xml:space="preserve">in </w:t>
      </w:r>
      <w:r w:rsidR="00D3317E">
        <w:rPr>
          <w:rFonts w:ascii="Tahoma" w:hAnsi="Tahoma" w:cs="Tahoma"/>
          <w:b/>
          <w:color w:val="000080"/>
          <w:sz w:val="38"/>
          <w:szCs w:val="28"/>
        </w:rPr>
        <w:t xml:space="preserve">Republic of </w:t>
      </w:r>
      <w:r w:rsidR="00540B3B">
        <w:rPr>
          <w:rFonts w:ascii="Tahoma" w:hAnsi="Tahoma" w:cs="Tahoma"/>
          <w:b/>
          <w:color w:val="000080"/>
          <w:sz w:val="38"/>
          <w:szCs w:val="28"/>
        </w:rPr>
        <w:t>Macedonia</w:t>
      </w:r>
    </w:p>
    <w:p w:rsidR="00F00B7D" w:rsidRPr="00C85235" w:rsidRDefault="00F00B7D" w:rsidP="000C2B33">
      <w:pPr>
        <w:jc w:val="center"/>
        <w:rPr>
          <w:rFonts w:ascii="Tahoma" w:hAnsi="Tahoma" w:cs="Tahoma"/>
          <w:color w:val="000080"/>
          <w:sz w:val="30"/>
          <w:szCs w:val="20"/>
        </w:rPr>
      </w:pPr>
    </w:p>
    <w:p w:rsidR="00F00B7D" w:rsidRDefault="00F00B7D" w:rsidP="000C2B33">
      <w:pPr>
        <w:jc w:val="center"/>
        <w:rPr>
          <w:rFonts w:ascii="Tahoma" w:hAnsi="Tahoma" w:cs="Tahoma"/>
          <w:color w:val="000080"/>
          <w:sz w:val="30"/>
          <w:szCs w:val="20"/>
        </w:rPr>
      </w:pPr>
    </w:p>
    <w:p w:rsidR="001C59A8" w:rsidRPr="00C85235" w:rsidRDefault="001C59A8" w:rsidP="000C2B33">
      <w:pPr>
        <w:jc w:val="center"/>
        <w:rPr>
          <w:rFonts w:ascii="Tahoma" w:hAnsi="Tahoma" w:cs="Tahoma"/>
          <w:color w:val="000080"/>
          <w:sz w:val="30"/>
          <w:szCs w:val="20"/>
        </w:rPr>
      </w:pPr>
    </w:p>
    <w:p w:rsidR="00F00B7D" w:rsidRPr="00C85235" w:rsidRDefault="00F00B7D" w:rsidP="000C2B33">
      <w:pPr>
        <w:jc w:val="center"/>
        <w:rPr>
          <w:rFonts w:ascii="Tahoma" w:hAnsi="Tahoma" w:cs="Tahoma"/>
          <w:color w:val="000080"/>
          <w:sz w:val="30"/>
          <w:szCs w:val="20"/>
        </w:rPr>
      </w:pPr>
    </w:p>
    <w:p w:rsidR="00F00B7D" w:rsidRPr="00C85235" w:rsidRDefault="0039268B" w:rsidP="006A58C4">
      <w:pPr>
        <w:jc w:val="center"/>
        <w:rPr>
          <w:rFonts w:ascii="Tahoma" w:hAnsi="Tahoma" w:cs="Tahoma"/>
          <w:color w:val="000080"/>
          <w:sz w:val="20"/>
          <w:szCs w:val="20"/>
        </w:rPr>
      </w:pPr>
      <w:r>
        <w:rPr>
          <w:rFonts w:ascii="Tahoma" w:hAnsi="Tahoma" w:cs="Tahoma"/>
          <w:b/>
          <w:color w:val="000080"/>
          <w:sz w:val="38"/>
          <w:szCs w:val="28"/>
        </w:rPr>
        <w:t>Ju</w:t>
      </w:r>
      <w:r w:rsidR="00F907F9">
        <w:rPr>
          <w:rFonts w:ascii="Tahoma" w:hAnsi="Tahoma" w:cs="Tahoma"/>
          <w:b/>
          <w:color w:val="000080"/>
          <w:sz w:val="38"/>
          <w:szCs w:val="28"/>
        </w:rPr>
        <w:t>ly</w:t>
      </w:r>
      <w:r>
        <w:rPr>
          <w:rFonts w:ascii="Tahoma" w:hAnsi="Tahoma" w:cs="Tahoma"/>
          <w:b/>
          <w:color w:val="000080"/>
          <w:sz w:val="38"/>
          <w:szCs w:val="28"/>
        </w:rPr>
        <w:t xml:space="preserve"> </w:t>
      </w:r>
      <w:r w:rsidR="00F907F9">
        <w:rPr>
          <w:rFonts w:ascii="Tahoma" w:hAnsi="Tahoma" w:cs="Tahoma"/>
          <w:b/>
          <w:color w:val="000080"/>
          <w:sz w:val="38"/>
          <w:szCs w:val="28"/>
        </w:rPr>
        <w:t>2</w:t>
      </w:r>
      <w:r w:rsidR="003052CA">
        <w:rPr>
          <w:rFonts w:ascii="Tahoma" w:hAnsi="Tahoma" w:cs="Tahoma"/>
          <w:b/>
          <w:color w:val="000080"/>
          <w:sz w:val="38"/>
          <w:szCs w:val="28"/>
        </w:rPr>
        <w:t>4</w:t>
      </w:r>
      <w:r w:rsidR="001B0C83">
        <w:rPr>
          <w:rFonts w:ascii="Tahoma" w:hAnsi="Tahoma" w:cs="Tahoma"/>
          <w:b/>
          <w:color w:val="000080"/>
          <w:sz w:val="38"/>
          <w:szCs w:val="28"/>
        </w:rPr>
        <w:t xml:space="preserve">, </w:t>
      </w:r>
      <w:r w:rsidR="000C2B33" w:rsidRPr="00C85235">
        <w:rPr>
          <w:rFonts w:ascii="Tahoma" w:hAnsi="Tahoma" w:cs="Tahoma"/>
          <w:b/>
          <w:color w:val="000080"/>
          <w:sz w:val="38"/>
          <w:szCs w:val="28"/>
        </w:rPr>
        <w:t>20</w:t>
      </w:r>
      <w:r w:rsidR="001C59A8">
        <w:rPr>
          <w:rFonts w:ascii="Tahoma" w:hAnsi="Tahoma" w:cs="Tahoma"/>
          <w:b/>
          <w:color w:val="000080"/>
          <w:sz w:val="38"/>
          <w:szCs w:val="28"/>
        </w:rPr>
        <w:t>1</w:t>
      </w:r>
      <w:r w:rsidR="00540B3B">
        <w:rPr>
          <w:rFonts w:ascii="Tahoma" w:hAnsi="Tahoma" w:cs="Tahoma"/>
          <w:b/>
          <w:color w:val="000080"/>
          <w:sz w:val="38"/>
          <w:szCs w:val="28"/>
        </w:rPr>
        <w:t>2</w:t>
      </w: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F00B7D" w:rsidRPr="00C85235" w:rsidRDefault="00F00B7D">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Default="008125BA">
      <w:pPr>
        <w:rPr>
          <w:rFonts w:ascii="Tahoma" w:hAnsi="Tahoma" w:cs="Tahoma"/>
          <w:color w:val="000080"/>
          <w:sz w:val="20"/>
          <w:szCs w:val="20"/>
        </w:rPr>
      </w:pPr>
    </w:p>
    <w:p w:rsidR="001C59A8" w:rsidRPr="00C85235" w:rsidRDefault="001C59A8">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8125BA">
      <w:pPr>
        <w:rPr>
          <w:rFonts w:ascii="Tahoma" w:hAnsi="Tahoma" w:cs="Tahoma"/>
          <w:color w:val="000080"/>
          <w:sz w:val="20"/>
          <w:szCs w:val="20"/>
        </w:rPr>
      </w:pPr>
    </w:p>
    <w:p w:rsidR="008125BA" w:rsidRPr="00C85235" w:rsidRDefault="00B60DDB">
      <w:pPr>
        <w:rPr>
          <w:rFonts w:ascii="Tahoma" w:hAnsi="Tahoma" w:cs="Tahoma"/>
          <w:color w:val="000080"/>
          <w:sz w:val="20"/>
          <w:szCs w:val="20"/>
        </w:rPr>
      </w:pPr>
      <w:r w:rsidRPr="00C85235">
        <w:rPr>
          <w:rFonts w:ascii="Tahoma" w:hAnsi="Tahoma" w:cs="Tahoma"/>
          <w:noProof/>
          <w:color w:val="000080"/>
          <w:sz w:val="20"/>
          <w:szCs w:val="20"/>
          <w:lang w:eastAsia="en-US"/>
        </w:rPr>
        <w:pict>
          <v:shape id="_x0000_s1027" type="#_x0000_t75" style="position:absolute;left:0;text-align:left;margin-left:78.4pt;margin-top:730.8pt;width:45.5pt;height:31.5pt;z-index:2;mso-wrap-edited:f;mso-position-horizontal-relative:page;mso-position-vertical-relative:page" wrapcoords="-372 0 -372 21086 21600 21086 21600 14914 15269 8229 21600 3086 21600 0 -372 0" o:allowincell="f" fillcolor="window">
            <v:imagedata r:id="rId9" o:title="Dtten280"/>
            <w10:wrap anchorx="page" anchory="page"/>
          </v:shape>
        </w:pict>
      </w:r>
      <w:r w:rsidRPr="00C85235">
        <w:rPr>
          <w:rFonts w:ascii="Tahoma" w:hAnsi="Tahoma" w:cs="Tahoma"/>
          <w:noProof/>
          <w:color w:val="000080"/>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54pt;margin-top:724.05pt;width:276pt;height:45pt;z-index:1;mso-wrap-edited:f;mso-position-vertical-relative:page" wrapcoords="-63 0 -63 21150 21600 21150 21600 0 -63 0" o:allowincell="f" stroked="f">
            <v:textbox style="mso-next-textbox:#_x0000_s1026">
              <w:txbxContent>
                <w:p w:rsidR="00CB3574" w:rsidRDefault="00CB3574" w:rsidP="00B60DDB">
                  <w:pPr>
                    <w:rPr>
                      <w:sz w:val="16"/>
                    </w:rPr>
                  </w:pPr>
                  <w:r>
                    <w:rPr>
                      <w:sz w:val="16"/>
                    </w:rPr>
                    <w:t>Copyright © by Deloitte, 2012</w:t>
                  </w:r>
                </w:p>
                <w:p w:rsidR="00CB3574" w:rsidRDefault="00CB3574" w:rsidP="00B60DDB">
                  <w:pPr>
                    <w:rPr>
                      <w:sz w:val="16"/>
                    </w:rPr>
                  </w:pPr>
                  <w:r>
                    <w:rPr>
                      <w:sz w:val="16"/>
                    </w:rPr>
                    <w:t>This document is solely for the use of client personnel.  No part of it may be circulated, quoted, or reproduced for distribution outside of the Client’s organization without prior written approval from Deloitte.</w:t>
                  </w:r>
                </w:p>
              </w:txbxContent>
            </v:textbox>
            <w10:wrap anchory="page"/>
          </v:shape>
        </w:pict>
      </w:r>
    </w:p>
    <w:p w:rsidR="008125BA" w:rsidRPr="00C85235" w:rsidRDefault="008125BA">
      <w:pPr>
        <w:rPr>
          <w:rFonts w:ascii="Tahoma" w:hAnsi="Tahoma" w:cs="Tahoma"/>
          <w:color w:val="000080"/>
          <w:sz w:val="20"/>
          <w:szCs w:val="20"/>
        </w:rPr>
      </w:pPr>
    </w:p>
    <w:p w:rsidR="008125BA" w:rsidRDefault="008125BA">
      <w:pPr>
        <w:rPr>
          <w:rFonts w:ascii="Tahoma" w:hAnsi="Tahoma" w:cs="Tahoma"/>
          <w:color w:val="000080"/>
          <w:sz w:val="20"/>
          <w:szCs w:val="20"/>
        </w:rPr>
      </w:pPr>
    </w:p>
    <w:p w:rsidR="00E30906" w:rsidRDefault="00E30906">
      <w:pPr>
        <w:rPr>
          <w:rFonts w:ascii="Tahoma" w:hAnsi="Tahoma" w:cs="Tahoma"/>
          <w:color w:val="000080"/>
          <w:sz w:val="20"/>
          <w:szCs w:val="20"/>
        </w:rPr>
      </w:pPr>
    </w:p>
    <w:p w:rsidR="00E30906" w:rsidRDefault="00E30906">
      <w:pPr>
        <w:rPr>
          <w:rFonts w:ascii="Tahoma" w:hAnsi="Tahoma" w:cs="Tahoma"/>
          <w:color w:val="000080"/>
          <w:sz w:val="20"/>
          <w:szCs w:val="20"/>
        </w:rPr>
      </w:pPr>
    </w:p>
    <w:p w:rsidR="00E30906" w:rsidRDefault="00E30906">
      <w:pPr>
        <w:rPr>
          <w:rFonts w:ascii="Tahoma" w:hAnsi="Tahoma" w:cs="Tahoma"/>
          <w:color w:val="000080"/>
          <w:sz w:val="20"/>
          <w:szCs w:val="20"/>
        </w:rPr>
      </w:pPr>
    </w:p>
    <w:p w:rsidR="00E30906" w:rsidRPr="00C85235" w:rsidRDefault="00E30906">
      <w:pPr>
        <w:rPr>
          <w:rFonts w:ascii="Tahoma" w:hAnsi="Tahoma" w:cs="Tahoma"/>
          <w:color w:val="000080"/>
          <w:sz w:val="20"/>
          <w:szCs w:val="20"/>
        </w:rPr>
      </w:pPr>
    </w:p>
    <w:p w:rsidR="002522E6" w:rsidRPr="00C85235" w:rsidRDefault="002522E6" w:rsidP="0027722D">
      <w:pPr>
        <w:pStyle w:val="Heading1"/>
        <w:pBdr>
          <w:top w:val="single" w:sz="4" w:space="1" w:color="FFFFFF"/>
          <w:left w:val="single" w:sz="4" w:space="4" w:color="FFFFFF"/>
          <w:bottom w:val="single" w:sz="4" w:space="1" w:color="FFFFFF"/>
          <w:right w:val="single" w:sz="4" w:space="4" w:color="FFFFFF"/>
        </w:pBdr>
        <w:shd w:val="clear" w:color="auto" w:fill="000080"/>
        <w:rPr>
          <w:rFonts w:ascii="Tahoma" w:hAnsi="Tahoma" w:cs="Tahoma"/>
          <w:color w:val="FFFFFF"/>
        </w:rPr>
      </w:pPr>
      <w:bookmarkStart w:id="0" w:name="_Toc148771278"/>
      <w:bookmarkStart w:id="1" w:name="_Toc189364701"/>
      <w:bookmarkStart w:id="2" w:name="_Toc189504220"/>
      <w:bookmarkStart w:id="3" w:name="_Toc189585293"/>
      <w:bookmarkStart w:id="4" w:name="_Toc190855923"/>
      <w:bookmarkStart w:id="5" w:name="_Toc201375012"/>
      <w:bookmarkStart w:id="6" w:name="_Toc260662697"/>
      <w:bookmarkStart w:id="7" w:name="_Toc330908215"/>
      <w:r w:rsidRPr="00C85235">
        <w:rPr>
          <w:rFonts w:ascii="Tahoma" w:hAnsi="Tahoma" w:cs="Tahoma"/>
          <w:color w:val="FFFFFF"/>
        </w:rPr>
        <w:t>TABLE OF CONTENT</w:t>
      </w:r>
      <w:bookmarkEnd w:id="0"/>
      <w:r w:rsidR="00A279AB" w:rsidRPr="00C85235">
        <w:rPr>
          <w:rFonts w:ascii="Tahoma" w:hAnsi="Tahoma" w:cs="Tahoma"/>
          <w:color w:val="FFFFFF"/>
        </w:rPr>
        <w:t>S</w:t>
      </w:r>
      <w:bookmarkEnd w:id="1"/>
      <w:bookmarkEnd w:id="2"/>
      <w:bookmarkEnd w:id="3"/>
      <w:bookmarkEnd w:id="4"/>
      <w:bookmarkEnd w:id="5"/>
      <w:bookmarkEnd w:id="6"/>
      <w:bookmarkEnd w:id="7"/>
    </w:p>
    <w:p w:rsidR="00F00B7D" w:rsidRPr="00C85235" w:rsidRDefault="00F00B7D">
      <w:pPr>
        <w:rPr>
          <w:rFonts w:ascii="Tahoma" w:hAnsi="Tahoma" w:cs="Tahoma"/>
          <w:sz w:val="20"/>
          <w:szCs w:val="20"/>
        </w:rPr>
      </w:pPr>
    </w:p>
    <w:p w:rsidR="00446DF7" w:rsidRPr="004E0458" w:rsidRDefault="007E527B">
      <w:pPr>
        <w:pStyle w:val="TOC1"/>
        <w:tabs>
          <w:tab w:val="right" w:leader="dot" w:pos="9039"/>
        </w:tabs>
        <w:rPr>
          <w:rFonts w:ascii="Calibri" w:hAnsi="Calibri"/>
          <w:noProof/>
          <w:sz w:val="22"/>
          <w:szCs w:val="22"/>
          <w:lang w:val="en-US" w:eastAsia="en-US"/>
        </w:rPr>
      </w:pPr>
      <w:r w:rsidRPr="00C85235">
        <w:rPr>
          <w:rFonts w:ascii="Tahoma" w:hAnsi="Tahoma" w:cs="Tahoma"/>
          <w:sz w:val="20"/>
          <w:szCs w:val="20"/>
        </w:rPr>
        <w:fldChar w:fldCharType="begin"/>
      </w:r>
      <w:r w:rsidRPr="00C85235">
        <w:rPr>
          <w:rFonts w:ascii="Tahoma" w:hAnsi="Tahoma" w:cs="Tahoma"/>
          <w:sz w:val="20"/>
          <w:szCs w:val="20"/>
        </w:rPr>
        <w:instrText xml:space="preserve"> TOC \o "1-3" \h \z \u </w:instrText>
      </w:r>
      <w:r w:rsidRPr="00C85235">
        <w:rPr>
          <w:rFonts w:ascii="Tahoma" w:hAnsi="Tahoma" w:cs="Tahoma"/>
          <w:sz w:val="20"/>
          <w:szCs w:val="20"/>
        </w:rPr>
        <w:fldChar w:fldCharType="separate"/>
      </w:r>
      <w:hyperlink w:anchor="_Toc330908215" w:history="1">
        <w:r w:rsidR="00446DF7" w:rsidRPr="004B382D">
          <w:rPr>
            <w:rStyle w:val="Hyperlink"/>
            <w:rFonts w:ascii="Tahoma" w:hAnsi="Tahoma" w:cs="Tahoma"/>
            <w:noProof/>
          </w:rPr>
          <w:t>TABLE OF CONTENTS</w:t>
        </w:r>
        <w:r w:rsidR="00446DF7">
          <w:rPr>
            <w:noProof/>
            <w:webHidden/>
          </w:rPr>
          <w:tab/>
        </w:r>
        <w:r w:rsidR="00446DF7">
          <w:rPr>
            <w:noProof/>
            <w:webHidden/>
          </w:rPr>
          <w:fldChar w:fldCharType="begin"/>
        </w:r>
        <w:r w:rsidR="00446DF7">
          <w:rPr>
            <w:noProof/>
            <w:webHidden/>
          </w:rPr>
          <w:instrText xml:space="preserve"> PAGEREF _Toc330908215 \h </w:instrText>
        </w:r>
        <w:r w:rsidR="00446DF7">
          <w:rPr>
            <w:noProof/>
            <w:webHidden/>
          </w:rPr>
        </w:r>
        <w:r w:rsidR="00446DF7">
          <w:rPr>
            <w:noProof/>
            <w:webHidden/>
          </w:rPr>
          <w:fldChar w:fldCharType="separate"/>
        </w:r>
        <w:r w:rsidR="005C0BDB">
          <w:rPr>
            <w:noProof/>
            <w:webHidden/>
          </w:rPr>
          <w:t>- 4 -</w:t>
        </w:r>
        <w:r w:rsidR="00446DF7">
          <w:rPr>
            <w:noProof/>
            <w:webHidden/>
          </w:rPr>
          <w:fldChar w:fldCharType="end"/>
        </w:r>
      </w:hyperlink>
    </w:p>
    <w:p w:rsidR="00446DF7" w:rsidRPr="004E0458" w:rsidRDefault="00446DF7">
      <w:pPr>
        <w:pStyle w:val="TOC1"/>
        <w:tabs>
          <w:tab w:val="left" w:pos="440"/>
          <w:tab w:val="right" w:leader="dot" w:pos="9039"/>
        </w:tabs>
        <w:rPr>
          <w:rFonts w:ascii="Calibri" w:hAnsi="Calibri"/>
          <w:noProof/>
          <w:sz w:val="22"/>
          <w:szCs w:val="22"/>
          <w:lang w:val="en-US" w:eastAsia="en-US"/>
        </w:rPr>
      </w:pPr>
      <w:hyperlink w:anchor="_Toc330908216" w:history="1">
        <w:r w:rsidRPr="004B382D">
          <w:rPr>
            <w:rStyle w:val="Hyperlink"/>
            <w:rFonts w:ascii="Tahoma" w:hAnsi="Tahoma" w:cs="Tahoma"/>
            <w:noProof/>
          </w:rPr>
          <w:t>1</w:t>
        </w:r>
        <w:r w:rsidRPr="004E0458">
          <w:rPr>
            <w:rFonts w:ascii="Calibri" w:hAnsi="Calibri"/>
            <w:noProof/>
            <w:sz w:val="22"/>
            <w:szCs w:val="22"/>
            <w:lang w:val="en-US" w:eastAsia="en-US"/>
          </w:rPr>
          <w:tab/>
        </w:r>
        <w:r w:rsidRPr="004B382D">
          <w:rPr>
            <w:rStyle w:val="Hyperlink"/>
            <w:rFonts w:ascii="Tahoma" w:hAnsi="Tahoma" w:cs="Tahoma"/>
            <w:caps/>
            <w:noProof/>
            <w:snapToGrid w:val="0"/>
            <w:lang w:eastAsia="en-US"/>
          </w:rPr>
          <w:t>INTRODUCTION</w:t>
        </w:r>
        <w:r>
          <w:rPr>
            <w:noProof/>
            <w:webHidden/>
          </w:rPr>
          <w:tab/>
        </w:r>
        <w:r>
          <w:rPr>
            <w:noProof/>
            <w:webHidden/>
          </w:rPr>
          <w:fldChar w:fldCharType="begin"/>
        </w:r>
        <w:r>
          <w:rPr>
            <w:noProof/>
            <w:webHidden/>
          </w:rPr>
          <w:instrText xml:space="preserve"> PAGEREF _Toc330908216 \h </w:instrText>
        </w:r>
        <w:r>
          <w:rPr>
            <w:noProof/>
            <w:webHidden/>
          </w:rPr>
        </w:r>
        <w:r>
          <w:rPr>
            <w:noProof/>
            <w:webHidden/>
          </w:rPr>
          <w:fldChar w:fldCharType="separate"/>
        </w:r>
        <w:r w:rsidR="005C0BDB">
          <w:rPr>
            <w:noProof/>
            <w:webHidden/>
          </w:rPr>
          <w:t>- 5 -</w:t>
        </w:r>
        <w:r>
          <w:rPr>
            <w:noProof/>
            <w:webHidden/>
          </w:rPr>
          <w:fldChar w:fldCharType="end"/>
        </w:r>
      </w:hyperlink>
    </w:p>
    <w:p w:rsidR="00446DF7" w:rsidRPr="004E0458" w:rsidRDefault="00446DF7">
      <w:pPr>
        <w:pStyle w:val="TOC1"/>
        <w:tabs>
          <w:tab w:val="left" w:pos="440"/>
          <w:tab w:val="right" w:leader="dot" w:pos="9039"/>
        </w:tabs>
        <w:rPr>
          <w:rFonts w:ascii="Calibri" w:hAnsi="Calibri"/>
          <w:noProof/>
          <w:sz w:val="22"/>
          <w:szCs w:val="22"/>
          <w:lang w:val="en-US" w:eastAsia="en-US"/>
        </w:rPr>
      </w:pPr>
      <w:hyperlink w:anchor="_Toc330908217" w:history="1">
        <w:r w:rsidRPr="004B382D">
          <w:rPr>
            <w:rStyle w:val="Hyperlink"/>
            <w:rFonts w:ascii="Tahoma" w:hAnsi="Tahoma" w:cs="Tahoma"/>
            <w:noProof/>
          </w:rPr>
          <w:t>2</w:t>
        </w:r>
        <w:r w:rsidRPr="004E0458">
          <w:rPr>
            <w:rFonts w:ascii="Calibri" w:hAnsi="Calibri"/>
            <w:noProof/>
            <w:sz w:val="22"/>
            <w:szCs w:val="22"/>
            <w:lang w:val="en-US" w:eastAsia="en-US"/>
          </w:rPr>
          <w:tab/>
        </w:r>
        <w:r w:rsidRPr="004B382D">
          <w:rPr>
            <w:rStyle w:val="Hyperlink"/>
            <w:rFonts w:ascii="Tahoma" w:hAnsi="Tahoma" w:cs="Tahoma"/>
            <w:caps/>
            <w:noProof/>
            <w:snapToGrid w:val="0"/>
            <w:lang w:eastAsia="en-US"/>
          </w:rPr>
          <w:t>Demand  projections</w:t>
        </w:r>
        <w:r>
          <w:rPr>
            <w:noProof/>
            <w:webHidden/>
          </w:rPr>
          <w:tab/>
        </w:r>
        <w:r>
          <w:rPr>
            <w:noProof/>
            <w:webHidden/>
          </w:rPr>
          <w:fldChar w:fldCharType="begin"/>
        </w:r>
        <w:r>
          <w:rPr>
            <w:noProof/>
            <w:webHidden/>
          </w:rPr>
          <w:instrText xml:space="preserve"> PAGEREF _Toc330908217 \h </w:instrText>
        </w:r>
        <w:r>
          <w:rPr>
            <w:noProof/>
            <w:webHidden/>
          </w:rPr>
        </w:r>
        <w:r>
          <w:rPr>
            <w:noProof/>
            <w:webHidden/>
          </w:rPr>
          <w:fldChar w:fldCharType="separate"/>
        </w:r>
        <w:r w:rsidR="005C0BDB">
          <w:rPr>
            <w:noProof/>
            <w:webHidden/>
          </w:rPr>
          <w:t>- 6 -</w:t>
        </w:r>
        <w:r>
          <w:rPr>
            <w:noProof/>
            <w:webHidden/>
          </w:rPr>
          <w:fldChar w:fldCharType="end"/>
        </w:r>
      </w:hyperlink>
    </w:p>
    <w:p w:rsidR="00446DF7" w:rsidRPr="004E0458" w:rsidRDefault="00446DF7">
      <w:pPr>
        <w:pStyle w:val="TOC1"/>
        <w:tabs>
          <w:tab w:val="left" w:pos="440"/>
          <w:tab w:val="right" w:leader="dot" w:pos="9039"/>
        </w:tabs>
        <w:rPr>
          <w:rFonts w:ascii="Calibri" w:hAnsi="Calibri"/>
          <w:noProof/>
          <w:sz w:val="22"/>
          <w:szCs w:val="22"/>
          <w:lang w:val="en-US" w:eastAsia="en-US"/>
        </w:rPr>
      </w:pPr>
      <w:hyperlink w:anchor="_Toc330908218" w:history="1">
        <w:r w:rsidRPr="004B382D">
          <w:rPr>
            <w:rStyle w:val="Hyperlink"/>
            <w:rFonts w:ascii="Tahoma" w:hAnsi="Tahoma" w:cs="Tahoma"/>
            <w:caps/>
            <w:noProof/>
            <w:snapToGrid w:val="0"/>
            <w:lang w:eastAsia="en-US"/>
          </w:rPr>
          <w:t>3</w:t>
        </w:r>
        <w:r w:rsidRPr="004E0458">
          <w:rPr>
            <w:rFonts w:ascii="Calibri" w:hAnsi="Calibri"/>
            <w:noProof/>
            <w:sz w:val="22"/>
            <w:szCs w:val="22"/>
            <w:lang w:val="en-US" w:eastAsia="en-US"/>
          </w:rPr>
          <w:tab/>
        </w:r>
        <w:r w:rsidRPr="004B382D">
          <w:rPr>
            <w:rStyle w:val="Hyperlink"/>
            <w:rFonts w:ascii="Tahoma" w:hAnsi="Tahoma" w:cs="Tahoma"/>
            <w:caps/>
            <w:noProof/>
            <w:snapToGrid w:val="0"/>
            <w:lang w:eastAsia="en-US"/>
          </w:rPr>
          <w:t>base case results</w:t>
        </w:r>
        <w:r>
          <w:rPr>
            <w:noProof/>
            <w:webHidden/>
          </w:rPr>
          <w:tab/>
        </w:r>
        <w:r>
          <w:rPr>
            <w:noProof/>
            <w:webHidden/>
          </w:rPr>
          <w:fldChar w:fldCharType="begin"/>
        </w:r>
        <w:r>
          <w:rPr>
            <w:noProof/>
            <w:webHidden/>
          </w:rPr>
          <w:instrText xml:space="preserve"> PAGEREF _Toc330908218 \h </w:instrText>
        </w:r>
        <w:r>
          <w:rPr>
            <w:noProof/>
            <w:webHidden/>
          </w:rPr>
        </w:r>
        <w:r>
          <w:rPr>
            <w:noProof/>
            <w:webHidden/>
          </w:rPr>
          <w:fldChar w:fldCharType="separate"/>
        </w:r>
        <w:r w:rsidR="005C0BDB">
          <w:rPr>
            <w:noProof/>
            <w:webHidden/>
          </w:rPr>
          <w:t>- 8 -</w:t>
        </w:r>
        <w:r>
          <w:rPr>
            <w:noProof/>
            <w:webHidden/>
          </w:rPr>
          <w:fldChar w:fldCharType="end"/>
        </w:r>
      </w:hyperlink>
    </w:p>
    <w:p w:rsidR="00446D25" w:rsidRDefault="007E527B" w:rsidP="00446D25">
      <w:pPr>
        <w:rPr>
          <w:rFonts w:ascii="Tahoma" w:hAnsi="Tahoma" w:cs="Tahoma"/>
          <w:b/>
          <w:bCs/>
          <w:sz w:val="20"/>
          <w:szCs w:val="20"/>
        </w:rPr>
      </w:pPr>
      <w:r w:rsidRPr="00C85235">
        <w:rPr>
          <w:rFonts w:ascii="Tahoma" w:hAnsi="Tahoma" w:cs="Tahoma"/>
          <w:b/>
          <w:bCs/>
          <w:sz w:val="20"/>
          <w:szCs w:val="20"/>
        </w:rPr>
        <w:fldChar w:fldCharType="end"/>
      </w:r>
    </w:p>
    <w:p w:rsidR="00446D25" w:rsidRPr="00446D25" w:rsidRDefault="00446D25" w:rsidP="00446D25">
      <w:pPr>
        <w:rPr>
          <w:rFonts w:ascii="Tahoma" w:hAnsi="Tahoma" w:cs="Tahoma"/>
          <w:b/>
          <w:bCs/>
          <w:sz w:val="20"/>
          <w:szCs w:val="20"/>
        </w:rPr>
      </w:pPr>
      <w:r>
        <w:rPr>
          <w:rFonts w:ascii="Tahoma" w:hAnsi="Tahoma" w:cs="Tahoma"/>
        </w:rPr>
        <w:br w:type="page"/>
      </w:r>
    </w:p>
    <w:p w:rsidR="001E5DF1" w:rsidRPr="00C85235" w:rsidRDefault="003D5AAB" w:rsidP="00F11F76">
      <w:pPr>
        <w:pStyle w:val="Heading1"/>
        <w:pBdr>
          <w:top w:val="single" w:sz="4" w:space="1" w:color="FFFFFF"/>
          <w:left w:val="single" w:sz="4" w:space="4" w:color="FFFFFF"/>
          <w:bottom w:val="single" w:sz="4" w:space="1" w:color="FFFFFF"/>
          <w:right w:val="single" w:sz="4" w:space="4" w:color="FFFFFF"/>
        </w:pBdr>
        <w:shd w:val="clear" w:color="auto" w:fill="000080"/>
        <w:rPr>
          <w:rFonts w:ascii="Tahoma" w:hAnsi="Tahoma" w:cs="Tahoma"/>
          <w:caps/>
          <w:snapToGrid w:val="0"/>
          <w:color w:val="FFFFFF"/>
          <w:kern w:val="0"/>
          <w:sz w:val="28"/>
          <w:szCs w:val="20"/>
          <w:lang w:eastAsia="en-US"/>
        </w:rPr>
      </w:pPr>
      <w:bookmarkStart w:id="8" w:name="_Toc330908216"/>
      <w:r w:rsidRPr="00C85235">
        <w:rPr>
          <w:rFonts w:ascii="Tahoma" w:hAnsi="Tahoma" w:cs="Tahoma"/>
          <w:color w:val="FFFFFF"/>
        </w:rPr>
        <w:t>1</w:t>
      </w:r>
      <w:r w:rsidRPr="00C85235">
        <w:rPr>
          <w:rFonts w:ascii="Tahoma" w:hAnsi="Tahoma" w:cs="Tahoma"/>
          <w:caps/>
          <w:snapToGrid w:val="0"/>
          <w:color w:val="FFFFFF"/>
          <w:kern w:val="0"/>
          <w:sz w:val="28"/>
          <w:szCs w:val="20"/>
          <w:lang w:eastAsia="en-US"/>
        </w:rPr>
        <w:tab/>
      </w:r>
      <w:r w:rsidR="00434470" w:rsidRPr="00C85235">
        <w:rPr>
          <w:rFonts w:ascii="Tahoma" w:hAnsi="Tahoma" w:cs="Tahoma"/>
          <w:caps/>
          <w:snapToGrid w:val="0"/>
          <w:color w:val="FFFFFF"/>
          <w:kern w:val="0"/>
          <w:sz w:val="28"/>
          <w:szCs w:val="20"/>
          <w:lang w:eastAsia="en-US"/>
        </w:rPr>
        <w:t>INTRODUCTION</w:t>
      </w:r>
      <w:bookmarkEnd w:id="8"/>
    </w:p>
    <w:p w:rsidR="001E5DF1" w:rsidRPr="00C85235" w:rsidRDefault="001E5DF1" w:rsidP="001E5DF1">
      <w:pPr>
        <w:ind w:left="720" w:hanging="720"/>
        <w:jc w:val="left"/>
        <w:rPr>
          <w:rFonts w:ascii="Tahoma" w:hAnsi="Tahoma" w:cs="Tahoma"/>
          <w:color w:val="000080"/>
          <w:sz w:val="20"/>
          <w:szCs w:val="20"/>
        </w:rPr>
      </w:pPr>
    </w:p>
    <w:p w:rsidR="001C59A8" w:rsidRDefault="001C59A8" w:rsidP="00857CB5">
      <w:pPr>
        <w:numPr>
          <w:ilvl w:val="1"/>
          <w:numId w:val="2"/>
        </w:numPr>
        <w:tabs>
          <w:tab w:val="clear" w:pos="360"/>
          <w:tab w:val="num" w:pos="540"/>
        </w:tabs>
        <w:spacing w:line="280" w:lineRule="atLeast"/>
        <w:ind w:left="540" w:hanging="540"/>
        <w:rPr>
          <w:rFonts w:ascii="Tahoma" w:hAnsi="Tahoma" w:cs="Tahoma"/>
          <w:color w:val="000080"/>
          <w:sz w:val="20"/>
          <w:szCs w:val="20"/>
        </w:rPr>
      </w:pPr>
      <w:r w:rsidRPr="001C59A8">
        <w:rPr>
          <w:rFonts w:ascii="Tahoma" w:hAnsi="Tahoma" w:cs="Tahoma"/>
          <w:color w:val="000080"/>
          <w:sz w:val="20"/>
          <w:szCs w:val="20"/>
        </w:rPr>
        <w:t xml:space="preserve">This Report </w:t>
      </w:r>
      <w:r w:rsidR="000F7C8D">
        <w:rPr>
          <w:rFonts w:ascii="Tahoma" w:hAnsi="Tahoma" w:cs="Tahoma"/>
          <w:color w:val="000080"/>
          <w:sz w:val="20"/>
          <w:szCs w:val="20"/>
        </w:rPr>
        <w:t>presents</w:t>
      </w:r>
      <w:r w:rsidRPr="001C59A8">
        <w:rPr>
          <w:rFonts w:ascii="Tahoma" w:hAnsi="Tahoma" w:cs="Tahoma"/>
          <w:color w:val="000080"/>
          <w:sz w:val="20"/>
          <w:szCs w:val="20"/>
        </w:rPr>
        <w:t xml:space="preserve"> </w:t>
      </w:r>
      <w:r w:rsidR="000F7C8D">
        <w:rPr>
          <w:rFonts w:ascii="Tahoma" w:hAnsi="Tahoma" w:cs="Tahoma"/>
          <w:color w:val="000080"/>
          <w:sz w:val="20"/>
          <w:szCs w:val="20"/>
        </w:rPr>
        <w:t xml:space="preserve">base case </w:t>
      </w:r>
      <w:r w:rsidR="00733700">
        <w:rPr>
          <w:rFonts w:ascii="Tahoma" w:hAnsi="Tahoma" w:cs="Tahoma"/>
          <w:color w:val="000080"/>
          <w:sz w:val="20"/>
          <w:szCs w:val="20"/>
        </w:rPr>
        <w:t xml:space="preserve">scenario </w:t>
      </w:r>
      <w:r w:rsidR="000F7C8D">
        <w:rPr>
          <w:rFonts w:ascii="Tahoma" w:hAnsi="Tahoma" w:cs="Tahoma"/>
          <w:color w:val="000080"/>
          <w:sz w:val="20"/>
          <w:szCs w:val="20"/>
        </w:rPr>
        <w:t>and</w:t>
      </w:r>
      <w:r w:rsidR="00EA28F2">
        <w:rPr>
          <w:rFonts w:ascii="Tahoma" w:hAnsi="Tahoma" w:cs="Tahoma"/>
          <w:color w:val="000080"/>
          <w:sz w:val="20"/>
          <w:szCs w:val="20"/>
        </w:rPr>
        <w:t xml:space="preserve"> </w:t>
      </w:r>
      <w:r w:rsidR="000F7C8D">
        <w:rPr>
          <w:rFonts w:ascii="Tahoma" w:hAnsi="Tahoma" w:cs="Tahoma"/>
          <w:color w:val="000080"/>
          <w:sz w:val="20"/>
          <w:szCs w:val="20"/>
        </w:rPr>
        <w:t>draft</w:t>
      </w:r>
      <w:r w:rsidRPr="001C59A8">
        <w:rPr>
          <w:rFonts w:ascii="Tahoma" w:hAnsi="Tahoma" w:cs="Tahoma"/>
          <w:color w:val="000080"/>
          <w:sz w:val="20"/>
          <w:szCs w:val="20"/>
        </w:rPr>
        <w:t xml:space="preserve"> results </w:t>
      </w:r>
      <w:r w:rsidR="000F7C8D">
        <w:rPr>
          <w:rFonts w:ascii="Tahoma" w:hAnsi="Tahoma" w:cs="Tahoma"/>
          <w:color w:val="000080"/>
          <w:sz w:val="20"/>
          <w:szCs w:val="20"/>
        </w:rPr>
        <w:t xml:space="preserve">of </w:t>
      </w:r>
      <w:r w:rsidR="00585F6E">
        <w:rPr>
          <w:rFonts w:ascii="Tahoma" w:hAnsi="Tahoma" w:cs="Tahoma"/>
          <w:color w:val="000080"/>
          <w:sz w:val="20"/>
          <w:szCs w:val="20"/>
        </w:rPr>
        <w:t xml:space="preserve">BU </w:t>
      </w:r>
      <w:r w:rsidRPr="001C59A8">
        <w:rPr>
          <w:rFonts w:ascii="Tahoma" w:hAnsi="Tahoma" w:cs="Tahoma"/>
          <w:color w:val="000080"/>
          <w:sz w:val="20"/>
          <w:szCs w:val="20"/>
        </w:rPr>
        <w:t xml:space="preserve">LRIC </w:t>
      </w:r>
      <w:r w:rsidR="00585F6E">
        <w:rPr>
          <w:rFonts w:ascii="Tahoma" w:hAnsi="Tahoma" w:cs="Tahoma"/>
          <w:color w:val="000080"/>
          <w:sz w:val="20"/>
          <w:szCs w:val="20"/>
        </w:rPr>
        <w:t>modelling of bitstream services</w:t>
      </w:r>
      <w:r w:rsidRPr="001C59A8">
        <w:rPr>
          <w:rFonts w:ascii="Tahoma" w:hAnsi="Tahoma" w:cs="Tahoma"/>
          <w:color w:val="000080"/>
          <w:sz w:val="20"/>
          <w:szCs w:val="20"/>
        </w:rPr>
        <w:t xml:space="preserve">.  </w:t>
      </w:r>
      <w:r w:rsidR="00733700">
        <w:rPr>
          <w:rFonts w:ascii="Tahoma" w:hAnsi="Tahoma" w:cs="Tahoma"/>
          <w:color w:val="000080"/>
          <w:sz w:val="20"/>
          <w:szCs w:val="20"/>
        </w:rPr>
        <w:t>Key assumptions and demand for base c</w:t>
      </w:r>
      <w:r w:rsidRPr="001C59A8">
        <w:rPr>
          <w:rFonts w:ascii="Tahoma" w:hAnsi="Tahoma" w:cs="Tahoma"/>
          <w:color w:val="000080"/>
          <w:sz w:val="20"/>
          <w:szCs w:val="20"/>
        </w:rPr>
        <w:t xml:space="preserve">ase </w:t>
      </w:r>
      <w:r w:rsidR="00733700">
        <w:rPr>
          <w:rFonts w:ascii="Tahoma" w:hAnsi="Tahoma" w:cs="Tahoma"/>
          <w:color w:val="000080"/>
          <w:sz w:val="20"/>
          <w:szCs w:val="20"/>
        </w:rPr>
        <w:t xml:space="preserve">scenario are presented first and </w:t>
      </w:r>
      <w:r w:rsidR="00585F6E">
        <w:rPr>
          <w:rFonts w:ascii="Tahoma" w:hAnsi="Tahoma" w:cs="Tahoma"/>
          <w:color w:val="000080"/>
          <w:sz w:val="20"/>
          <w:szCs w:val="20"/>
        </w:rPr>
        <w:t xml:space="preserve">LRIC estimates for </w:t>
      </w:r>
      <w:r w:rsidR="00733700">
        <w:rPr>
          <w:rFonts w:ascii="Tahoma" w:hAnsi="Tahoma" w:cs="Tahoma"/>
          <w:color w:val="000080"/>
          <w:sz w:val="20"/>
          <w:szCs w:val="20"/>
        </w:rPr>
        <w:t>select bitstream services second</w:t>
      </w:r>
      <w:r w:rsidRPr="001C59A8">
        <w:rPr>
          <w:rFonts w:ascii="Tahoma" w:hAnsi="Tahoma" w:cs="Tahoma"/>
          <w:color w:val="000080"/>
          <w:sz w:val="20"/>
          <w:szCs w:val="20"/>
        </w:rPr>
        <w:t xml:space="preserve">. </w:t>
      </w:r>
    </w:p>
    <w:p w:rsidR="001C59A8" w:rsidRPr="001C59A8" w:rsidRDefault="001C59A8" w:rsidP="00857CB5">
      <w:pPr>
        <w:spacing w:line="280" w:lineRule="atLeast"/>
        <w:ind w:left="540"/>
        <w:rPr>
          <w:rFonts w:ascii="Tahoma" w:hAnsi="Tahoma" w:cs="Tahoma"/>
          <w:color w:val="000080"/>
          <w:sz w:val="20"/>
          <w:szCs w:val="20"/>
        </w:rPr>
      </w:pPr>
    </w:p>
    <w:p w:rsidR="001C59A8" w:rsidRDefault="001C59A8" w:rsidP="00857CB5">
      <w:pPr>
        <w:numPr>
          <w:ilvl w:val="1"/>
          <w:numId w:val="2"/>
        </w:numPr>
        <w:tabs>
          <w:tab w:val="clear" w:pos="360"/>
          <w:tab w:val="num" w:pos="540"/>
        </w:tabs>
        <w:spacing w:line="280" w:lineRule="atLeast"/>
        <w:ind w:left="540" w:hanging="540"/>
        <w:rPr>
          <w:rFonts w:ascii="Tahoma" w:hAnsi="Tahoma" w:cs="Tahoma"/>
          <w:color w:val="000080"/>
          <w:sz w:val="20"/>
          <w:szCs w:val="20"/>
        </w:rPr>
      </w:pPr>
      <w:r>
        <w:rPr>
          <w:rFonts w:ascii="Tahoma" w:hAnsi="Tahoma" w:cs="Tahoma"/>
          <w:color w:val="000080"/>
          <w:sz w:val="20"/>
        </w:rPr>
        <w:t>In preparing this Report,</w:t>
      </w:r>
      <w:r w:rsidRPr="00F46F0D">
        <w:rPr>
          <w:rFonts w:ascii="Tahoma" w:hAnsi="Tahoma" w:cs="Tahoma"/>
          <w:color w:val="000080"/>
          <w:sz w:val="20"/>
        </w:rPr>
        <w:t xml:space="preserve"> we have relied upon a number of third party reports</w:t>
      </w:r>
      <w:r>
        <w:rPr>
          <w:rFonts w:ascii="Tahoma" w:hAnsi="Tahoma" w:cs="Tahoma"/>
          <w:color w:val="000080"/>
          <w:sz w:val="20"/>
        </w:rPr>
        <w:t xml:space="preserve"> (AEC</w:t>
      </w:r>
      <w:r w:rsidR="00585F6E">
        <w:rPr>
          <w:rFonts w:ascii="Tahoma" w:hAnsi="Tahoma" w:cs="Tahoma"/>
          <w:color w:val="000080"/>
          <w:sz w:val="20"/>
        </w:rPr>
        <w:t xml:space="preserve">/operator </w:t>
      </w:r>
      <w:r>
        <w:rPr>
          <w:rFonts w:ascii="Tahoma" w:hAnsi="Tahoma" w:cs="Tahoma"/>
          <w:color w:val="000080"/>
          <w:sz w:val="20"/>
        </w:rPr>
        <w:t xml:space="preserve">subscriber/traffic </w:t>
      </w:r>
      <w:r w:rsidR="00585F6E">
        <w:rPr>
          <w:rFonts w:ascii="Tahoma" w:hAnsi="Tahoma" w:cs="Tahoma"/>
          <w:color w:val="000080"/>
          <w:sz w:val="20"/>
        </w:rPr>
        <w:t>estimates</w:t>
      </w:r>
      <w:r>
        <w:rPr>
          <w:rFonts w:ascii="Tahoma" w:hAnsi="Tahoma" w:cs="Tahoma"/>
          <w:color w:val="000080"/>
          <w:sz w:val="20"/>
        </w:rPr>
        <w:t>, network/cost data</w:t>
      </w:r>
      <w:r w:rsidRPr="00F46F0D">
        <w:rPr>
          <w:rFonts w:ascii="Tahoma" w:hAnsi="Tahoma" w:cs="Tahoma"/>
          <w:color w:val="000080"/>
          <w:sz w:val="20"/>
        </w:rPr>
        <w:t xml:space="preserve">, etc).  We have not </w:t>
      </w:r>
      <w:r w:rsidRPr="00F46F0D">
        <w:rPr>
          <w:rFonts w:ascii="Tahoma" w:hAnsi="Tahoma" w:cs="Tahoma"/>
          <w:color w:val="000080"/>
          <w:sz w:val="20"/>
          <w:szCs w:val="20"/>
        </w:rPr>
        <w:t>undertaken any form of investigation, verification, audit or other work in relation to such information.  In particular, the scope of our work has not included validating subscriber, traffic, tariffs (revenues) and cost assumptions contained in third party source documents.  Accordingly we express no view on the reasonableness of said third party source documents.</w:t>
      </w:r>
    </w:p>
    <w:p w:rsidR="001C59A8" w:rsidRDefault="001C59A8" w:rsidP="00857CB5">
      <w:pPr>
        <w:spacing w:line="280" w:lineRule="atLeast"/>
        <w:rPr>
          <w:rFonts w:ascii="Tahoma" w:hAnsi="Tahoma" w:cs="Tahoma"/>
          <w:color w:val="000080"/>
          <w:sz w:val="20"/>
          <w:szCs w:val="20"/>
        </w:rPr>
      </w:pPr>
    </w:p>
    <w:p w:rsidR="007040A0" w:rsidRDefault="006B60A3" w:rsidP="00857CB5">
      <w:pPr>
        <w:numPr>
          <w:ilvl w:val="1"/>
          <w:numId w:val="2"/>
        </w:numPr>
        <w:tabs>
          <w:tab w:val="clear" w:pos="360"/>
          <w:tab w:val="num" w:pos="540"/>
        </w:tabs>
        <w:spacing w:line="280" w:lineRule="atLeast"/>
        <w:ind w:left="540" w:hanging="540"/>
        <w:rPr>
          <w:rFonts w:ascii="Tahoma" w:hAnsi="Tahoma" w:cs="Tahoma"/>
          <w:color w:val="000080"/>
          <w:sz w:val="20"/>
          <w:szCs w:val="20"/>
        </w:rPr>
      </w:pPr>
      <w:r>
        <w:rPr>
          <w:rFonts w:ascii="Tahoma" w:hAnsi="Tahoma" w:cs="Tahoma"/>
          <w:color w:val="000080"/>
          <w:sz w:val="20"/>
          <w:szCs w:val="20"/>
        </w:rPr>
        <w:t>T</w:t>
      </w:r>
      <w:r w:rsidR="001C59A8" w:rsidRPr="00F46F0D">
        <w:rPr>
          <w:rFonts w:ascii="Tahoma" w:hAnsi="Tahoma" w:cs="Tahoma"/>
          <w:color w:val="000080"/>
          <w:sz w:val="20"/>
          <w:szCs w:val="20"/>
        </w:rPr>
        <w:t xml:space="preserve">he scope of our work has not involved us in performing tests necessary for the purpose of expressing an opinion on the accuracy of any </w:t>
      </w:r>
      <w:r w:rsidR="001C59A8">
        <w:rPr>
          <w:rFonts w:ascii="Tahoma" w:hAnsi="Tahoma" w:cs="Tahoma"/>
          <w:color w:val="000080"/>
          <w:sz w:val="20"/>
          <w:szCs w:val="20"/>
        </w:rPr>
        <w:t xml:space="preserve">subscriber/traffic </w:t>
      </w:r>
      <w:r w:rsidR="001C59A8" w:rsidRPr="00F46F0D">
        <w:rPr>
          <w:rFonts w:ascii="Tahoma" w:hAnsi="Tahoma" w:cs="Tahoma"/>
          <w:color w:val="000080"/>
          <w:sz w:val="20"/>
          <w:szCs w:val="20"/>
        </w:rPr>
        <w:t>forecast</w:t>
      </w:r>
      <w:r w:rsidR="001C59A8">
        <w:rPr>
          <w:rFonts w:ascii="Tahoma" w:hAnsi="Tahoma" w:cs="Tahoma"/>
          <w:color w:val="000080"/>
          <w:sz w:val="20"/>
          <w:szCs w:val="20"/>
        </w:rPr>
        <w:t>s</w:t>
      </w:r>
      <w:r w:rsidR="001C59A8" w:rsidRPr="00F46F0D">
        <w:rPr>
          <w:rFonts w:ascii="Tahoma" w:hAnsi="Tahoma" w:cs="Tahoma"/>
          <w:color w:val="000080"/>
          <w:sz w:val="20"/>
          <w:szCs w:val="20"/>
        </w:rPr>
        <w:t xml:space="preserve"> and/or projection</w:t>
      </w:r>
      <w:r w:rsidR="001C59A8">
        <w:rPr>
          <w:rFonts w:ascii="Tahoma" w:hAnsi="Tahoma" w:cs="Tahoma"/>
          <w:color w:val="000080"/>
          <w:sz w:val="20"/>
          <w:szCs w:val="20"/>
        </w:rPr>
        <w:t>s</w:t>
      </w:r>
      <w:r w:rsidR="001C59A8" w:rsidRPr="00F46F0D">
        <w:rPr>
          <w:rFonts w:ascii="Tahoma" w:hAnsi="Tahoma" w:cs="Tahoma"/>
          <w:color w:val="000080"/>
          <w:sz w:val="20"/>
          <w:szCs w:val="20"/>
        </w:rPr>
        <w:t>.  Neither do we express any overall opinion on the reliability of the forecasts/projections nor the reasonableness of the underlying assumptions.  Since</w:t>
      </w:r>
      <w:r w:rsidR="001C59A8">
        <w:rPr>
          <w:rFonts w:ascii="Tahoma" w:hAnsi="Tahoma" w:cs="Tahoma"/>
          <w:color w:val="000080"/>
          <w:sz w:val="20"/>
          <w:szCs w:val="20"/>
        </w:rPr>
        <w:t xml:space="preserve"> any </w:t>
      </w:r>
      <w:r w:rsidR="001C59A8" w:rsidRPr="00F46F0D">
        <w:rPr>
          <w:rFonts w:ascii="Tahoma" w:hAnsi="Tahoma" w:cs="Tahoma"/>
          <w:color w:val="000080"/>
          <w:sz w:val="20"/>
          <w:szCs w:val="20"/>
        </w:rPr>
        <w:t xml:space="preserve">forecast and/or projection relates to the future and may be affected by unforeseen events, actual results </w:t>
      </w:r>
      <w:r w:rsidR="001C59A8">
        <w:rPr>
          <w:rFonts w:ascii="Tahoma" w:hAnsi="Tahoma" w:cs="Tahoma"/>
          <w:color w:val="000080"/>
          <w:sz w:val="20"/>
          <w:szCs w:val="20"/>
        </w:rPr>
        <w:t xml:space="preserve">after our Base Case date of </w:t>
      </w:r>
      <w:r w:rsidR="0039268B">
        <w:rPr>
          <w:rFonts w:ascii="Tahoma" w:hAnsi="Tahoma" w:cs="Tahoma"/>
          <w:color w:val="000080"/>
          <w:sz w:val="20"/>
          <w:szCs w:val="20"/>
        </w:rPr>
        <w:t>Ju</w:t>
      </w:r>
      <w:r w:rsidR="00F907F9">
        <w:rPr>
          <w:rFonts w:ascii="Tahoma" w:hAnsi="Tahoma" w:cs="Tahoma"/>
          <w:color w:val="000080"/>
          <w:sz w:val="20"/>
          <w:szCs w:val="20"/>
        </w:rPr>
        <w:t>ly</w:t>
      </w:r>
      <w:r w:rsidR="0039268B">
        <w:rPr>
          <w:rFonts w:ascii="Tahoma" w:hAnsi="Tahoma" w:cs="Tahoma"/>
          <w:color w:val="000080"/>
          <w:sz w:val="20"/>
          <w:szCs w:val="20"/>
        </w:rPr>
        <w:t xml:space="preserve"> </w:t>
      </w:r>
      <w:r w:rsidR="00F907F9">
        <w:rPr>
          <w:rFonts w:ascii="Tahoma" w:hAnsi="Tahoma" w:cs="Tahoma"/>
          <w:color w:val="000080"/>
          <w:sz w:val="20"/>
          <w:szCs w:val="20"/>
        </w:rPr>
        <w:t>2</w:t>
      </w:r>
      <w:r w:rsidR="008A6BB1">
        <w:rPr>
          <w:rFonts w:ascii="Tahoma" w:hAnsi="Tahoma" w:cs="Tahoma"/>
          <w:color w:val="000080"/>
          <w:sz w:val="20"/>
          <w:szCs w:val="20"/>
        </w:rPr>
        <w:t>4</w:t>
      </w:r>
      <w:r w:rsidR="0039268B">
        <w:rPr>
          <w:rFonts w:ascii="Tahoma" w:hAnsi="Tahoma" w:cs="Tahoma"/>
          <w:color w:val="000080"/>
          <w:sz w:val="20"/>
          <w:szCs w:val="20"/>
        </w:rPr>
        <w:t xml:space="preserve">, </w:t>
      </w:r>
      <w:r w:rsidR="001C59A8">
        <w:rPr>
          <w:rFonts w:ascii="Tahoma" w:hAnsi="Tahoma" w:cs="Tahoma"/>
          <w:color w:val="000080"/>
          <w:sz w:val="20"/>
          <w:szCs w:val="20"/>
        </w:rPr>
        <w:t>201</w:t>
      </w:r>
      <w:r w:rsidR="00585F6E">
        <w:rPr>
          <w:rFonts w:ascii="Tahoma" w:hAnsi="Tahoma" w:cs="Tahoma"/>
          <w:color w:val="000080"/>
          <w:sz w:val="20"/>
          <w:szCs w:val="20"/>
        </w:rPr>
        <w:t>2</w:t>
      </w:r>
      <w:r w:rsidR="001C59A8" w:rsidRPr="00F46F0D">
        <w:rPr>
          <w:rFonts w:ascii="Tahoma" w:hAnsi="Tahoma" w:cs="Tahoma"/>
          <w:color w:val="000080"/>
          <w:sz w:val="20"/>
          <w:szCs w:val="20"/>
        </w:rPr>
        <w:t xml:space="preserve"> are likely to be different from those forecast/projected because events and circumstances do not necessarily occur as expected.  Such differences may or may not be mater</w:t>
      </w:r>
      <w:r w:rsidR="001C59A8">
        <w:rPr>
          <w:rFonts w:ascii="Tahoma" w:hAnsi="Tahoma" w:cs="Tahoma"/>
          <w:color w:val="000080"/>
          <w:sz w:val="20"/>
          <w:szCs w:val="20"/>
        </w:rPr>
        <w:t>ial.  Such prospective</w:t>
      </w:r>
      <w:r w:rsidR="001C59A8" w:rsidRPr="00F46F0D">
        <w:rPr>
          <w:rFonts w:ascii="Tahoma" w:hAnsi="Tahoma" w:cs="Tahoma"/>
          <w:color w:val="000080"/>
          <w:sz w:val="20"/>
          <w:szCs w:val="20"/>
        </w:rPr>
        <w:t xml:space="preserve"> information is not s</w:t>
      </w:r>
      <w:r w:rsidR="001C59A8">
        <w:rPr>
          <w:rFonts w:ascii="Tahoma" w:hAnsi="Tahoma" w:cs="Tahoma"/>
          <w:color w:val="000080"/>
          <w:sz w:val="20"/>
          <w:szCs w:val="20"/>
        </w:rPr>
        <w:t xml:space="preserve">usceptible to audit and </w:t>
      </w:r>
      <w:r>
        <w:rPr>
          <w:rFonts w:ascii="Tahoma" w:hAnsi="Tahoma" w:cs="Tahoma"/>
          <w:color w:val="000080"/>
          <w:sz w:val="20"/>
          <w:szCs w:val="20"/>
        </w:rPr>
        <w:t xml:space="preserve">Deloitte </w:t>
      </w:r>
      <w:r w:rsidR="001C59A8" w:rsidRPr="00F46F0D">
        <w:rPr>
          <w:rFonts w:ascii="Tahoma" w:hAnsi="Tahoma" w:cs="Tahoma"/>
          <w:color w:val="000080"/>
          <w:sz w:val="20"/>
          <w:szCs w:val="20"/>
        </w:rPr>
        <w:t xml:space="preserve">expresses no opinion as to whether the actual results achieved will </w:t>
      </w:r>
      <w:r w:rsidR="001C59A8" w:rsidRPr="00F46F0D">
        <w:rPr>
          <w:rFonts w:ascii="Tahoma" w:hAnsi="Tahoma" w:cs="Tahoma"/>
          <w:i/>
          <w:iCs/>
          <w:color w:val="000080"/>
          <w:sz w:val="20"/>
          <w:szCs w:val="20"/>
        </w:rPr>
        <w:t>ex post</w:t>
      </w:r>
      <w:r w:rsidR="001C59A8" w:rsidRPr="00F46F0D">
        <w:rPr>
          <w:rFonts w:ascii="Tahoma" w:hAnsi="Tahoma" w:cs="Tahoma"/>
          <w:color w:val="000080"/>
          <w:sz w:val="20"/>
          <w:szCs w:val="20"/>
        </w:rPr>
        <w:t xml:space="preserve"> correspond</w:t>
      </w:r>
      <w:r w:rsidR="001C59A8">
        <w:rPr>
          <w:rFonts w:ascii="Tahoma" w:hAnsi="Tahoma" w:cs="Tahoma"/>
          <w:color w:val="000080"/>
          <w:sz w:val="20"/>
          <w:szCs w:val="20"/>
        </w:rPr>
        <w:t xml:space="preserve"> to those </w:t>
      </w:r>
      <w:r w:rsidR="001C59A8" w:rsidRPr="00F46F0D">
        <w:rPr>
          <w:rFonts w:ascii="Tahoma" w:hAnsi="Tahoma" w:cs="Tahoma"/>
          <w:color w:val="000080"/>
          <w:sz w:val="20"/>
          <w:szCs w:val="20"/>
        </w:rPr>
        <w:t>forecast or projected.</w:t>
      </w:r>
    </w:p>
    <w:p w:rsidR="00DD7B0B" w:rsidRDefault="00DD7B0B" w:rsidP="006E164F">
      <w:pPr>
        <w:pStyle w:val="ListParagraph"/>
        <w:rPr>
          <w:rFonts w:ascii="Tahoma" w:hAnsi="Tahoma" w:cs="Tahoma"/>
          <w:color w:val="000080"/>
          <w:sz w:val="20"/>
          <w:szCs w:val="20"/>
        </w:rPr>
      </w:pPr>
    </w:p>
    <w:p w:rsidR="00DD7B0B" w:rsidRDefault="00DD7B0B" w:rsidP="00857CB5">
      <w:pPr>
        <w:numPr>
          <w:ilvl w:val="1"/>
          <w:numId w:val="2"/>
        </w:numPr>
        <w:tabs>
          <w:tab w:val="clear" w:pos="360"/>
          <w:tab w:val="num" w:pos="540"/>
        </w:tabs>
        <w:spacing w:line="280" w:lineRule="atLeast"/>
        <w:ind w:left="540" w:hanging="540"/>
        <w:rPr>
          <w:rFonts w:ascii="Tahoma" w:hAnsi="Tahoma" w:cs="Tahoma"/>
          <w:color w:val="000080"/>
          <w:sz w:val="20"/>
          <w:szCs w:val="20"/>
        </w:rPr>
      </w:pPr>
      <w:r>
        <w:rPr>
          <w:rFonts w:ascii="Tahoma" w:hAnsi="Tahoma" w:cs="Tahoma"/>
          <w:color w:val="000080"/>
          <w:sz w:val="20"/>
          <w:szCs w:val="20"/>
        </w:rPr>
        <w:t xml:space="preserve">Due to confidential information, some parts of the text are removed in the public version of the document. These parts are replaces by an ellipsis enclosed in square brackets – e.g. […]. </w:t>
      </w:r>
    </w:p>
    <w:p w:rsidR="007040A0" w:rsidRDefault="007040A0" w:rsidP="007040A0">
      <w:pPr>
        <w:pStyle w:val="ListParagraph"/>
        <w:rPr>
          <w:rFonts w:ascii="Tahoma" w:hAnsi="Tahoma" w:cs="Tahoma"/>
          <w:sz w:val="20"/>
          <w:szCs w:val="20"/>
        </w:rPr>
      </w:pPr>
    </w:p>
    <w:p w:rsidR="001C59A8" w:rsidRPr="007040A0" w:rsidRDefault="000822B0" w:rsidP="007040A0">
      <w:pPr>
        <w:spacing w:line="280" w:lineRule="atLeast"/>
        <w:jc w:val="left"/>
        <w:rPr>
          <w:rFonts w:ascii="Tahoma" w:hAnsi="Tahoma" w:cs="Tahoma"/>
          <w:color w:val="000080"/>
          <w:sz w:val="20"/>
          <w:szCs w:val="20"/>
        </w:rPr>
      </w:pPr>
      <w:r w:rsidRPr="007040A0">
        <w:rPr>
          <w:rFonts w:ascii="Tahoma" w:hAnsi="Tahoma" w:cs="Tahoma"/>
          <w:sz w:val="20"/>
          <w:szCs w:val="20"/>
        </w:rPr>
        <w:br w:type="page"/>
      </w:r>
    </w:p>
    <w:p w:rsidR="001C59A8" w:rsidRPr="00C85235" w:rsidRDefault="001C59A8" w:rsidP="001C59A8">
      <w:pPr>
        <w:pStyle w:val="Heading1"/>
        <w:pBdr>
          <w:top w:val="single" w:sz="4" w:space="1" w:color="FFFFFF"/>
          <w:left w:val="single" w:sz="4" w:space="4" w:color="FFFFFF"/>
          <w:bottom w:val="single" w:sz="4" w:space="1" w:color="FFFFFF"/>
          <w:right w:val="single" w:sz="4" w:space="4" w:color="FFFFFF"/>
        </w:pBdr>
        <w:shd w:val="clear" w:color="auto" w:fill="000080"/>
        <w:rPr>
          <w:rFonts w:ascii="Tahoma" w:hAnsi="Tahoma" w:cs="Tahoma"/>
          <w:caps/>
          <w:snapToGrid w:val="0"/>
          <w:color w:val="FFFFFF"/>
          <w:kern w:val="0"/>
          <w:sz w:val="28"/>
          <w:szCs w:val="20"/>
          <w:lang w:eastAsia="en-US"/>
        </w:rPr>
      </w:pPr>
      <w:bookmarkStart w:id="9" w:name="_Toc330908217"/>
      <w:r>
        <w:rPr>
          <w:rFonts w:ascii="Tahoma" w:hAnsi="Tahoma" w:cs="Tahoma"/>
          <w:color w:val="FFFFFF"/>
        </w:rPr>
        <w:t>2</w:t>
      </w:r>
      <w:r w:rsidRPr="00C85235">
        <w:rPr>
          <w:rFonts w:ascii="Tahoma" w:hAnsi="Tahoma" w:cs="Tahoma"/>
          <w:caps/>
          <w:snapToGrid w:val="0"/>
          <w:color w:val="FFFFFF"/>
          <w:kern w:val="0"/>
          <w:sz w:val="28"/>
          <w:szCs w:val="20"/>
          <w:lang w:eastAsia="en-US"/>
        </w:rPr>
        <w:tab/>
      </w:r>
      <w:r w:rsidR="009A3A24">
        <w:rPr>
          <w:rFonts w:ascii="Tahoma" w:hAnsi="Tahoma" w:cs="Tahoma"/>
          <w:caps/>
          <w:snapToGrid w:val="0"/>
          <w:color w:val="FFFFFF"/>
          <w:kern w:val="0"/>
          <w:sz w:val="28"/>
          <w:szCs w:val="20"/>
          <w:lang w:eastAsia="en-US"/>
        </w:rPr>
        <w:t xml:space="preserve">Demand </w:t>
      </w:r>
      <w:r>
        <w:rPr>
          <w:rFonts w:ascii="Tahoma" w:hAnsi="Tahoma" w:cs="Tahoma"/>
          <w:caps/>
          <w:snapToGrid w:val="0"/>
          <w:color w:val="FFFFFF"/>
          <w:kern w:val="0"/>
          <w:sz w:val="28"/>
          <w:szCs w:val="20"/>
          <w:lang w:eastAsia="en-US"/>
        </w:rPr>
        <w:t xml:space="preserve"> </w:t>
      </w:r>
      <w:r w:rsidR="009A3A24">
        <w:rPr>
          <w:rFonts w:ascii="Tahoma" w:hAnsi="Tahoma" w:cs="Tahoma"/>
          <w:caps/>
          <w:snapToGrid w:val="0"/>
          <w:color w:val="FFFFFF"/>
          <w:kern w:val="0"/>
          <w:sz w:val="28"/>
          <w:szCs w:val="20"/>
          <w:lang w:eastAsia="en-US"/>
        </w:rPr>
        <w:t>projections</w:t>
      </w:r>
      <w:bookmarkEnd w:id="9"/>
    </w:p>
    <w:p w:rsidR="001C59A8" w:rsidRPr="00C85235" w:rsidRDefault="001C59A8" w:rsidP="001C59A8">
      <w:pPr>
        <w:ind w:left="720" w:hanging="720"/>
        <w:jc w:val="left"/>
        <w:rPr>
          <w:rFonts w:ascii="Tahoma" w:hAnsi="Tahoma" w:cs="Tahoma"/>
          <w:color w:val="000080"/>
          <w:sz w:val="20"/>
          <w:szCs w:val="20"/>
        </w:rPr>
      </w:pPr>
    </w:p>
    <w:p w:rsidR="005D7B0E" w:rsidRDefault="005D7B0E"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Demand used for modelling and prepa</w:t>
      </w:r>
      <w:r w:rsidR="00022C48">
        <w:rPr>
          <w:rFonts w:ascii="Tahoma" w:hAnsi="Tahoma" w:cs="Tahoma"/>
          <w:color w:val="000080"/>
          <w:sz w:val="20"/>
          <w:szCs w:val="20"/>
        </w:rPr>
        <w:t>ra</w:t>
      </w:r>
      <w:r>
        <w:rPr>
          <w:rFonts w:ascii="Tahoma" w:hAnsi="Tahoma" w:cs="Tahoma"/>
          <w:color w:val="000080"/>
          <w:sz w:val="20"/>
          <w:szCs w:val="20"/>
        </w:rPr>
        <w:t xml:space="preserve">tion  of LRIC estimates </w:t>
      </w:r>
      <w:r w:rsidR="000F7C8D">
        <w:rPr>
          <w:rFonts w:ascii="Tahoma" w:hAnsi="Tahoma" w:cs="Tahoma"/>
          <w:color w:val="000080"/>
          <w:sz w:val="20"/>
          <w:szCs w:val="20"/>
        </w:rPr>
        <w:t xml:space="preserve">are </w:t>
      </w:r>
      <w:r>
        <w:rPr>
          <w:rFonts w:ascii="Tahoma" w:hAnsi="Tahoma" w:cs="Tahoma"/>
          <w:color w:val="000080"/>
          <w:sz w:val="20"/>
          <w:szCs w:val="20"/>
        </w:rPr>
        <w:t>best described in several parts:</w:t>
      </w:r>
    </w:p>
    <w:p w:rsidR="005D7B0E" w:rsidRDefault="005D7B0E"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Number of subscribers of different services</w:t>
      </w:r>
    </w:p>
    <w:p w:rsidR="005D7B0E" w:rsidRDefault="005D7B0E"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Aggregate throughput for different services in the core network</w:t>
      </w:r>
    </w:p>
    <w:p w:rsidR="005D7B0E" w:rsidRDefault="005D7B0E"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Number of bitstream subscribers per different level of bitstream access</w:t>
      </w:r>
    </w:p>
    <w:p w:rsidR="005D7B0E" w:rsidRDefault="005D7B0E" w:rsidP="005D7B0E">
      <w:pPr>
        <w:spacing w:line="280" w:lineRule="atLeast"/>
        <w:ind w:left="540"/>
        <w:jc w:val="left"/>
        <w:rPr>
          <w:rFonts w:ascii="Tahoma" w:hAnsi="Tahoma" w:cs="Tahoma"/>
          <w:color w:val="000080"/>
          <w:sz w:val="20"/>
          <w:szCs w:val="20"/>
        </w:rPr>
      </w:pPr>
      <w:r>
        <w:rPr>
          <w:rFonts w:ascii="Tahoma" w:hAnsi="Tahoma" w:cs="Tahoma"/>
          <w:color w:val="000080"/>
          <w:sz w:val="20"/>
          <w:szCs w:val="20"/>
        </w:rPr>
        <w:t xml:space="preserve">We address each one of these </w:t>
      </w:r>
      <w:r w:rsidR="00110AA0">
        <w:rPr>
          <w:rFonts w:ascii="Tahoma" w:hAnsi="Tahoma" w:cs="Tahoma"/>
          <w:color w:val="000080"/>
          <w:sz w:val="20"/>
          <w:szCs w:val="20"/>
        </w:rPr>
        <w:t>below in detail.</w:t>
      </w:r>
    </w:p>
    <w:p w:rsidR="005D7B0E" w:rsidRDefault="005D7B0E" w:rsidP="005D7B0E">
      <w:pPr>
        <w:spacing w:line="280" w:lineRule="atLeast"/>
        <w:rPr>
          <w:rFonts w:ascii="Tahoma" w:hAnsi="Tahoma" w:cs="Tahoma"/>
          <w:color w:val="000080"/>
          <w:sz w:val="20"/>
          <w:szCs w:val="20"/>
        </w:rPr>
      </w:pPr>
    </w:p>
    <w:p w:rsidR="006D4D7B" w:rsidRDefault="006D4D7B"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In preparation of base case</w:t>
      </w:r>
      <w:r w:rsidR="00733700">
        <w:rPr>
          <w:rFonts w:ascii="Tahoma" w:hAnsi="Tahoma" w:cs="Tahoma"/>
          <w:color w:val="000080"/>
          <w:sz w:val="20"/>
          <w:szCs w:val="20"/>
        </w:rPr>
        <w:t xml:space="preserve"> scenario</w:t>
      </w:r>
      <w:r>
        <w:rPr>
          <w:rFonts w:ascii="Tahoma" w:hAnsi="Tahoma" w:cs="Tahoma"/>
          <w:color w:val="000080"/>
          <w:sz w:val="20"/>
          <w:szCs w:val="20"/>
        </w:rPr>
        <w:t xml:space="preserve"> we have relied on a number of inputs from industry. </w:t>
      </w:r>
      <w:r w:rsidR="00F907F9">
        <w:rPr>
          <w:rFonts w:ascii="Tahoma" w:hAnsi="Tahoma" w:cs="Tahoma"/>
          <w:color w:val="000080"/>
          <w:sz w:val="20"/>
          <w:szCs w:val="20"/>
        </w:rPr>
        <w:t>T</w:t>
      </w:r>
      <w:r>
        <w:rPr>
          <w:rFonts w:ascii="Tahoma" w:hAnsi="Tahoma" w:cs="Tahoma"/>
          <w:color w:val="000080"/>
          <w:sz w:val="20"/>
          <w:szCs w:val="20"/>
        </w:rPr>
        <w:t xml:space="preserve">hose inputs were available for year 2014 the latest, </w:t>
      </w:r>
      <w:r w:rsidR="00F907F9">
        <w:rPr>
          <w:rFonts w:ascii="Tahoma" w:hAnsi="Tahoma" w:cs="Tahoma"/>
          <w:color w:val="000080"/>
          <w:sz w:val="20"/>
          <w:szCs w:val="20"/>
        </w:rPr>
        <w:t xml:space="preserve">but due to expected dynamics and related unpredictability of market outcome, </w:t>
      </w:r>
      <w:r>
        <w:rPr>
          <w:rFonts w:ascii="Tahoma" w:hAnsi="Tahoma" w:cs="Tahoma"/>
          <w:color w:val="000080"/>
          <w:sz w:val="20"/>
          <w:szCs w:val="20"/>
        </w:rPr>
        <w:t>our base case refers to year 201</w:t>
      </w:r>
      <w:r w:rsidR="00F907F9">
        <w:rPr>
          <w:rFonts w:ascii="Tahoma" w:hAnsi="Tahoma" w:cs="Tahoma"/>
          <w:color w:val="000080"/>
          <w:sz w:val="20"/>
          <w:szCs w:val="20"/>
        </w:rPr>
        <w:t>3</w:t>
      </w:r>
      <w:r>
        <w:rPr>
          <w:rFonts w:ascii="Tahoma" w:hAnsi="Tahoma" w:cs="Tahoma"/>
          <w:color w:val="000080"/>
          <w:sz w:val="20"/>
          <w:szCs w:val="20"/>
        </w:rPr>
        <w:t xml:space="preserve">. </w:t>
      </w:r>
    </w:p>
    <w:p w:rsidR="006D4D7B" w:rsidRDefault="006D4D7B" w:rsidP="006D4D7B">
      <w:pPr>
        <w:spacing w:line="280" w:lineRule="atLeast"/>
        <w:ind w:left="540"/>
        <w:jc w:val="left"/>
        <w:rPr>
          <w:rFonts w:ascii="Tahoma" w:hAnsi="Tahoma" w:cs="Tahoma"/>
          <w:color w:val="000080"/>
          <w:sz w:val="20"/>
          <w:szCs w:val="20"/>
        </w:rPr>
      </w:pPr>
    </w:p>
    <w:p w:rsidR="00110AA0" w:rsidRDefault="00110AA0" w:rsidP="005A7DD2">
      <w:pPr>
        <w:numPr>
          <w:ilvl w:val="1"/>
          <w:numId w:val="3"/>
        </w:numPr>
        <w:spacing w:line="280" w:lineRule="atLeast"/>
        <w:jc w:val="left"/>
        <w:rPr>
          <w:rFonts w:ascii="Tahoma" w:hAnsi="Tahoma" w:cs="Tahoma"/>
          <w:color w:val="000080"/>
          <w:sz w:val="20"/>
          <w:szCs w:val="20"/>
        </w:rPr>
      </w:pPr>
      <w:r>
        <w:rPr>
          <w:rFonts w:ascii="Tahoma" w:hAnsi="Tahoma" w:cs="Tahoma"/>
          <w:color w:val="000080"/>
          <w:sz w:val="20"/>
          <w:szCs w:val="20"/>
        </w:rPr>
        <w:t>Number of subscribers of different services is divided into three main categories:</w:t>
      </w:r>
    </w:p>
    <w:p w:rsidR="005D7B0E" w:rsidRDefault="00F907F9"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I</w:t>
      </w:r>
      <w:r w:rsidR="005D7B0E">
        <w:rPr>
          <w:rFonts w:ascii="Tahoma" w:hAnsi="Tahoma" w:cs="Tahoma"/>
          <w:color w:val="000080"/>
          <w:sz w:val="20"/>
          <w:szCs w:val="20"/>
        </w:rPr>
        <w:t xml:space="preserve">nternet users </w:t>
      </w:r>
      <w:r>
        <w:rPr>
          <w:rFonts w:ascii="Tahoma" w:hAnsi="Tahoma" w:cs="Tahoma"/>
          <w:color w:val="000080"/>
          <w:sz w:val="20"/>
          <w:szCs w:val="20"/>
        </w:rPr>
        <w:t>over ADSL technology</w:t>
      </w:r>
    </w:p>
    <w:p w:rsidR="005D7B0E" w:rsidRDefault="005D7B0E"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IPTV users</w:t>
      </w:r>
    </w:p>
    <w:p w:rsidR="005D7B0E" w:rsidRDefault="005D7B0E" w:rsidP="005A7DD2">
      <w:pPr>
        <w:numPr>
          <w:ilvl w:val="2"/>
          <w:numId w:val="3"/>
        </w:numPr>
        <w:tabs>
          <w:tab w:val="clear" w:pos="720"/>
        </w:tabs>
        <w:spacing w:line="280" w:lineRule="atLeast"/>
        <w:ind w:left="1134" w:hanging="153"/>
        <w:jc w:val="left"/>
        <w:rPr>
          <w:rFonts w:ascii="Tahoma" w:hAnsi="Tahoma" w:cs="Tahoma"/>
          <w:color w:val="000080"/>
          <w:sz w:val="20"/>
          <w:szCs w:val="20"/>
        </w:rPr>
      </w:pPr>
      <w:r>
        <w:rPr>
          <w:rFonts w:ascii="Tahoma" w:hAnsi="Tahoma" w:cs="Tahoma"/>
          <w:color w:val="000080"/>
          <w:sz w:val="20"/>
          <w:szCs w:val="20"/>
        </w:rPr>
        <w:t>VoIP users over ADSL lines</w:t>
      </w:r>
    </w:p>
    <w:p w:rsidR="00110AA0" w:rsidRDefault="00110AA0" w:rsidP="00110AA0">
      <w:pPr>
        <w:spacing w:line="280" w:lineRule="atLeast"/>
        <w:ind w:left="540"/>
        <w:jc w:val="left"/>
        <w:rPr>
          <w:rFonts w:ascii="Tahoma" w:hAnsi="Tahoma" w:cs="Tahoma"/>
          <w:color w:val="000080"/>
          <w:sz w:val="20"/>
          <w:szCs w:val="20"/>
        </w:rPr>
      </w:pPr>
    </w:p>
    <w:p w:rsidR="00110AA0" w:rsidRDefault="00B94325"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 xml:space="preserve">As the broadband penetration in Macedonia is relatively low compared to the EU27, </w:t>
      </w:r>
      <w:r w:rsidR="00022C48">
        <w:rPr>
          <w:rFonts w:ascii="Tahoma" w:hAnsi="Tahoma" w:cs="Tahoma"/>
          <w:color w:val="000080"/>
          <w:sz w:val="20"/>
          <w:szCs w:val="20"/>
        </w:rPr>
        <w:t xml:space="preserve">there is still space for growth. In that sense, </w:t>
      </w:r>
      <w:r w:rsidR="005D30C2">
        <w:rPr>
          <w:rFonts w:ascii="Tahoma" w:hAnsi="Tahoma" w:cs="Tahoma"/>
          <w:color w:val="000080"/>
          <w:sz w:val="20"/>
          <w:szCs w:val="20"/>
        </w:rPr>
        <w:t>number of ADSL users is</w:t>
      </w:r>
      <w:r>
        <w:rPr>
          <w:rFonts w:ascii="Tahoma" w:hAnsi="Tahoma" w:cs="Tahoma"/>
          <w:color w:val="000080"/>
          <w:sz w:val="20"/>
          <w:szCs w:val="20"/>
        </w:rPr>
        <w:t xml:space="preserve"> projected based on historical </w:t>
      </w:r>
      <w:r w:rsidR="00CB3574">
        <w:rPr>
          <w:rFonts w:ascii="Tahoma" w:hAnsi="Tahoma" w:cs="Tahoma"/>
          <w:color w:val="000080"/>
          <w:sz w:val="20"/>
          <w:szCs w:val="20"/>
        </w:rPr>
        <w:t xml:space="preserve">growth </w:t>
      </w:r>
      <w:r>
        <w:rPr>
          <w:rFonts w:ascii="Tahoma" w:hAnsi="Tahoma" w:cs="Tahoma"/>
          <w:color w:val="000080"/>
          <w:sz w:val="20"/>
          <w:szCs w:val="20"/>
        </w:rPr>
        <w:t>data</w:t>
      </w:r>
      <w:r w:rsidR="00B5520B">
        <w:rPr>
          <w:rFonts w:ascii="Tahoma" w:hAnsi="Tahoma" w:cs="Tahoma"/>
          <w:color w:val="000080"/>
          <w:sz w:val="20"/>
          <w:szCs w:val="20"/>
        </w:rPr>
        <w:t xml:space="preserve"> (2011/2010)</w:t>
      </w:r>
      <w:r w:rsidR="00022C48">
        <w:rPr>
          <w:rFonts w:ascii="Tahoma" w:hAnsi="Tahoma" w:cs="Tahoma"/>
          <w:color w:val="000080"/>
          <w:sz w:val="20"/>
          <w:szCs w:val="20"/>
        </w:rPr>
        <w:t xml:space="preserve">. </w:t>
      </w:r>
      <w:r w:rsidR="00C10D9A">
        <w:rPr>
          <w:rFonts w:ascii="Tahoma" w:hAnsi="Tahoma" w:cs="Tahoma"/>
          <w:color w:val="000080"/>
          <w:sz w:val="20"/>
          <w:szCs w:val="20"/>
        </w:rPr>
        <w:t>N</w:t>
      </w:r>
      <w:r w:rsidR="00022C48">
        <w:rPr>
          <w:rFonts w:ascii="Tahoma" w:hAnsi="Tahoma" w:cs="Tahoma"/>
          <w:color w:val="000080"/>
          <w:sz w:val="20"/>
          <w:szCs w:val="20"/>
        </w:rPr>
        <w:t>umber of u</w:t>
      </w:r>
      <w:r w:rsidR="00733700">
        <w:rPr>
          <w:rFonts w:ascii="Tahoma" w:hAnsi="Tahoma" w:cs="Tahoma"/>
          <w:color w:val="000080"/>
          <w:sz w:val="20"/>
          <w:szCs w:val="20"/>
        </w:rPr>
        <w:t>sers applied in the model is thus</w:t>
      </w:r>
      <w:r w:rsidR="00022C48">
        <w:rPr>
          <w:rFonts w:ascii="Tahoma" w:hAnsi="Tahoma" w:cs="Tahoma"/>
          <w:color w:val="000080"/>
          <w:sz w:val="20"/>
          <w:szCs w:val="20"/>
        </w:rPr>
        <w:t xml:space="preserve"> </w:t>
      </w:r>
      <w:r w:rsidR="00B5520B" w:rsidRPr="00B5520B">
        <w:rPr>
          <w:rFonts w:ascii="Tahoma" w:hAnsi="Tahoma" w:cs="Tahoma"/>
          <w:color w:val="000080"/>
          <w:sz w:val="20"/>
          <w:szCs w:val="20"/>
        </w:rPr>
        <w:t>1</w:t>
      </w:r>
      <w:r w:rsidR="00AD2EBF">
        <w:rPr>
          <w:rFonts w:ascii="Tahoma" w:hAnsi="Tahoma" w:cs="Tahoma"/>
          <w:color w:val="000080"/>
          <w:sz w:val="20"/>
          <w:szCs w:val="20"/>
        </w:rPr>
        <w:t>65.577</w:t>
      </w:r>
      <w:r w:rsidR="00022C48">
        <w:rPr>
          <w:rFonts w:ascii="Tahoma" w:hAnsi="Tahoma" w:cs="Tahoma"/>
          <w:color w:val="000080"/>
          <w:sz w:val="20"/>
          <w:szCs w:val="20"/>
        </w:rPr>
        <w:t>.</w:t>
      </w:r>
    </w:p>
    <w:p w:rsidR="00110AA0" w:rsidRDefault="00110AA0" w:rsidP="00110AA0">
      <w:pPr>
        <w:spacing w:line="280" w:lineRule="atLeast"/>
        <w:ind w:left="540"/>
        <w:jc w:val="left"/>
        <w:rPr>
          <w:rFonts w:ascii="Tahoma" w:hAnsi="Tahoma" w:cs="Tahoma"/>
          <w:color w:val="000080"/>
          <w:sz w:val="20"/>
          <w:szCs w:val="20"/>
        </w:rPr>
      </w:pPr>
    </w:p>
    <w:p w:rsidR="005D30C2" w:rsidRDefault="00022C48"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 xml:space="preserve">Similar to </w:t>
      </w:r>
      <w:r w:rsidR="005D30C2">
        <w:rPr>
          <w:rFonts w:ascii="Tahoma" w:hAnsi="Tahoma" w:cs="Tahoma"/>
          <w:color w:val="000080"/>
          <w:sz w:val="20"/>
          <w:szCs w:val="20"/>
        </w:rPr>
        <w:t xml:space="preserve">broadband penetration, IPTV penetration is relatively low compared to EU27 </w:t>
      </w:r>
      <w:r w:rsidR="00B5520B">
        <w:rPr>
          <w:rFonts w:ascii="Tahoma" w:hAnsi="Tahoma" w:cs="Tahoma"/>
          <w:color w:val="000080"/>
          <w:sz w:val="20"/>
          <w:szCs w:val="20"/>
        </w:rPr>
        <w:t>so assuming that IPTV penetration growth will continue with same CAGR is likely to be a conservative scenario.</w:t>
      </w:r>
      <w:r w:rsidR="00733700">
        <w:rPr>
          <w:rFonts w:ascii="Tahoma" w:hAnsi="Tahoma" w:cs="Tahoma"/>
          <w:color w:val="000080"/>
          <w:sz w:val="20"/>
          <w:szCs w:val="20"/>
        </w:rPr>
        <w:t xml:space="preserve"> </w:t>
      </w:r>
      <w:r w:rsidR="00C10D9A">
        <w:rPr>
          <w:rFonts w:ascii="Tahoma" w:hAnsi="Tahoma" w:cs="Tahoma"/>
          <w:color w:val="000080"/>
          <w:sz w:val="20"/>
          <w:szCs w:val="20"/>
        </w:rPr>
        <w:t xml:space="preserve">Number of IPTV users in the model is then </w:t>
      </w:r>
      <w:r w:rsidR="00AD2EBF">
        <w:rPr>
          <w:rFonts w:ascii="Tahoma" w:hAnsi="Tahoma" w:cs="Tahoma"/>
          <w:color w:val="000080"/>
          <w:sz w:val="20"/>
          <w:szCs w:val="20"/>
        </w:rPr>
        <w:t>71.216</w:t>
      </w:r>
      <w:r w:rsidR="00C10D9A">
        <w:rPr>
          <w:rFonts w:ascii="Tahoma" w:hAnsi="Tahoma" w:cs="Tahoma"/>
          <w:color w:val="000080"/>
          <w:sz w:val="20"/>
          <w:szCs w:val="20"/>
        </w:rPr>
        <w:t>.</w:t>
      </w:r>
    </w:p>
    <w:p w:rsidR="00733700" w:rsidRDefault="00733700" w:rsidP="00733700">
      <w:pPr>
        <w:pStyle w:val="ListParagraph"/>
        <w:rPr>
          <w:rFonts w:ascii="Tahoma" w:hAnsi="Tahoma" w:cs="Tahoma"/>
          <w:color w:val="000080"/>
          <w:sz w:val="20"/>
          <w:szCs w:val="20"/>
        </w:rPr>
      </w:pPr>
    </w:p>
    <w:p w:rsidR="0096175F" w:rsidRPr="00FC23EA" w:rsidRDefault="00733700" w:rsidP="00857CB5">
      <w:pPr>
        <w:numPr>
          <w:ilvl w:val="1"/>
          <w:numId w:val="3"/>
        </w:numPr>
        <w:spacing w:line="280" w:lineRule="atLeast"/>
        <w:rPr>
          <w:rFonts w:ascii="Tahoma" w:hAnsi="Tahoma" w:cs="Tahoma"/>
          <w:color w:val="000080"/>
          <w:sz w:val="20"/>
          <w:szCs w:val="20"/>
        </w:rPr>
      </w:pPr>
      <w:r w:rsidRPr="00FC23EA">
        <w:rPr>
          <w:rFonts w:ascii="Tahoma" w:hAnsi="Tahoma" w:cs="Tahoma"/>
          <w:color w:val="000080"/>
          <w:sz w:val="20"/>
          <w:szCs w:val="20"/>
        </w:rPr>
        <w:t xml:space="preserve">It should be noted that although IPTV subscribers CAGR is relatively high – i.e. </w:t>
      </w:r>
      <w:r w:rsidR="00B5520B" w:rsidRPr="00B5520B">
        <w:rPr>
          <w:rFonts w:ascii="Tahoma" w:hAnsi="Tahoma" w:cs="Tahoma"/>
          <w:color w:val="000080"/>
          <w:sz w:val="20"/>
          <w:szCs w:val="20"/>
        </w:rPr>
        <w:t>33,22%</w:t>
      </w:r>
      <w:r w:rsidRPr="00B5520B">
        <w:rPr>
          <w:rFonts w:ascii="Tahoma" w:hAnsi="Tahoma" w:cs="Tahoma"/>
          <w:color w:val="000080"/>
          <w:sz w:val="20"/>
          <w:szCs w:val="20"/>
        </w:rPr>
        <w:t>, we</w:t>
      </w:r>
      <w:r w:rsidRPr="00FC23EA">
        <w:rPr>
          <w:rFonts w:ascii="Tahoma" w:hAnsi="Tahoma" w:cs="Tahoma"/>
          <w:color w:val="000080"/>
          <w:sz w:val="20"/>
          <w:szCs w:val="20"/>
        </w:rPr>
        <w:t xml:space="preserve"> believe that this scenario is realistic </w:t>
      </w:r>
      <w:r w:rsidR="00FC23EA" w:rsidRPr="00FC23EA">
        <w:rPr>
          <w:rFonts w:ascii="Tahoma" w:hAnsi="Tahoma" w:cs="Tahoma"/>
          <w:color w:val="000080"/>
          <w:sz w:val="20"/>
          <w:szCs w:val="20"/>
        </w:rPr>
        <w:t>since the</w:t>
      </w:r>
      <w:r w:rsidR="00FC23EA">
        <w:rPr>
          <w:rFonts w:ascii="Tahoma" w:hAnsi="Tahoma" w:cs="Tahoma"/>
          <w:color w:val="000080"/>
          <w:sz w:val="20"/>
          <w:szCs w:val="20"/>
        </w:rPr>
        <w:t xml:space="preserve"> l</w:t>
      </w:r>
      <w:r w:rsidR="006548DA" w:rsidRPr="00FC23EA">
        <w:rPr>
          <w:rFonts w:ascii="Tahoma" w:hAnsi="Tahoma" w:cs="Tahoma"/>
          <w:color w:val="000080"/>
          <w:sz w:val="20"/>
          <w:szCs w:val="20"/>
        </w:rPr>
        <w:t>atest reports about IPTV subscribers suggest</w:t>
      </w:r>
      <w:r w:rsidR="0096175F" w:rsidRPr="00FC23EA">
        <w:rPr>
          <w:rFonts w:ascii="Tahoma" w:hAnsi="Tahoma" w:cs="Tahoma"/>
          <w:color w:val="000080"/>
          <w:sz w:val="20"/>
          <w:szCs w:val="20"/>
        </w:rPr>
        <w:t xml:space="preserve"> growth rates of 28%</w:t>
      </w:r>
      <w:r w:rsidR="006548DA" w:rsidRPr="00FC23EA">
        <w:rPr>
          <w:rFonts w:ascii="Tahoma" w:hAnsi="Tahoma" w:cs="Tahoma"/>
          <w:color w:val="000080"/>
          <w:sz w:val="20"/>
          <w:szCs w:val="20"/>
        </w:rPr>
        <w:t xml:space="preserve"> globally and even higher for Easter</w:t>
      </w:r>
      <w:r w:rsidR="00827686">
        <w:rPr>
          <w:rFonts w:ascii="Tahoma" w:hAnsi="Tahoma" w:cs="Tahoma"/>
          <w:color w:val="000080"/>
          <w:sz w:val="20"/>
          <w:szCs w:val="20"/>
        </w:rPr>
        <w:t>n</w:t>
      </w:r>
      <w:r w:rsidR="006548DA" w:rsidRPr="00FC23EA">
        <w:rPr>
          <w:rFonts w:ascii="Tahoma" w:hAnsi="Tahoma" w:cs="Tahoma"/>
          <w:color w:val="000080"/>
          <w:sz w:val="20"/>
          <w:szCs w:val="20"/>
        </w:rPr>
        <w:t xml:space="preserve"> Europe.</w:t>
      </w:r>
    </w:p>
    <w:p w:rsidR="00C10D9A" w:rsidRDefault="0096175F" w:rsidP="0096175F">
      <w:pPr>
        <w:spacing w:line="280" w:lineRule="atLeast"/>
        <w:jc w:val="left"/>
        <w:rPr>
          <w:rFonts w:ascii="Tahoma" w:hAnsi="Tahoma" w:cs="Tahoma"/>
          <w:color w:val="000080"/>
          <w:sz w:val="20"/>
          <w:szCs w:val="20"/>
        </w:rPr>
      </w:pPr>
      <w:r>
        <w:rPr>
          <w:rFonts w:ascii="Tahoma" w:hAnsi="Tahoma" w:cs="Tahoma"/>
          <w:color w:val="000080"/>
          <w:sz w:val="20"/>
          <w:szCs w:val="20"/>
        </w:rPr>
        <w:t xml:space="preserve"> </w:t>
      </w:r>
    </w:p>
    <w:p w:rsidR="00C10D9A" w:rsidRPr="00361B1B" w:rsidRDefault="00B5520B"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 xml:space="preserve">As it is common practice for IPTV service to include </w:t>
      </w:r>
      <w:r w:rsidR="00361B1B" w:rsidRPr="00361B1B">
        <w:rPr>
          <w:rFonts w:ascii="Tahoma" w:hAnsi="Tahoma" w:cs="Tahoma"/>
          <w:color w:val="000080"/>
          <w:sz w:val="20"/>
          <w:szCs w:val="20"/>
        </w:rPr>
        <w:t xml:space="preserve">VoD </w:t>
      </w:r>
      <w:r>
        <w:rPr>
          <w:rFonts w:ascii="Tahoma" w:hAnsi="Tahoma" w:cs="Tahoma"/>
          <w:color w:val="000080"/>
          <w:sz w:val="20"/>
          <w:szCs w:val="20"/>
        </w:rPr>
        <w:t xml:space="preserve">services, VoD </w:t>
      </w:r>
      <w:r w:rsidR="00361B1B" w:rsidRPr="00361B1B">
        <w:rPr>
          <w:rFonts w:ascii="Tahoma" w:hAnsi="Tahoma" w:cs="Tahoma"/>
          <w:color w:val="000080"/>
          <w:sz w:val="20"/>
          <w:szCs w:val="20"/>
        </w:rPr>
        <w:t xml:space="preserve">users were not estimated separately but instead all IPTV users are assumed to be VoD users as well. </w:t>
      </w:r>
    </w:p>
    <w:p w:rsidR="005D30C2" w:rsidRPr="00361B1B" w:rsidRDefault="005D30C2" w:rsidP="005D30C2">
      <w:pPr>
        <w:pStyle w:val="ListParagraph"/>
        <w:rPr>
          <w:rFonts w:ascii="Tahoma" w:hAnsi="Tahoma" w:cs="Tahoma"/>
          <w:color w:val="000080"/>
          <w:sz w:val="20"/>
          <w:szCs w:val="20"/>
        </w:rPr>
      </w:pPr>
    </w:p>
    <w:p w:rsidR="008D27DC" w:rsidRDefault="006E164F"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w:t>
      </w:r>
      <w:r w:rsidR="008D27DC" w:rsidRPr="00361563">
        <w:rPr>
          <w:rFonts w:ascii="Tahoma" w:hAnsi="Tahoma" w:cs="Tahoma"/>
          <w:color w:val="000080"/>
          <w:sz w:val="20"/>
          <w:szCs w:val="20"/>
        </w:rPr>
        <w:t>.</w:t>
      </w:r>
      <w:r w:rsidR="008D27DC">
        <w:rPr>
          <w:rFonts w:ascii="Tahoma" w:hAnsi="Tahoma" w:cs="Tahoma"/>
          <w:color w:val="000080"/>
          <w:sz w:val="20"/>
          <w:szCs w:val="20"/>
        </w:rPr>
        <w:t xml:space="preserve"> However, there are several developments that need to be taken into account</w:t>
      </w:r>
      <w:r w:rsidR="0063426B">
        <w:rPr>
          <w:rFonts w:ascii="Tahoma" w:hAnsi="Tahoma" w:cs="Tahoma"/>
          <w:color w:val="000080"/>
          <w:sz w:val="20"/>
          <w:szCs w:val="20"/>
        </w:rPr>
        <w:t xml:space="preserve"> to estimate the number of users</w:t>
      </w:r>
      <w:r w:rsidR="008D27DC">
        <w:rPr>
          <w:rFonts w:ascii="Tahoma" w:hAnsi="Tahoma" w:cs="Tahoma"/>
          <w:color w:val="000080"/>
          <w:sz w:val="20"/>
          <w:szCs w:val="20"/>
        </w:rPr>
        <w:t>:</w:t>
      </w:r>
      <w:r w:rsidR="0063426B">
        <w:rPr>
          <w:rFonts w:ascii="Tahoma" w:hAnsi="Tahoma" w:cs="Tahoma"/>
          <w:color w:val="000080"/>
          <w:sz w:val="20"/>
          <w:szCs w:val="20"/>
        </w:rPr>
        <w:t xml:space="preserve"> </w:t>
      </w:r>
    </w:p>
    <w:p w:rsidR="008D27DC" w:rsidRDefault="008D27DC" w:rsidP="008D27DC">
      <w:pPr>
        <w:pStyle w:val="ListParagraph"/>
        <w:rPr>
          <w:rFonts w:ascii="Tahoma" w:hAnsi="Tahoma" w:cs="Tahoma"/>
          <w:color w:val="000080"/>
          <w:sz w:val="20"/>
          <w:szCs w:val="20"/>
        </w:rPr>
      </w:pPr>
    </w:p>
    <w:p w:rsidR="008D27DC" w:rsidRDefault="00B9164C" w:rsidP="005A7DD2">
      <w:pPr>
        <w:numPr>
          <w:ilvl w:val="2"/>
          <w:numId w:val="5"/>
        </w:numPr>
        <w:tabs>
          <w:tab w:val="clear" w:pos="720"/>
        </w:tabs>
        <w:spacing w:line="280" w:lineRule="atLeast"/>
        <w:ind w:left="1418" w:hanging="425"/>
        <w:jc w:val="left"/>
        <w:rPr>
          <w:rFonts w:ascii="Tahoma" w:hAnsi="Tahoma" w:cs="Tahoma"/>
          <w:color w:val="000080"/>
          <w:sz w:val="20"/>
          <w:szCs w:val="20"/>
        </w:rPr>
      </w:pPr>
      <w:r>
        <w:rPr>
          <w:rFonts w:ascii="Tahoma" w:hAnsi="Tahoma" w:cs="Tahoma"/>
          <w:color w:val="000080"/>
          <w:sz w:val="20"/>
          <w:szCs w:val="20"/>
        </w:rPr>
        <w:t xml:space="preserve">In recent years, in Macedonia as well as in some surrounding countries, there was a noticeable </w:t>
      </w:r>
      <w:r w:rsidR="008D27DC">
        <w:rPr>
          <w:rFonts w:ascii="Tahoma" w:hAnsi="Tahoma" w:cs="Tahoma"/>
          <w:color w:val="000080"/>
          <w:sz w:val="20"/>
          <w:szCs w:val="20"/>
        </w:rPr>
        <w:t>trend of mobile-to-fixed substitution</w:t>
      </w:r>
      <w:r>
        <w:rPr>
          <w:rFonts w:ascii="Tahoma" w:hAnsi="Tahoma" w:cs="Tahoma"/>
          <w:color w:val="000080"/>
          <w:sz w:val="20"/>
          <w:szCs w:val="20"/>
        </w:rPr>
        <w:t>. However, in the last year this trend has reversed</w:t>
      </w:r>
      <w:r w:rsidR="00563098">
        <w:rPr>
          <w:rFonts w:ascii="Tahoma" w:hAnsi="Tahoma" w:cs="Tahoma"/>
          <w:color w:val="000080"/>
          <w:sz w:val="20"/>
          <w:szCs w:val="20"/>
        </w:rPr>
        <w:t xml:space="preserve"> – see figure </w:t>
      </w:r>
      <w:r w:rsidR="00563098" w:rsidRPr="008F48BE">
        <w:rPr>
          <w:rFonts w:ascii="Tahoma" w:hAnsi="Tahoma" w:cs="Tahoma"/>
          <w:color w:val="000080"/>
          <w:sz w:val="20"/>
          <w:szCs w:val="20"/>
        </w:rPr>
        <w:t>below</w:t>
      </w:r>
      <w:r w:rsidR="00563098">
        <w:rPr>
          <w:rFonts w:ascii="Tahoma" w:hAnsi="Tahoma" w:cs="Tahoma"/>
          <w:color w:val="000080"/>
          <w:sz w:val="20"/>
          <w:szCs w:val="20"/>
        </w:rPr>
        <w:t>.</w:t>
      </w:r>
    </w:p>
    <w:p w:rsidR="00371CDA" w:rsidRPr="0063426B" w:rsidRDefault="0063426B" w:rsidP="00857CB5">
      <w:pPr>
        <w:numPr>
          <w:ilvl w:val="2"/>
          <w:numId w:val="5"/>
        </w:numPr>
        <w:tabs>
          <w:tab w:val="clear" w:pos="720"/>
        </w:tabs>
        <w:spacing w:line="280" w:lineRule="atLeast"/>
        <w:ind w:left="1418" w:hanging="425"/>
        <w:rPr>
          <w:rFonts w:ascii="Tahoma" w:hAnsi="Tahoma" w:cs="Tahoma"/>
          <w:color w:val="000080"/>
          <w:sz w:val="20"/>
          <w:szCs w:val="20"/>
        </w:rPr>
      </w:pPr>
      <w:r w:rsidRPr="0063426B">
        <w:rPr>
          <w:rFonts w:ascii="Tahoma" w:hAnsi="Tahoma" w:cs="Tahoma"/>
          <w:color w:val="000080"/>
          <w:sz w:val="20"/>
          <w:szCs w:val="20"/>
        </w:rPr>
        <w:t>Maktel’s market share in terms of fixed lines has been constantly declining</w:t>
      </w:r>
      <w:r>
        <w:rPr>
          <w:rFonts w:ascii="Tahoma" w:hAnsi="Tahoma" w:cs="Tahoma"/>
          <w:color w:val="000080"/>
          <w:sz w:val="20"/>
          <w:szCs w:val="20"/>
        </w:rPr>
        <w:t xml:space="preserve"> over the past </w:t>
      </w:r>
      <w:r w:rsidR="008653FF">
        <w:rPr>
          <w:rFonts w:ascii="Tahoma" w:hAnsi="Tahoma" w:cs="Tahoma"/>
          <w:color w:val="000080"/>
          <w:sz w:val="20"/>
          <w:szCs w:val="20"/>
        </w:rPr>
        <w:t>several</w:t>
      </w:r>
      <w:r>
        <w:rPr>
          <w:rFonts w:ascii="Tahoma" w:hAnsi="Tahoma" w:cs="Tahoma"/>
          <w:color w:val="000080"/>
          <w:sz w:val="20"/>
          <w:szCs w:val="20"/>
        </w:rPr>
        <w:t xml:space="preserve"> years</w:t>
      </w:r>
      <w:r w:rsidRPr="0063426B">
        <w:rPr>
          <w:rFonts w:ascii="Tahoma" w:hAnsi="Tahoma" w:cs="Tahoma"/>
          <w:color w:val="000080"/>
          <w:sz w:val="20"/>
          <w:szCs w:val="20"/>
        </w:rPr>
        <w:t xml:space="preserve">. </w:t>
      </w:r>
      <w:r w:rsidR="008653FF">
        <w:rPr>
          <w:rFonts w:ascii="Tahoma" w:hAnsi="Tahoma" w:cs="Tahoma"/>
          <w:color w:val="000080"/>
          <w:sz w:val="20"/>
          <w:szCs w:val="20"/>
        </w:rPr>
        <w:t xml:space="preserve">If this trend continues at the same rate, </w:t>
      </w:r>
      <w:r w:rsidR="008653FF" w:rsidRPr="00446DF7">
        <w:rPr>
          <w:rFonts w:ascii="Tahoma" w:hAnsi="Tahoma" w:cs="Tahoma"/>
          <w:color w:val="000080"/>
          <w:sz w:val="20"/>
          <w:szCs w:val="20"/>
        </w:rPr>
        <w:t>in the base case year Maktel would have approximately 5</w:t>
      </w:r>
      <w:r w:rsidR="00AD2EBF" w:rsidRPr="00446DF7">
        <w:rPr>
          <w:rFonts w:ascii="Tahoma" w:hAnsi="Tahoma" w:cs="Tahoma"/>
          <w:color w:val="000080"/>
          <w:sz w:val="20"/>
          <w:szCs w:val="20"/>
        </w:rPr>
        <w:t>6</w:t>
      </w:r>
      <w:r w:rsidR="008653FF" w:rsidRPr="00446DF7">
        <w:rPr>
          <w:rFonts w:ascii="Tahoma" w:hAnsi="Tahoma" w:cs="Tahoma"/>
          <w:color w:val="000080"/>
          <w:sz w:val="20"/>
          <w:szCs w:val="20"/>
        </w:rPr>
        <w:t>% of market share.</w:t>
      </w:r>
      <w:r w:rsidR="008653FF">
        <w:rPr>
          <w:rFonts w:ascii="Tahoma" w:hAnsi="Tahoma" w:cs="Tahoma"/>
          <w:color w:val="000080"/>
          <w:sz w:val="20"/>
          <w:szCs w:val="20"/>
        </w:rPr>
        <w:t xml:space="preserve"> </w:t>
      </w:r>
    </w:p>
    <w:p w:rsidR="008D27DC" w:rsidRDefault="008D27DC" w:rsidP="008D27DC">
      <w:pPr>
        <w:pStyle w:val="ListParagraph"/>
        <w:rPr>
          <w:rFonts w:ascii="Tahoma" w:hAnsi="Tahoma" w:cs="Tahoma"/>
          <w:color w:val="000080"/>
          <w:sz w:val="20"/>
          <w:szCs w:val="20"/>
        </w:rPr>
      </w:pPr>
    </w:p>
    <w:p w:rsidR="00C10D9A" w:rsidRPr="0063426B" w:rsidRDefault="0063426B" w:rsidP="00857CB5">
      <w:pPr>
        <w:numPr>
          <w:ilvl w:val="1"/>
          <w:numId w:val="3"/>
        </w:numPr>
        <w:spacing w:line="280" w:lineRule="atLeast"/>
        <w:rPr>
          <w:rFonts w:ascii="Tahoma" w:hAnsi="Tahoma" w:cs="Tahoma"/>
          <w:color w:val="000080"/>
          <w:sz w:val="20"/>
          <w:szCs w:val="20"/>
        </w:rPr>
      </w:pPr>
      <w:r w:rsidRPr="0063426B">
        <w:rPr>
          <w:rFonts w:ascii="Tahoma" w:hAnsi="Tahoma" w:cs="Tahoma"/>
          <w:color w:val="000080"/>
          <w:sz w:val="20"/>
          <w:szCs w:val="20"/>
        </w:rPr>
        <w:lastRenderedPageBreak/>
        <w:t>Applying CAGR</w:t>
      </w:r>
      <w:r w:rsidR="00830A3D">
        <w:rPr>
          <w:rFonts w:ascii="Tahoma" w:hAnsi="Tahoma" w:cs="Tahoma"/>
          <w:color w:val="000080"/>
          <w:sz w:val="20"/>
          <w:szCs w:val="20"/>
        </w:rPr>
        <w:t xml:space="preserve"> for above trends</w:t>
      </w:r>
      <w:r w:rsidRPr="0063426B">
        <w:rPr>
          <w:rFonts w:ascii="Tahoma" w:hAnsi="Tahoma" w:cs="Tahoma"/>
          <w:color w:val="000080"/>
          <w:sz w:val="20"/>
          <w:szCs w:val="20"/>
        </w:rPr>
        <w:t xml:space="preserve"> (see table below), the number of </w:t>
      </w:r>
      <w:r w:rsidR="00C10D9A" w:rsidRPr="0063426B">
        <w:rPr>
          <w:rFonts w:ascii="Tahoma" w:hAnsi="Tahoma" w:cs="Tahoma"/>
          <w:color w:val="000080"/>
          <w:sz w:val="20"/>
          <w:szCs w:val="20"/>
        </w:rPr>
        <w:t>VoIP users in</w:t>
      </w:r>
      <w:r>
        <w:rPr>
          <w:rFonts w:ascii="Tahoma" w:hAnsi="Tahoma" w:cs="Tahoma"/>
          <w:color w:val="000080"/>
          <w:sz w:val="20"/>
          <w:szCs w:val="20"/>
        </w:rPr>
        <w:t xml:space="preserve"> applied in</w:t>
      </w:r>
      <w:r w:rsidR="00C10D9A" w:rsidRPr="0063426B">
        <w:rPr>
          <w:rFonts w:ascii="Tahoma" w:hAnsi="Tahoma" w:cs="Tahoma"/>
          <w:color w:val="000080"/>
          <w:sz w:val="20"/>
          <w:szCs w:val="20"/>
        </w:rPr>
        <w:t xml:space="preserve"> the </w:t>
      </w:r>
      <w:r w:rsidR="006D4D7B" w:rsidRPr="0063426B">
        <w:rPr>
          <w:rFonts w:ascii="Tahoma" w:hAnsi="Tahoma" w:cs="Tahoma"/>
          <w:color w:val="000080"/>
          <w:sz w:val="20"/>
          <w:szCs w:val="20"/>
        </w:rPr>
        <w:t xml:space="preserve">base case </w:t>
      </w:r>
      <w:r w:rsidR="00C10D9A" w:rsidRPr="0063426B">
        <w:rPr>
          <w:rFonts w:ascii="Tahoma" w:hAnsi="Tahoma" w:cs="Tahoma"/>
          <w:color w:val="000080"/>
          <w:sz w:val="20"/>
          <w:szCs w:val="20"/>
        </w:rPr>
        <w:t xml:space="preserve">is equal to </w:t>
      </w:r>
      <w:r w:rsidR="0001017F">
        <w:rPr>
          <w:rFonts w:ascii="Tahoma" w:hAnsi="Tahoma" w:cs="Tahoma"/>
          <w:color w:val="000080"/>
          <w:sz w:val="20"/>
          <w:szCs w:val="20"/>
        </w:rPr>
        <w:t>[…]</w:t>
      </w:r>
      <w:r w:rsidR="00C10D9A" w:rsidRPr="0063426B">
        <w:rPr>
          <w:rFonts w:ascii="Tahoma" w:hAnsi="Tahoma" w:cs="Tahoma"/>
          <w:color w:val="000080"/>
          <w:sz w:val="20"/>
          <w:szCs w:val="20"/>
        </w:rPr>
        <w:t>.</w:t>
      </w:r>
    </w:p>
    <w:p w:rsidR="00C10D9A" w:rsidRDefault="00C10D9A" w:rsidP="00C10D9A">
      <w:pPr>
        <w:spacing w:line="280" w:lineRule="atLeast"/>
        <w:ind w:left="540"/>
        <w:jc w:val="left"/>
        <w:rPr>
          <w:rFonts w:ascii="Tahoma" w:hAnsi="Tahoma" w:cs="Tahoma"/>
          <w:color w:val="000080"/>
          <w:sz w:val="20"/>
          <w:szCs w:val="20"/>
        </w:rPr>
      </w:pPr>
    </w:p>
    <w:tbl>
      <w:tblPr>
        <w:tblW w:w="7585"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57" w:type="dxa"/>
          <w:right w:w="57" w:type="dxa"/>
        </w:tblCellMar>
        <w:tblLook w:val="04A0"/>
      </w:tblPr>
      <w:tblGrid>
        <w:gridCol w:w="1304"/>
        <w:gridCol w:w="897"/>
        <w:gridCol w:w="897"/>
        <w:gridCol w:w="898"/>
        <w:gridCol w:w="897"/>
        <w:gridCol w:w="897"/>
        <w:gridCol w:w="898"/>
        <w:gridCol w:w="897"/>
      </w:tblGrid>
      <w:tr w:rsidR="00AD2EBF" w:rsidRPr="00D22D07" w:rsidTr="00AD2EBF">
        <w:trPr>
          <w:trHeight w:val="255"/>
        </w:trPr>
        <w:tc>
          <w:tcPr>
            <w:tcW w:w="1304"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p>
        </w:tc>
        <w:tc>
          <w:tcPr>
            <w:tcW w:w="897"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CAGR</w:t>
            </w:r>
          </w:p>
        </w:tc>
        <w:tc>
          <w:tcPr>
            <w:tcW w:w="897"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2008</w:t>
            </w:r>
          </w:p>
        </w:tc>
        <w:tc>
          <w:tcPr>
            <w:tcW w:w="898"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2009</w:t>
            </w:r>
          </w:p>
        </w:tc>
        <w:tc>
          <w:tcPr>
            <w:tcW w:w="897"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2010</w:t>
            </w:r>
          </w:p>
        </w:tc>
        <w:tc>
          <w:tcPr>
            <w:tcW w:w="897"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2011</w:t>
            </w:r>
          </w:p>
        </w:tc>
        <w:tc>
          <w:tcPr>
            <w:tcW w:w="898"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2012</w:t>
            </w:r>
          </w:p>
        </w:tc>
        <w:tc>
          <w:tcPr>
            <w:tcW w:w="897" w:type="dxa"/>
            <w:shd w:val="solid" w:color="000080" w:fill="FFFFFF"/>
            <w:noWrap/>
            <w:hideMark/>
          </w:tcPr>
          <w:p w:rsidR="00AD2EBF" w:rsidRPr="00D22D07" w:rsidRDefault="00AD2EBF" w:rsidP="00D22D07">
            <w:pPr>
              <w:spacing w:line="280" w:lineRule="atLeast"/>
              <w:ind w:left="101"/>
              <w:jc w:val="left"/>
              <w:rPr>
                <w:rFonts w:ascii="Tahoma" w:hAnsi="Tahoma" w:cs="Tahoma"/>
                <w:b/>
                <w:bCs/>
                <w:color w:val="FFFFFF"/>
                <w:sz w:val="20"/>
                <w:szCs w:val="20"/>
              </w:rPr>
            </w:pPr>
            <w:r w:rsidRPr="00D22D07">
              <w:rPr>
                <w:rFonts w:ascii="Tahoma" w:hAnsi="Tahoma" w:cs="Tahoma"/>
                <w:b/>
                <w:bCs/>
                <w:color w:val="FFFFFF"/>
                <w:sz w:val="20"/>
                <w:szCs w:val="20"/>
              </w:rPr>
              <w:t>2013</w:t>
            </w:r>
          </w:p>
        </w:tc>
      </w:tr>
      <w:tr w:rsidR="00AD2EBF" w:rsidRPr="00D22D07" w:rsidTr="00AD2EBF">
        <w:trPr>
          <w:trHeight w:val="560"/>
        </w:trPr>
        <w:tc>
          <w:tcPr>
            <w:tcW w:w="1304" w:type="dxa"/>
            <w:shd w:val="clear" w:color="auto" w:fill="auto"/>
            <w:noWrap/>
            <w:hideMark/>
          </w:tcPr>
          <w:p w:rsidR="00AD2EBF" w:rsidRPr="00D22D07" w:rsidRDefault="00AD2EBF"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Fixed lines</w:t>
            </w:r>
          </w:p>
        </w:tc>
        <w:tc>
          <w:tcPr>
            <w:tcW w:w="897" w:type="dxa"/>
            <w:shd w:val="clear" w:color="auto" w:fill="DBE5F1"/>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-2,21%</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451.299</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437.301</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415.144</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422.053</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412.732</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403.616</w:t>
            </w:r>
          </w:p>
        </w:tc>
      </w:tr>
      <w:tr w:rsidR="00AD2EBF" w:rsidRPr="00D22D07" w:rsidTr="00AD2EBF">
        <w:trPr>
          <w:trHeight w:val="560"/>
        </w:trPr>
        <w:tc>
          <w:tcPr>
            <w:tcW w:w="1304" w:type="dxa"/>
            <w:shd w:val="clear" w:color="auto" w:fill="auto"/>
            <w:noWrap/>
            <w:hideMark/>
          </w:tcPr>
          <w:p w:rsidR="00AD2EBF" w:rsidRPr="00D22D07" w:rsidRDefault="00AD2EBF"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Penetration</w:t>
            </w:r>
          </w:p>
        </w:tc>
        <w:tc>
          <w:tcPr>
            <w:tcW w:w="897" w:type="dxa"/>
            <w:shd w:val="clear" w:color="auto" w:fill="DBE5F1"/>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-2,33%</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22,07</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21,35</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20,22</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20,56</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20,08</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19,61</w:t>
            </w:r>
          </w:p>
        </w:tc>
      </w:tr>
      <w:tr w:rsidR="00AD2EBF" w:rsidRPr="00D22D07" w:rsidTr="00AD2EBF">
        <w:trPr>
          <w:trHeight w:val="560"/>
        </w:trPr>
        <w:tc>
          <w:tcPr>
            <w:tcW w:w="1304" w:type="dxa"/>
            <w:shd w:val="clear" w:color="auto" w:fill="auto"/>
            <w:noWrap/>
            <w:hideMark/>
          </w:tcPr>
          <w:p w:rsidR="00AD2EBF" w:rsidRPr="00D22D07" w:rsidRDefault="00AD2EBF"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SMP’s share</w:t>
            </w:r>
          </w:p>
        </w:tc>
        <w:tc>
          <w:tcPr>
            <w:tcW w:w="897" w:type="dxa"/>
            <w:shd w:val="clear" w:color="auto" w:fill="DBE5F1"/>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-9,72%</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94%</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84%</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77%</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69%</w:t>
            </w:r>
          </w:p>
        </w:tc>
        <w:tc>
          <w:tcPr>
            <w:tcW w:w="898"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62%</w:t>
            </w:r>
          </w:p>
        </w:tc>
        <w:tc>
          <w:tcPr>
            <w:tcW w:w="897" w:type="dxa"/>
            <w:shd w:val="clear" w:color="auto" w:fill="auto"/>
            <w:noWrap/>
            <w:vAlign w:val="center"/>
            <w:hideMark/>
          </w:tcPr>
          <w:p w:rsidR="00AD2EBF" w:rsidRPr="00D22D07" w:rsidRDefault="00AD2EBF"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56%</w:t>
            </w:r>
          </w:p>
        </w:tc>
      </w:tr>
    </w:tbl>
    <w:p w:rsidR="00E82500" w:rsidRDefault="00E82500" w:rsidP="00E82500">
      <w:pPr>
        <w:spacing w:line="280" w:lineRule="atLeast"/>
        <w:jc w:val="left"/>
        <w:rPr>
          <w:rFonts w:ascii="Tahoma" w:hAnsi="Tahoma" w:cs="Tahoma"/>
          <w:color w:val="000080"/>
          <w:sz w:val="20"/>
          <w:szCs w:val="20"/>
        </w:rPr>
      </w:pPr>
    </w:p>
    <w:p w:rsidR="00CB3574" w:rsidRDefault="00CB3574"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Last input to the model regarding subscribers is number of bitstream users. Estimates used in the model are again based on growth rates from 2011 over 2010. Resulting percentage of bitstream users is used for base case scenario is 1</w:t>
      </w:r>
      <w:r w:rsidR="00AD2EBF">
        <w:rPr>
          <w:rFonts w:ascii="Tahoma" w:hAnsi="Tahoma" w:cs="Tahoma"/>
          <w:color w:val="000080"/>
          <w:sz w:val="20"/>
          <w:szCs w:val="20"/>
        </w:rPr>
        <w:t>5</w:t>
      </w:r>
      <w:r>
        <w:rPr>
          <w:rFonts w:ascii="Tahoma" w:hAnsi="Tahoma" w:cs="Tahoma"/>
          <w:color w:val="000080"/>
          <w:sz w:val="20"/>
          <w:szCs w:val="20"/>
        </w:rPr>
        <w:t>.</w:t>
      </w:r>
      <w:r w:rsidR="00AD2EBF">
        <w:rPr>
          <w:rFonts w:ascii="Tahoma" w:hAnsi="Tahoma" w:cs="Tahoma"/>
          <w:color w:val="000080"/>
          <w:sz w:val="20"/>
          <w:szCs w:val="20"/>
        </w:rPr>
        <w:t>34</w:t>
      </w:r>
      <w:r w:rsidRPr="00682B94">
        <w:rPr>
          <w:rFonts w:ascii="Tahoma" w:hAnsi="Tahoma" w:cs="Tahoma"/>
          <w:color w:val="000080"/>
          <w:sz w:val="20"/>
          <w:szCs w:val="20"/>
        </w:rPr>
        <w:t>%</w:t>
      </w:r>
      <w:r>
        <w:rPr>
          <w:rFonts w:ascii="Tahoma" w:hAnsi="Tahoma" w:cs="Tahoma"/>
          <w:color w:val="000080"/>
          <w:sz w:val="20"/>
          <w:szCs w:val="20"/>
        </w:rPr>
        <w:t xml:space="preserve">. </w:t>
      </w:r>
    </w:p>
    <w:p w:rsidR="0039268B" w:rsidRDefault="0039268B" w:rsidP="005B3477">
      <w:pPr>
        <w:pStyle w:val="ListParagraph"/>
        <w:rPr>
          <w:rFonts w:ascii="Tahoma" w:hAnsi="Tahoma" w:cs="Tahoma"/>
          <w:color w:val="000080"/>
          <w:sz w:val="20"/>
          <w:szCs w:val="20"/>
        </w:rPr>
      </w:pPr>
    </w:p>
    <w:p w:rsidR="00CB3574" w:rsidRDefault="00CB3574" w:rsidP="00857CB5">
      <w:pPr>
        <w:numPr>
          <w:ilvl w:val="1"/>
          <w:numId w:val="3"/>
        </w:numPr>
        <w:spacing w:line="280" w:lineRule="atLeast"/>
        <w:rPr>
          <w:rFonts w:ascii="Tahoma" w:hAnsi="Tahoma" w:cs="Tahoma"/>
          <w:color w:val="000080"/>
          <w:sz w:val="20"/>
          <w:szCs w:val="20"/>
        </w:rPr>
      </w:pPr>
      <w:r>
        <w:rPr>
          <w:rFonts w:ascii="Tahoma" w:hAnsi="Tahoma" w:cs="Tahoma"/>
          <w:color w:val="000080"/>
          <w:sz w:val="20"/>
          <w:szCs w:val="20"/>
        </w:rPr>
        <w:t>Share of bitstream subscribers using VoIP/IPTV services is assumed to be the same as for retail subscribers.</w:t>
      </w:r>
    </w:p>
    <w:p w:rsidR="00E82500" w:rsidRDefault="00E82500" w:rsidP="00C10D9A">
      <w:pPr>
        <w:spacing w:line="280" w:lineRule="atLeast"/>
        <w:ind w:left="540"/>
        <w:jc w:val="left"/>
        <w:rPr>
          <w:rFonts w:ascii="Tahoma" w:hAnsi="Tahoma" w:cs="Tahoma"/>
          <w:color w:val="000080"/>
          <w:sz w:val="20"/>
          <w:szCs w:val="20"/>
        </w:rPr>
      </w:pPr>
    </w:p>
    <w:p w:rsidR="003E3B54" w:rsidRPr="003E3B54" w:rsidRDefault="003E3B54" w:rsidP="005A7DD2">
      <w:pPr>
        <w:numPr>
          <w:ilvl w:val="1"/>
          <w:numId w:val="3"/>
        </w:numPr>
        <w:spacing w:line="280" w:lineRule="atLeast"/>
        <w:jc w:val="left"/>
        <w:rPr>
          <w:rFonts w:ascii="Tahoma" w:hAnsi="Tahoma" w:cs="Tahoma"/>
          <w:color w:val="000080"/>
          <w:sz w:val="20"/>
          <w:szCs w:val="20"/>
        </w:rPr>
      </w:pPr>
      <w:r w:rsidRPr="003E3B54">
        <w:rPr>
          <w:rFonts w:ascii="Tahoma" w:hAnsi="Tahoma" w:cs="Tahoma"/>
          <w:color w:val="000080"/>
          <w:sz w:val="20"/>
          <w:szCs w:val="20"/>
        </w:rPr>
        <w:t xml:space="preserve">Summary of </w:t>
      </w:r>
      <w:r>
        <w:rPr>
          <w:rFonts w:ascii="Tahoma" w:hAnsi="Tahoma" w:cs="Tahoma"/>
          <w:color w:val="000080"/>
          <w:sz w:val="20"/>
          <w:szCs w:val="20"/>
        </w:rPr>
        <w:t>subscriber</w:t>
      </w:r>
      <w:r w:rsidRPr="003E3B54">
        <w:rPr>
          <w:rFonts w:ascii="Tahoma" w:hAnsi="Tahoma" w:cs="Tahoma"/>
          <w:color w:val="000080"/>
          <w:sz w:val="20"/>
          <w:szCs w:val="20"/>
        </w:rPr>
        <w:t xml:space="preserve"> inputs is presented in the following tables.</w:t>
      </w:r>
    </w:p>
    <w:p w:rsidR="003E3B54" w:rsidRDefault="003E3B54" w:rsidP="003E3B54">
      <w:pPr>
        <w:pStyle w:val="ListParagraph"/>
        <w:rPr>
          <w:rFonts w:ascii="Tahoma" w:hAnsi="Tahoma" w:cs="Tahoma"/>
          <w:color w:val="000080"/>
          <w:sz w:val="20"/>
          <w:szCs w:val="20"/>
        </w:rPr>
      </w:pPr>
    </w:p>
    <w:tbl>
      <w:tblPr>
        <w:tblW w:w="0" w:type="auto"/>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720"/>
        <w:gridCol w:w="1321"/>
        <w:gridCol w:w="1266"/>
        <w:gridCol w:w="1266"/>
        <w:gridCol w:w="1266"/>
      </w:tblGrid>
      <w:tr w:rsidR="003E3B54" w:rsidRPr="00D22D07" w:rsidTr="00D22D07">
        <w:trPr>
          <w:trHeight w:val="255"/>
        </w:trPr>
        <w:tc>
          <w:tcPr>
            <w:tcW w:w="2720" w:type="dxa"/>
            <w:shd w:val="solid" w:color="000080" w:fill="FFFFFF"/>
            <w:noWrap/>
            <w:hideMark/>
          </w:tcPr>
          <w:p w:rsidR="003E3B54" w:rsidRPr="00D22D07" w:rsidRDefault="003E3B54" w:rsidP="00D22D07">
            <w:pPr>
              <w:spacing w:line="280" w:lineRule="atLeast"/>
              <w:jc w:val="left"/>
              <w:rPr>
                <w:rFonts w:ascii="Tahoma" w:hAnsi="Tahoma" w:cs="Tahoma"/>
                <w:b/>
                <w:bCs/>
                <w:color w:val="FFFFFF"/>
                <w:sz w:val="20"/>
                <w:szCs w:val="20"/>
              </w:rPr>
            </w:pPr>
            <w:r w:rsidRPr="00D22D07">
              <w:rPr>
                <w:rFonts w:ascii="Tahoma" w:hAnsi="Tahoma" w:cs="Tahoma"/>
                <w:b/>
                <w:bCs/>
                <w:color w:val="FFFFFF"/>
                <w:sz w:val="20"/>
                <w:szCs w:val="20"/>
              </w:rPr>
              <w:t>Maktel’s ADSL lines</w:t>
            </w:r>
          </w:p>
        </w:tc>
        <w:tc>
          <w:tcPr>
            <w:tcW w:w="1321" w:type="dxa"/>
            <w:shd w:val="solid" w:color="000080" w:fill="FFFFFF"/>
            <w:noWrap/>
            <w:hideMark/>
          </w:tcPr>
          <w:p w:rsidR="003E3B54" w:rsidRPr="00D22D07" w:rsidRDefault="003E3B54" w:rsidP="00D22D07">
            <w:pPr>
              <w:spacing w:line="280" w:lineRule="atLeast"/>
              <w:ind w:left="540"/>
              <w:jc w:val="left"/>
              <w:rPr>
                <w:rFonts w:ascii="Tahoma" w:hAnsi="Tahoma" w:cs="Tahoma"/>
                <w:b/>
                <w:bCs/>
                <w:color w:val="FFFFFF"/>
                <w:sz w:val="20"/>
                <w:szCs w:val="20"/>
              </w:rPr>
            </w:pPr>
            <w:r w:rsidRPr="00D22D07">
              <w:rPr>
                <w:rFonts w:ascii="Tahoma" w:hAnsi="Tahoma" w:cs="Tahoma"/>
                <w:b/>
                <w:bCs/>
                <w:color w:val="FFFFFF"/>
                <w:sz w:val="20"/>
                <w:szCs w:val="20"/>
              </w:rPr>
              <w:t>CAGR</w:t>
            </w:r>
          </w:p>
        </w:tc>
        <w:tc>
          <w:tcPr>
            <w:tcW w:w="1266" w:type="dxa"/>
            <w:shd w:val="solid" w:color="000080" w:fill="FFFFFF"/>
            <w:noWrap/>
            <w:hideMark/>
          </w:tcPr>
          <w:p w:rsidR="003E3B54" w:rsidRPr="00D22D07" w:rsidRDefault="003E3B54" w:rsidP="00D22D07">
            <w:pPr>
              <w:spacing w:line="280" w:lineRule="atLeast"/>
              <w:ind w:left="540"/>
              <w:jc w:val="left"/>
              <w:rPr>
                <w:rFonts w:ascii="Tahoma" w:hAnsi="Tahoma" w:cs="Tahoma"/>
                <w:b/>
                <w:bCs/>
                <w:color w:val="FFFFFF"/>
                <w:sz w:val="20"/>
                <w:szCs w:val="20"/>
              </w:rPr>
            </w:pPr>
            <w:r w:rsidRPr="00D22D07">
              <w:rPr>
                <w:rFonts w:ascii="Tahoma" w:hAnsi="Tahoma" w:cs="Tahoma"/>
                <w:b/>
                <w:bCs/>
                <w:color w:val="FFFFFF"/>
                <w:sz w:val="20"/>
                <w:szCs w:val="20"/>
              </w:rPr>
              <w:t>2010</w:t>
            </w:r>
          </w:p>
        </w:tc>
        <w:tc>
          <w:tcPr>
            <w:tcW w:w="1266" w:type="dxa"/>
            <w:shd w:val="solid" w:color="000080" w:fill="FFFFFF"/>
            <w:noWrap/>
            <w:hideMark/>
          </w:tcPr>
          <w:p w:rsidR="003E3B54" w:rsidRPr="00D22D07" w:rsidRDefault="003E3B54" w:rsidP="00D22D07">
            <w:pPr>
              <w:spacing w:line="280" w:lineRule="atLeast"/>
              <w:ind w:left="540"/>
              <w:jc w:val="left"/>
              <w:rPr>
                <w:rFonts w:ascii="Tahoma" w:hAnsi="Tahoma" w:cs="Tahoma"/>
                <w:b/>
                <w:bCs/>
                <w:color w:val="FFFFFF"/>
                <w:sz w:val="20"/>
                <w:szCs w:val="20"/>
              </w:rPr>
            </w:pPr>
            <w:r w:rsidRPr="00D22D07">
              <w:rPr>
                <w:rFonts w:ascii="Tahoma" w:hAnsi="Tahoma" w:cs="Tahoma"/>
                <w:b/>
                <w:bCs/>
                <w:color w:val="FFFFFF"/>
                <w:sz w:val="20"/>
                <w:szCs w:val="20"/>
              </w:rPr>
              <w:t>2011</w:t>
            </w:r>
          </w:p>
        </w:tc>
        <w:tc>
          <w:tcPr>
            <w:tcW w:w="1266" w:type="dxa"/>
            <w:shd w:val="solid" w:color="000080" w:fill="FFFFFF"/>
            <w:noWrap/>
            <w:hideMark/>
          </w:tcPr>
          <w:p w:rsidR="003E3B54" w:rsidRPr="00D22D07" w:rsidRDefault="003E3B54" w:rsidP="00D22D07">
            <w:pPr>
              <w:spacing w:line="280" w:lineRule="atLeast"/>
              <w:ind w:left="540"/>
              <w:jc w:val="left"/>
              <w:rPr>
                <w:rFonts w:ascii="Tahoma" w:hAnsi="Tahoma" w:cs="Tahoma"/>
                <w:b/>
                <w:bCs/>
                <w:color w:val="FFFFFF"/>
                <w:sz w:val="20"/>
                <w:szCs w:val="20"/>
              </w:rPr>
            </w:pPr>
            <w:r w:rsidRPr="00D22D07">
              <w:rPr>
                <w:rFonts w:ascii="Tahoma" w:hAnsi="Tahoma" w:cs="Tahoma"/>
                <w:b/>
                <w:bCs/>
                <w:color w:val="FFFFFF"/>
                <w:sz w:val="20"/>
                <w:szCs w:val="20"/>
              </w:rPr>
              <w:t>201</w:t>
            </w:r>
            <w:r w:rsidR="00AD2EBF">
              <w:rPr>
                <w:rFonts w:ascii="Tahoma" w:hAnsi="Tahoma" w:cs="Tahoma"/>
                <w:b/>
                <w:bCs/>
                <w:color w:val="FFFFFF"/>
                <w:sz w:val="20"/>
                <w:szCs w:val="20"/>
              </w:rPr>
              <w:t>3</w:t>
            </w:r>
          </w:p>
        </w:tc>
      </w:tr>
      <w:tr w:rsidR="003E3B54" w:rsidRPr="00D22D07" w:rsidTr="00D22D07">
        <w:trPr>
          <w:trHeight w:val="255"/>
        </w:trPr>
        <w:tc>
          <w:tcPr>
            <w:tcW w:w="2720" w:type="dxa"/>
            <w:shd w:val="clear" w:color="auto" w:fill="auto"/>
            <w:noWrap/>
            <w:hideMark/>
          </w:tcPr>
          <w:p w:rsidR="003E3B54" w:rsidRPr="00D22D07" w:rsidRDefault="003E3B54"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Bitstream</w:t>
            </w:r>
          </w:p>
        </w:tc>
        <w:tc>
          <w:tcPr>
            <w:tcW w:w="1321" w:type="dxa"/>
            <w:shd w:val="clear" w:color="auto" w:fill="DBE5F1"/>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13,07%</w:t>
            </w:r>
          </w:p>
        </w:tc>
        <w:tc>
          <w:tcPr>
            <w:tcW w:w="1266" w:type="dxa"/>
            <w:shd w:val="clear" w:color="auto" w:fill="auto"/>
            <w:noWrap/>
            <w:hideMark/>
          </w:tcPr>
          <w:p w:rsidR="003E3B54" w:rsidRPr="00D22D07" w:rsidRDefault="00F907F9" w:rsidP="00F907F9">
            <w:pPr>
              <w:spacing w:line="280" w:lineRule="atLeast"/>
              <w:jc w:val="right"/>
              <w:rPr>
                <w:rFonts w:ascii="Tahoma" w:hAnsi="Tahoma" w:cs="Tahoma"/>
                <w:color w:val="000080"/>
                <w:sz w:val="20"/>
                <w:szCs w:val="20"/>
              </w:rPr>
            </w:pPr>
            <w:r>
              <w:rPr>
                <w:rFonts w:ascii="Tahoma" w:hAnsi="Tahoma" w:cs="Tahoma"/>
                <w:color w:val="000080"/>
                <w:sz w:val="20"/>
                <w:szCs w:val="20"/>
              </w:rPr>
              <w:t>18</w:t>
            </w:r>
            <w:r w:rsidR="003E3B54" w:rsidRPr="00D22D07">
              <w:rPr>
                <w:rFonts w:ascii="Tahoma" w:hAnsi="Tahoma" w:cs="Tahoma"/>
                <w:color w:val="000080"/>
                <w:sz w:val="20"/>
                <w:szCs w:val="20"/>
              </w:rPr>
              <w:t>.</w:t>
            </w:r>
            <w:r>
              <w:rPr>
                <w:rFonts w:ascii="Tahoma" w:hAnsi="Tahoma" w:cs="Tahoma"/>
                <w:color w:val="000080"/>
                <w:sz w:val="20"/>
                <w:szCs w:val="20"/>
              </w:rPr>
              <w:t>957</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2</w:t>
            </w:r>
            <w:r w:rsidR="00F907F9">
              <w:rPr>
                <w:rFonts w:ascii="Tahoma" w:hAnsi="Tahoma" w:cs="Tahoma"/>
                <w:color w:val="000080"/>
                <w:sz w:val="20"/>
                <w:szCs w:val="20"/>
              </w:rPr>
              <w:t>0</w:t>
            </w:r>
            <w:r w:rsidRPr="00D22D07">
              <w:rPr>
                <w:rFonts w:ascii="Tahoma" w:hAnsi="Tahoma" w:cs="Tahoma"/>
                <w:color w:val="000080"/>
                <w:sz w:val="20"/>
                <w:szCs w:val="20"/>
              </w:rPr>
              <w:t>.8</w:t>
            </w:r>
            <w:r w:rsidR="00F907F9">
              <w:rPr>
                <w:rFonts w:ascii="Tahoma" w:hAnsi="Tahoma" w:cs="Tahoma"/>
                <w:color w:val="000080"/>
                <w:sz w:val="20"/>
                <w:szCs w:val="20"/>
              </w:rPr>
              <w:t>97</w:t>
            </w:r>
          </w:p>
        </w:tc>
        <w:tc>
          <w:tcPr>
            <w:tcW w:w="1266" w:type="dxa"/>
            <w:shd w:val="clear" w:color="auto" w:fill="auto"/>
            <w:noWrap/>
            <w:hideMark/>
          </w:tcPr>
          <w:p w:rsidR="003E3B54" w:rsidRPr="00D22D07" w:rsidRDefault="00AD2EBF" w:rsidP="00AD2EBF">
            <w:pPr>
              <w:spacing w:line="280" w:lineRule="atLeast"/>
              <w:jc w:val="right"/>
              <w:rPr>
                <w:rFonts w:ascii="Tahoma" w:hAnsi="Tahoma" w:cs="Tahoma"/>
                <w:color w:val="000080"/>
                <w:sz w:val="20"/>
                <w:szCs w:val="20"/>
              </w:rPr>
            </w:pPr>
            <w:r>
              <w:rPr>
                <w:rFonts w:ascii="Tahoma" w:hAnsi="Tahoma" w:cs="Tahoma"/>
                <w:color w:val="000080"/>
                <w:sz w:val="20"/>
                <w:szCs w:val="20"/>
              </w:rPr>
              <w:t>25.393</w:t>
            </w:r>
          </w:p>
        </w:tc>
      </w:tr>
      <w:tr w:rsidR="003E3B54" w:rsidRPr="00D22D07" w:rsidTr="00D22D07">
        <w:trPr>
          <w:trHeight w:val="255"/>
        </w:trPr>
        <w:tc>
          <w:tcPr>
            <w:tcW w:w="2720" w:type="dxa"/>
            <w:shd w:val="clear" w:color="auto" w:fill="auto"/>
            <w:noWrap/>
            <w:hideMark/>
          </w:tcPr>
          <w:p w:rsidR="003E3B54" w:rsidRPr="00D22D07" w:rsidRDefault="003E3B54"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 xml:space="preserve">Retail </w:t>
            </w:r>
            <w:r w:rsidR="00AD2EBF">
              <w:rPr>
                <w:rFonts w:ascii="Tahoma" w:hAnsi="Tahoma" w:cs="Tahoma"/>
                <w:color w:val="000080"/>
                <w:sz w:val="20"/>
                <w:szCs w:val="20"/>
              </w:rPr>
              <w:t>lines</w:t>
            </w:r>
          </w:p>
        </w:tc>
        <w:tc>
          <w:tcPr>
            <w:tcW w:w="1321" w:type="dxa"/>
            <w:shd w:val="clear" w:color="auto" w:fill="DBE5F1"/>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5,71%</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130.127</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137.563</w:t>
            </w:r>
          </w:p>
        </w:tc>
        <w:tc>
          <w:tcPr>
            <w:tcW w:w="1266" w:type="dxa"/>
            <w:shd w:val="clear" w:color="auto" w:fill="auto"/>
            <w:noWrap/>
            <w:hideMark/>
          </w:tcPr>
          <w:p w:rsidR="003E3B54" w:rsidRPr="00D22D07" w:rsidRDefault="00AD2EBF" w:rsidP="00AD2EBF">
            <w:pPr>
              <w:spacing w:line="280" w:lineRule="atLeast"/>
              <w:jc w:val="right"/>
              <w:rPr>
                <w:rFonts w:ascii="Tahoma" w:hAnsi="Tahoma" w:cs="Tahoma"/>
                <w:color w:val="000080"/>
                <w:sz w:val="20"/>
                <w:szCs w:val="20"/>
              </w:rPr>
            </w:pPr>
            <w:r>
              <w:rPr>
                <w:rFonts w:ascii="Tahoma" w:hAnsi="Tahoma" w:cs="Tahoma"/>
                <w:color w:val="000080"/>
                <w:sz w:val="20"/>
                <w:szCs w:val="20"/>
              </w:rPr>
              <w:t>140.184</w:t>
            </w:r>
          </w:p>
        </w:tc>
      </w:tr>
      <w:tr w:rsidR="003E3B54" w:rsidRPr="00D22D07" w:rsidTr="00D22D07">
        <w:trPr>
          <w:trHeight w:val="255"/>
        </w:trPr>
        <w:tc>
          <w:tcPr>
            <w:tcW w:w="2720" w:type="dxa"/>
            <w:shd w:val="clear" w:color="auto" w:fill="auto"/>
            <w:noWrap/>
            <w:hideMark/>
          </w:tcPr>
          <w:p w:rsidR="003E3B54" w:rsidRPr="00D22D07" w:rsidRDefault="00AD2EBF" w:rsidP="00D22D07">
            <w:pPr>
              <w:spacing w:line="280" w:lineRule="atLeast"/>
              <w:jc w:val="left"/>
              <w:rPr>
                <w:rFonts w:ascii="Tahoma" w:hAnsi="Tahoma" w:cs="Tahoma"/>
                <w:color w:val="000080"/>
                <w:sz w:val="20"/>
                <w:szCs w:val="20"/>
              </w:rPr>
            </w:pPr>
            <w:r>
              <w:rPr>
                <w:rFonts w:ascii="Tahoma" w:hAnsi="Tahoma" w:cs="Tahoma"/>
                <w:color w:val="000080"/>
                <w:sz w:val="20"/>
                <w:szCs w:val="20"/>
              </w:rPr>
              <w:t>Total lines</w:t>
            </w:r>
          </w:p>
        </w:tc>
        <w:tc>
          <w:tcPr>
            <w:tcW w:w="1321" w:type="dxa"/>
            <w:shd w:val="clear" w:color="auto" w:fill="DBE5F1"/>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6,74%</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151.218</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161.410</w:t>
            </w:r>
          </w:p>
        </w:tc>
        <w:tc>
          <w:tcPr>
            <w:tcW w:w="1266" w:type="dxa"/>
            <w:shd w:val="clear" w:color="auto" w:fill="auto"/>
            <w:noWrap/>
            <w:hideMark/>
          </w:tcPr>
          <w:p w:rsidR="003E3B54" w:rsidRPr="00D22D07" w:rsidRDefault="00AD2EBF" w:rsidP="00AD2EBF">
            <w:pPr>
              <w:spacing w:line="280" w:lineRule="atLeast"/>
              <w:jc w:val="right"/>
              <w:rPr>
                <w:rFonts w:ascii="Tahoma" w:hAnsi="Tahoma" w:cs="Tahoma"/>
                <w:color w:val="000080"/>
                <w:sz w:val="20"/>
                <w:szCs w:val="20"/>
              </w:rPr>
            </w:pPr>
            <w:r>
              <w:rPr>
                <w:rFonts w:ascii="Tahoma" w:hAnsi="Tahoma" w:cs="Tahoma"/>
                <w:color w:val="000080"/>
                <w:sz w:val="20"/>
                <w:szCs w:val="20"/>
              </w:rPr>
              <w:t>165.577</w:t>
            </w:r>
          </w:p>
        </w:tc>
      </w:tr>
      <w:tr w:rsidR="003E3B54" w:rsidRPr="00D22D07" w:rsidTr="00D22D07">
        <w:trPr>
          <w:trHeight w:val="255"/>
        </w:trPr>
        <w:tc>
          <w:tcPr>
            <w:tcW w:w="2720" w:type="dxa"/>
            <w:shd w:val="clear" w:color="auto" w:fill="auto"/>
            <w:noWrap/>
            <w:hideMark/>
          </w:tcPr>
          <w:p w:rsidR="003E3B54" w:rsidRPr="00D22D07" w:rsidRDefault="003E3B54"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Bitstream as % Internet</w:t>
            </w:r>
          </w:p>
        </w:tc>
        <w:tc>
          <w:tcPr>
            <w:tcW w:w="1321" w:type="dxa"/>
            <w:shd w:val="clear" w:color="auto" w:fill="DBE5F1"/>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5,93%</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14%</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15%</w:t>
            </w:r>
          </w:p>
        </w:tc>
        <w:tc>
          <w:tcPr>
            <w:tcW w:w="1266" w:type="dxa"/>
            <w:shd w:val="clear" w:color="auto" w:fill="auto"/>
            <w:noWrap/>
            <w:hideMark/>
          </w:tcPr>
          <w:p w:rsidR="003E3B54" w:rsidRPr="00D22D07" w:rsidRDefault="003E3B54" w:rsidP="00AD2EBF">
            <w:pPr>
              <w:spacing w:line="280" w:lineRule="atLeast"/>
              <w:jc w:val="right"/>
              <w:rPr>
                <w:rFonts w:ascii="Tahoma" w:hAnsi="Tahoma" w:cs="Tahoma"/>
                <w:color w:val="000080"/>
                <w:sz w:val="20"/>
                <w:szCs w:val="20"/>
              </w:rPr>
            </w:pPr>
            <w:r w:rsidRPr="00D22D07">
              <w:rPr>
                <w:rFonts w:ascii="Tahoma" w:hAnsi="Tahoma" w:cs="Tahoma"/>
                <w:color w:val="000080"/>
                <w:sz w:val="20"/>
                <w:szCs w:val="20"/>
              </w:rPr>
              <w:t>1</w:t>
            </w:r>
            <w:r w:rsidR="00AD2EBF">
              <w:rPr>
                <w:rFonts w:ascii="Tahoma" w:hAnsi="Tahoma" w:cs="Tahoma"/>
                <w:color w:val="000080"/>
                <w:sz w:val="20"/>
                <w:szCs w:val="20"/>
              </w:rPr>
              <w:t>5,34</w:t>
            </w:r>
            <w:r w:rsidRPr="00D22D07">
              <w:rPr>
                <w:rFonts w:ascii="Tahoma" w:hAnsi="Tahoma" w:cs="Tahoma"/>
                <w:color w:val="000080"/>
                <w:sz w:val="20"/>
                <w:szCs w:val="20"/>
              </w:rPr>
              <w:t>%</w:t>
            </w:r>
          </w:p>
        </w:tc>
      </w:tr>
      <w:tr w:rsidR="003E3B54" w:rsidRPr="00D22D07" w:rsidTr="00D22D07">
        <w:trPr>
          <w:trHeight w:val="255"/>
        </w:trPr>
        <w:tc>
          <w:tcPr>
            <w:tcW w:w="2720" w:type="dxa"/>
            <w:shd w:val="clear" w:color="auto" w:fill="auto"/>
            <w:noWrap/>
            <w:hideMark/>
          </w:tcPr>
          <w:p w:rsidR="003E3B54" w:rsidRPr="00D22D07" w:rsidRDefault="003E3B54" w:rsidP="00D22D07">
            <w:pPr>
              <w:spacing w:line="280" w:lineRule="atLeast"/>
              <w:jc w:val="left"/>
              <w:rPr>
                <w:rFonts w:ascii="Tahoma" w:hAnsi="Tahoma" w:cs="Tahoma"/>
                <w:color w:val="000080"/>
                <w:sz w:val="20"/>
                <w:szCs w:val="20"/>
              </w:rPr>
            </w:pPr>
            <w:r w:rsidRPr="00D22D07">
              <w:rPr>
                <w:rFonts w:ascii="Tahoma" w:hAnsi="Tahoma" w:cs="Tahoma"/>
                <w:color w:val="000080"/>
                <w:sz w:val="20"/>
                <w:szCs w:val="20"/>
              </w:rPr>
              <w:t>IPTV</w:t>
            </w:r>
          </w:p>
        </w:tc>
        <w:tc>
          <w:tcPr>
            <w:tcW w:w="1321" w:type="dxa"/>
            <w:shd w:val="clear" w:color="auto" w:fill="DBE5F1"/>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33,22%</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30.123</w:t>
            </w:r>
          </w:p>
        </w:tc>
        <w:tc>
          <w:tcPr>
            <w:tcW w:w="1266" w:type="dxa"/>
            <w:shd w:val="clear" w:color="auto" w:fill="auto"/>
            <w:noWrap/>
            <w:hideMark/>
          </w:tcPr>
          <w:p w:rsidR="003E3B54" w:rsidRPr="00D22D07" w:rsidRDefault="003E3B54" w:rsidP="00D22D07">
            <w:pPr>
              <w:spacing w:line="280" w:lineRule="atLeast"/>
              <w:jc w:val="right"/>
              <w:rPr>
                <w:rFonts w:ascii="Tahoma" w:hAnsi="Tahoma" w:cs="Tahoma"/>
                <w:color w:val="000080"/>
                <w:sz w:val="20"/>
                <w:szCs w:val="20"/>
              </w:rPr>
            </w:pPr>
            <w:r w:rsidRPr="00D22D07">
              <w:rPr>
                <w:rFonts w:ascii="Tahoma" w:hAnsi="Tahoma" w:cs="Tahoma"/>
                <w:color w:val="000080"/>
                <w:sz w:val="20"/>
                <w:szCs w:val="20"/>
              </w:rPr>
              <w:t>40.129</w:t>
            </w:r>
          </w:p>
        </w:tc>
        <w:tc>
          <w:tcPr>
            <w:tcW w:w="1266" w:type="dxa"/>
            <w:shd w:val="clear" w:color="auto" w:fill="auto"/>
            <w:noWrap/>
            <w:hideMark/>
          </w:tcPr>
          <w:p w:rsidR="003E3B54" w:rsidRPr="00D22D07" w:rsidRDefault="00AD2EBF" w:rsidP="00AD2EBF">
            <w:pPr>
              <w:spacing w:line="280" w:lineRule="atLeast"/>
              <w:jc w:val="right"/>
              <w:rPr>
                <w:rFonts w:ascii="Tahoma" w:hAnsi="Tahoma" w:cs="Tahoma"/>
                <w:color w:val="000080"/>
                <w:sz w:val="20"/>
                <w:szCs w:val="20"/>
              </w:rPr>
            </w:pPr>
            <w:r>
              <w:rPr>
                <w:rFonts w:ascii="Tahoma" w:hAnsi="Tahoma" w:cs="Tahoma"/>
                <w:color w:val="000080"/>
                <w:sz w:val="20"/>
                <w:szCs w:val="20"/>
              </w:rPr>
              <w:t>71.216</w:t>
            </w:r>
          </w:p>
        </w:tc>
      </w:tr>
    </w:tbl>
    <w:p w:rsidR="003E3B54" w:rsidRDefault="003E3B54" w:rsidP="003E3B54">
      <w:pPr>
        <w:spacing w:line="280" w:lineRule="atLeast"/>
        <w:ind w:left="540"/>
        <w:jc w:val="left"/>
        <w:rPr>
          <w:rFonts w:ascii="Tahoma" w:hAnsi="Tahoma" w:cs="Tahoma"/>
          <w:color w:val="000080"/>
          <w:sz w:val="20"/>
          <w:szCs w:val="20"/>
        </w:rPr>
      </w:pPr>
    </w:p>
    <w:p w:rsidR="00123A2B" w:rsidRDefault="00123A2B" w:rsidP="003E3B54">
      <w:pPr>
        <w:spacing w:line="280" w:lineRule="atLeast"/>
        <w:ind w:left="540"/>
        <w:jc w:val="left"/>
        <w:rPr>
          <w:rFonts w:ascii="Tahoma" w:hAnsi="Tahoma" w:cs="Tahoma"/>
          <w:color w:val="000080"/>
          <w:sz w:val="20"/>
          <w:szCs w:val="20"/>
        </w:rPr>
      </w:pPr>
    </w:p>
    <w:p w:rsidR="00123A2B" w:rsidRDefault="00123A2B" w:rsidP="003E3B54">
      <w:pPr>
        <w:spacing w:line="280" w:lineRule="atLeast"/>
        <w:ind w:left="540"/>
        <w:jc w:val="left"/>
        <w:rPr>
          <w:rFonts w:ascii="Tahoma" w:hAnsi="Tahoma" w:cs="Tahoma"/>
          <w:color w:val="000080"/>
          <w:sz w:val="20"/>
          <w:szCs w:val="20"/>
        </w:rPr>
      </w:pPr>
    </w:p>
    <w:p w:rsidR="00BF6C0C" w:rsidRPr="00F70907" w:rsidRDefault="000946D9" w:rsidP="00857CB5">
      <w:pPr>
        <w:numPr>
          <w:ilvl w:val="1"/>
          <w:numId w:val="3"/>
        </w:numPr>
        <w:spacing w:line="280" w:lineRule="atLeast"/>
        <w:rPr>
          <w:rFonts w:ascii="Tahoma" w:hAnsi="Tahoma" w:cs="Tahoma"/>
          <w:color w:val="000080"/>
          <w:sz w:val="20"/>
          <w:szCs w:val="20"/>
        </w:rPr>
      </w:pPr>
      <w:r w:rsidRPr="00F70907">
        <w:rPr>
          <w:rFonts w:ascii="Tahoma" w:hAnsi="Tahoma" w:cs="Tahoma"/>
          <w:color w:val="000080"/>
          <w:sz w:val="20"/>
          <w:szCs w:val="20"/>
        </w:rPr>
        <w:t>Basis for p</w:t>
      </w:r>
      <w:r w:rsidR="00371CDA" w:rsidRPr="00F70907">
        <w:rPr>
          <w:rFonts w:ascii="Tahoma" w:hAnsi="Tahoma" w:cs="Tahoma"/>
          <w:color w:val="000080"/>
          <w:sz w:val="20"/>
          <w:szCs w:val="20"/>
        </w:rPr>
        <w:t>rojections of aggregate throughput for different services at the core network level were obtained from Maktel.</w:t>
      </w:r>
      <w:r w:rsidR="00C25917" w:rsidRPr="00F70907">
        <w:rPr>
          <w:rFonts w:ascii="Tahoma" w:hAnsi="Tahoma" w:cs="Tahoma"/>
          <w:color w:val="000080"/>
          <w:sz w:val="20"/>
          <w:szCs w:val="20"/>
        </w:rPr>
        <w:t xml:space="preserve"> </w:t>
      </w:r>
    </w:p>
    <w:p w:rsidR="00371CDA" w:rsidRDefault="00371CDA" w:rsidP="00371CDA">
      <w:pPr>
        <w:spacing w:line="280" w:lineRule="atLeast"/>
        <w:ind w:left="540"/>
        <w:jc w:val="left"/>
        <w:rPr>
          <w:rFonts w:ascii="Tahoma" w:hAnsi="Tahoma" w:cs="Tahoma"/>
          <w:color w:val="000080"/>
          <w:sz w:val="20"/>
          <w:szCs w:val="20"/>
        </w:rPr>
      </w:pPr>
    </w:p>
    <w:p w:rsidR="00F70907" w:rsidRDefault="00F70907" w:rsidP="005A7DD2">
      <w:pPr>
        <w:numPr>
          <w:ilvl w:val="1"/>
          <w:numId w:val="3"/>
        </w:numPr>
        <w:spacing w:line="280" w:lineRule="atLeast"/>
        <w:jc w:val="left"/>
        <w:rPr>
          <w:rFonts w:ascii="Tahoma" w:hAnsi="Tahoma" w:cs="Tahoma"/>
          <w:color w:val="000080"/>
          <w:sz w:val="20"/>
          <w:szCs w:val="20"/>
        </w:rPr>
      </w:pPr>
      <w:r>
        <w:rPr>
          <w:rFonts w:ascii="Tahoma" w:hAnsi="Tahoma" w:cs="Tahoma"/>
          <w:color w:val="000080"/>
          <w:sz w:val="20"/>
          <w:szCs w:val="20"/>
        </w:rPr>
        <w:t>Overview of traffic projections is presented in the following table.</w:t>
      </w:r>
    </w:p>
    <w:p w:rsidR="00F70907" w:rsidRDefault="00F70907" w:rsidP="00F70907">
      <w:pPr>
        <w:pStyle w:val="ListParagraph"/>
        <w:rPr>
          <w:rFonts w:ascii="Tahoma" w:hAnsi="Tahoma" w:cs="Tahoma"/>
          <w:color w:val="000080"/>
          <w:sz w:val="20"/>
          <w:szCs w:val="20"/>
        </w:rPr>
      </w:pPr>
    </w:p>
    <w:p w:rsidR="00371CDA" w:rsidRDefault="0001017F" w:rsidP="001418E5">
      <w:pPr>
        <w:spacing w:line="280" w:lineRule="atLeast"/>
        <w:ind w:left="540"/>
        <w:jc w:val="center"/>
        <w:rPr>
          <w:rFonts w:ascii="Tahoma" w:hAnsi="Tahoma" w:cs="Tahoma"/>
          <w:color w:val="000080"/>
          <w:sz w:val="20"/>
          <w:szCs w:val="20"/>
        </w:rPr>
      </w:pPr>
      <w:r>
        <w:rPr>
          <w:rFonts w:ascii="Tahoma" w:hAnsi="Tahoma" w:cs="Tahoma"/>
          <w:color w:val="000080"/>
          <w:sz w:val="20"/>
          <w:szCs w:val="20"/>
        </w:rPr>
        <w:t>[…]</w:t>
      </w:r>
    </w:p>
    <w:p w:rsidR="00361B1B" w:rsidRDefault="00361B1B" w:rsidP="000946D9">
      <w:pPr>
        <w:pStyle w:val="ListParagraph"/>
        <w:ind w:left="0"/>
        <w:rPr>
          <w:rFonts w:ascii="Tahoma" w:hAnsi="Tahoma" w:cs="Tahoma"/>
          <w:color w:val="000080"/>
          <w:sz w:val="20"/>
          <w:szCs w:val="20"/>
        </w:rPr>
      </w:pPr>
    </w:p>
    <w:p w:rsidR="006B60A3" w:rsidRDefault="006B60A3"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783521" w:rsidRDefault="00783521" w:rsidP="00446D25">
      <w:pPr>
        <w:tabs>
          <w:tab w:val="num" w:pos="540"/>
        </w:tabs>
        <w:spacing w:line="280" w:lineRule="atLeast"/>
        <w:jc w:val="left"/>
        <w:rPr>
          <w:rFonts w:ascii="Tahoma" w:hAnsi="Tahoma" w:cs="Tahoma"/>
          <w:color w:val="000080"/>
          <w:sz w:val="20"/>
          <w:szCs w:val="20"/>
        </w:rPr>
      </w:pPr>
    </w:p>
    <w:p w:rsidR="006B60A3" w:rsidRPr="006B60A3" w:rsidRDefault="007272F4" w:rsidP="006B60A3">
      <w:pPr>
        <w:pStyle w:val="Heading1"/>
        <w:pBdr>
          <w:top w:val="single" w:sz="4" w:space="1" w:color="FFFFFF"/>
          <w:left w:val="single" w:sz="4" w:space="4" w:color="FFFFFF"/>
          <w:bottom w:val="single" w:sz="4" w:space="1" w:color="FFFFFF"/>
          <w:right w:val="single" w:sz="4" w:space="4" w:color="FFFFFF"/>
        </w:pBdr>
        <w:shd w:val="clear" w:color="auto" w:fill="000080"/>
        <w:rPr>
          <w:rFonts w:ascii="Tahoma" w:hAnsi="Tahoma" w:cs="Tahoma"/>
          <w:caps/>
          <w:snapToGrid w:val="0"/>
          <w:color w:val="FFFFFF"/>
          <w:kern w:val="0"/>
          <w:sz w:val="28"/>
          <w:szCs w:val="20"/>
          <w:lang w:eastAsia="en-US"/>
        </w:rPr>
      </w:pPr>
      <w:bookmarkStart w:id="10" w:name="_Toc330908218"/>
      <w:r>
        <w:rPr>
          <w:rFonts w:ascii="Tahoma" w:hAnsi="Tahoma" w:cs="Tahoma"/>
          <w:caps/>
          <w:snapToGrid w:val="0"/>
          <w:color w:val="FFFFFF"/>
          <w:kern w:val="0"/>
          <w:sz w:val="28"/>
          <w:szCs w:val="20"/>
          <w:lang w:eastAsia="en-US"/>
        </w:rPr>
        <w:lastRenderedPageBreak/>
        <w:t>3</w:t>
      </w:r>
      <w:r w:rsidR="006B60A3" w:rsidRPr="00C85235">
        <w:rPr>
          <w:rFonts w:ascii="Tahoma" w:hAnsi="Tahoma" w:cs="Tahoma"/>
          <w:caps/>
          <w:snapToGrid w:val="0"/>
          <w:color w:val="FFFFFF"/>
          <w:kern w:val="0"/>
          <w:sz w:val="28"/>
          <w:szCs w:val="20"/>
          <w:lang w:eastAsia="en-US"/>
        </w:rPr>
        <w:tab/>
      </w:r>
      <w:r w:rsidR="006B60A3">
        <w:rPr>
          <w:rFonts w:ascii="Tahoma" w:hAnsi="Tahoma" w:cs="Tahoma"/>
          <w:caps/>
          <w:snapToGrid w:val="0"/>
          <w:color w:val="FFFFFF"/>
          <w:kern w:val="0"/>
          <w:sz w:val="28"/>
          <w:szCs w:val="20"/>
          <w:lang w:eastAsia="en-US"/>
        </w:rPr>
        <w:t>base case results</w:t>
      </w:r>
      <w:bookmarkEnd w:id="10"/>
    </w:p>
    <w:p w:rsidR="006B60A3" w:rsidRDefault="006B60A3" w:rsidP="006B60A3">
      <w:pPr>
        <w:spacing w:line="280" w:lineRule="atLeast"/>
        <w:jc w:val="left"/>
        <w:rPr>
          <w:rFonts w:ascii="Tahoma" w:hAnsi="Tahoma" w:cs="Tahoma"/>
          <w:color w:val="000080"/>
          <w:sz w:val="20"/>
          <w:szCs w:val="20"/>
        </w:rPr>
      </w:pPr>
    </w:p>
    <w:p w:rsidR="0018299D" w:rsidRPr="0018299D" w:rsidRDefault="00CA6AE8"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This chapter presents the results our Base Case analysis for selected profiles and services. All numbers refer to monthly rental fees</w:t>
      </w:r>
      <w:r w:rsidR="0018299D" w:rsidRPr="0018299D">
        <w:rPr>
          <w:rFonts w:ascii="Tahoma" w:hAnsi="Tahoma" w:cs="Tahoma"/>
          <w:color w:val="000080"/>
          <w:sz w:val="20"/>
          <w:szCs w:val="20"/>
        </w:rPr>
        <w:t xml:space="preserve">. </w:t>
      </w:r>
    </w:p>
    <w:p w:rsidR="0018299D" w:rsidRPr="0018299D" w:rsidRDefault="0018299D" w:rsidP="00857CB5">
      <w:pPr>
        <w:spacing w:line="280" w:lineRule="atLeast"/>
        <w:ind w:left="540"/>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The model support</w:t>
      </w:r>
      <w:r w:rsidR="00827686">
        <w:rPr>
          <w:rFonts w:ascii="Tahoma" w:hAnsi="Tahoma" w:cs="Tahoma"/>
          <w:color w:val="000080"/>
          <w:sz w:val="20"/>
          <w:szCs w:val="20"/>
        </w:rPr>
        <w:t>s</w:t>
      </w:r>
      <w:r w:rsidRPr="0018299D">
        <w:rPr>
          <w:rFonts w:ascii="Tahoma" w:hAnsi="Tahoma" w:cs="Tahoma"/>
          <w:color w:val="000080"/>
          <w:sz w:val="20"/>
          <w:szCs w:val="20"/>
        </w:rPr>
        <w:t xml:space="preserve"> LRIC and LRIC+ cost calculation for 4 (four) levels of bitstream as defined in ERG’s common position (ERG (03) 33rev2). The levels are depicted and explained below.</w:t>
      </w:r>
    </w:p>
    <w:p w:rsidR="0018299D" w:rsidRPr="0018299D" w:rsidRDefault="0018299D" w:rsidP="0018299D">
      <w:pPr>
        <w:spacing w:line="280" w:lineRule="atLeast"/>
        <w:ind w:left="540"/>
        <w:jc w:val="left"/>
        <w:rPr>
          <w:rFonts w:ascii="Tahoma" w:hAnsi="Tahoma" w:cs="Tahoma"/>
          <w:color w:val="000080"/>
          <w:sz w:val="20"/>
          <w:szCs w:val="20"/>
        </w:rPr>
      </w:pPr>
      <w:r w:rsidRPr="0018299D">
        <w:rPr>
          <w:rFonts w:ascii="Tahoma" w:hAnsi="Tahoma" w:cs="Tahoma"/>
          <w:color w:val="000080"/>
          <w:sz w:val="20"/>
          <w:szCs w:val="20"/>
        </w:rPr>
        <w:tab/>
      </w:r>
    </w:p>
    <w:p w:rsidR="0018299D" w:rsidRPr="0018299D" w:rsidRDefault="0018299D" w:rsidP="0018299D">
      <w:pPr>
        <w:spacing w:line="280" w:lineRule="atLeast"/>
        <w:ind w:left="540"/>
        <w:jc w:val="left"/>
        <w:rPr>
          <w:rFonts w:ascii="Tahoma" w:hAnsi="Tahoma" w:cs="Tahoma"/>
          <w:b/>
          <w:color w:val="000080"/>
          <w:sz w:val="20"/>
          <w:szCs w:val="20"/>
        </w:rPr>
      </w:pPr>
      <w:r w:rsidRPr="0018299D">
        <w:rPr>
          <w:rFonts w:ascii="Tahoma" w:hAnsi="Tahoma" w:cs="Tahoma"/>
          <w:b/>
          <w:color w:val="000080"/>
          <w:sz w:val="20"/>
          <w:szCs w:val="20"/>
        </w:rPr>
        <w:t>Figure-1.1</w:t>
      </w:r>
      <w:r w:rsidRPr="0018299D">
        <w:rPr>
          <w:rFonts w:ascii="Tahoma" w:hAnsi="Tahoma" w:cs="Tahoma"/>
          <w:b/>
          <w:color w:val="000080"/>
          <w:sz w:val="20"/>
          <w:szCs w:val="20"/>
        </w:rPr>
        <w:tab/>
        <w:t>Different levels of bitstream</w:t>
      </w:r>
    </w:p>
    <w:p w:rsidR="0018299D" w:rsidRPr="0018299D" w:rsidRDefault="0018299D" w:rsidP="0018299D">
      <w:pPr>
        <w:spacing w:line="280" w:lineRule="atLeast"/>
        <w:ind w:left="540"/>
        <w:jc w:val="left"/>
        <w:rPr>
          <w:rFonts w:ascii="Tahoma" w:hAnsi="Tahoma" w:cs="Tahoma"/>
          <w:b/>
          <w:color w:val="000080"/>
          <w:sz w:val="20"/>
          <w:szCs w:val="20"/>
        </w:rPr>
      </w:pPr>
    </w:p>
    <w:p w:rsidR="0018299D" w:rsidRPr="0018299D" w:rsidRDefault="0018299D" w:rsidP="0018299D">
      <w:pPr>
        <w:spacing w:line="280" w:lineRule="atLeast"/>
        <w:ind w:left="540"/>
        <w:jc w:val="left"/>
        <w:rPr>
          <w:rFonts w:ascii="Tahoma" w:hAnsi="Tahoma" w:cs="Tahoma"/>
          <w:b/>
          <w:color w:val="000080"/>
          <w:sz w:val="20"/>
          <w:szCs w:val="20"/>
        </w:rPr>
      </w:pPr>
      <w:r w:rsidRPr="0018299D">
        <w:rPr>
          <w:rFonts w:ascii="Tahoma" w:hAnsi="Tahoma" w:cs="Tahoma"/>
          <w:color w:val="000080"/>
          <w:sz w:val="20"/>
          <w:szCs w:val="20"/>
        </w:rPr>
        <w:pict>
          <v:shape id="_x0000_i1026" type="#_x0000_t75" style="width:452.25pt;height:160.5pt">
            <v:imagedata r:id="rId10" o:title=""/>
          </v:shape>
        </w:pict>
      </w:r>
    </w:p>
    <w:p w:rsidR="0018299D" w:rsidRPr="0018299D" w:rsidRDefault="0018299D" w:rsidP="0018299D">
      <w:pPr>
        <w:spacing w:line="280" w:lineRule="atLeast"/>
        <w:ind w:left="540"/>
        <w:jc w:val="left"/>
        <w:rPr>
          <w:rFonts w:ascii="Tahoma" w:hAnsi="Tahoma" w:cs="Tahoma"/>
          <w:color w:val="000080"/>
          <w:sz w:val="20"/>
          <w:szCs w:val="20"/>
        </w:rPr>
      </w:pPr>
    </w:p>
    <w:p w:rsidR="0018299D" w:rsidRDefault="0018299D" w:rsidP="00CA6AE8">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The ERG common position describes the following wholesale bitstream access levels:</w:t>
      </w:r>
    </w:p>
    <w:p w:rsidR="00706316" w:rsidRPr="0018299D" w:rsidRDefault="00706316" w:rsidP="00706316">
      <w:pPr>
        <w:spacing w:line="280" w:lineRule="atLeast"/>
        <w:ind w:left="567"/>
        <w:jc w:val="left"/>
        <w:rPr>
          <w:rFonts w:ascii="Tahoma" w:hAnsi="Tahoma" w:cs="Tahoma"/>
          <w:color w:val="000080"/>
          <w:sz w:val="20"/>
          <w:szCs w:val="20"/>
        </w:rPr>
      </w:pPr>
    </w:p>
    <w:p w:rsidR="0018299D" w:rsidRPr="0018299D" w:rsidRDefault="0018299D" w:rsidP="00857CB5">
      <w:pPr>
        <w:numPr>
          <w:ilvl w:val="0"/>
          <w:numId w:val="18"/>
        </w:numPr>
        <w:spacing w:line="280" w:lineRule="atLeast"/>
        <w:rPr>
          <w:rFonts w:ascii="Tahoma" w:hAnsi="Tahoma" w:cs="Tahoma"/>
          <w:color w:val="000080"/>
          <w:sz w:val="20"/>
          <w:szCs w:val="20"/>
        </w:rPr>
      </w:pPr>
      <w:r w:rsidRPr="0018299D">
        <w:rPr>
          <w:rFonts w:ascii="Tahoma" w:hAnsi="Tahoma" w:cs="Tahoma"/>
          <w:color w:val="000080"/>
          <w:sz w:val="20"/>
          <w:szCs w:val="20"/>
        </w:rPr>
        <w:t>Level 1: DSLAM</w:t>
      </w:r>
      <w:r w:rsidRPr="0018299D">
        <w:rPr>
          <w:rFonts w:ascii="Tahoma" w:hAnsi="Tahoma" w:cs="Tahoma"/>
          <w:color w:val="000080"/>
          <w:sz w:val="20"/>
          <w:szCs w:val="20"/>
          <w:vertAlign w:val="superscript"/>
        </w:rPr>
        <w:footnoteReference w:id="1"/>
      </w:r>
      <w:r w:rsidRPr="0018299D">
        <w:rPr>
          <w:rFonts w:ascii="Tahoma" w:hAnsi="Tahoma" w:cs="Tahoma"/>
          <w:color w:val="000080"/>
          <w:sz w:val="20"/>
          <w:szCs w:val="20"/>
        </w:rPr>
        <w:t xml:space="preserve"> access – incumbent provides the DSL access link and hands over the bitstream to the new entrant directly after the DSLAM. In this option the new entrant is physically present at the DSLAM and is supplying the backhaul product. This enables him to differentiate himself through the backhaul product but requires large investments since due to presence at each DSLAM.</w:t>
      </w:r>
    </w:p>
    <w:p w:rsidR="0018299D" w:rsidRPr="0018299D" w:rsidRDefault="0018299D" w:rsidP="00857CB5">
      <w:pPr>
        <w:numPr>
          <w:ilvl w:val="0"/>
          <w:numId w:val="18"/>
        </w:numPr>
        <w:spacing w:line="280" w:lineRule="atLeast"/>
        <w:rPr>
          <w:rFonts w:ascii="Tahoma" w:hAnsi="Tahoma" w:cs="Tahoma"/>
          <w:color w:val="000080"/>
          <w:sz w:val="20"/>
          <w:szCs w:val="20"/>
        </w:rPr>
      </w:pPr>
      <w:r w:rsidRPr="0018299D">
        <w:rPr>
          <w:rFonts w:ascii="Tahoma" w:hAnsi="Tahoma" w:cs="Tahoma"/>
          <w:color w:val="000080"/>
          <w:sz w:val="20"/>
          <w:szCs w:val="20"/>
        </w:rPr>
        <w:t>Level 2: aggregation network – the new entrant connects to the incumbent network at an aggregation point behind DSLAM thus reducing the number of points at which the new entrant must be present. In this scenario the new entrant uses a bigger part of incumbent’s network but can still control the quality of service since it  operates its own BRAS server as well as part of the backhaul.</w:t>
      </w:r>
    </w:p>
    <w:p w:rsidR="0018299D" w:rsidRPr="0018299D" w:rsidRDefault="0018299D" w:rsidP="00857CB5">
      <w:pPr>
        <w:numPr>
          <w:ilvl w:val="0"/>
          <w:numId w:val="18"/>
        </w:numPr>
        <w:spacing w:line="280" w:lineRule="atLeast"/>
        <w:rPr>
          <w:rFonts w:ascii="Tahoma" w:hAnsi="Tahoma" w:cs="Tahoma"/>
          <w:color w:val="000080"/>
          <w:sz w:val="20"/>
          <w:szCs w:val="20"/>
        </w:rPr>
      </w:pPr>
      <w:r w:rsidRPr="0018299D">
        <w:rPr>
          <w:rFonts w:ascii="Tahoma" w:hAnsi="Tahoma" w:cs="Tahoma"/>
          <w:color w:val="000080"/>
          <w:sz w:val="20"/>
          <w:szCs w:val="20"/>
        </w:rPr>
        <w:t>Level 3: IP level – in this scenario the demarcation point is at/after the managed IP core network. The traffic goes over managed IP network only and the incumbent controls the BRAS.</w:t>
      </w:r>
    </w:p>
    <w:p w:rsidR="0018299D" w:rsidRPr="0018299D" w:rsidRDefault="0018299D" w:rsidP="00857CB5">
      <w:pPr>
        <w:numPr>
          <w:ilvl w:val="0"/>
          <w:numId w:val="18"/>
        </w:numPr>
        <w:spacing w:line="280" w:lineRule="atLeast"/>
        <w:rPr>
          <w:rFonts w:ascii="Tahoma" w:hAnsi="Tahoma" w:cs="Tahoma"/>
          <w:color w:val="000080"/>
          <w:sz w:val="20"/>
          <w:szCs w:val="20"/>
        </w:rPr>
      </w:pPr>
      <w:r w:rsidRPr="0018299D">
        <w:rPr>
          <w:rFonts w:ascii="Tahoma" w:hAnsi="Tahoma" w:cs="Tahoma"/>
          <w:color w:val="000080"/>
          <w:sz w:val="20"/>
          <w:szCs w:val="20"/>
        </w:rPr>
        <w:t>Level 4: unmanaged IP – in this scenario the new entrant only brands, sells and bills the product. It has no control over technical characteristics and in effect is providing only a resale.</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lastRenderedPageBreak/>
        <w:t xml:space="preserve">Before detailed explanation of modelled services, it is necessary to note that cable access network </w:t>
      </w:r>
      <w:r w:rsidR="00827686">
        <w:rPr>
          <w:rFonts w:ascii="Tahoma" w:hAnsi="Tahoma" w:cs="Tahoma"/>
          <w:color w:val="000080"/>
          <w:sz w:val="20"/>
          <w:szCs w:val="20"/>
        </w:rPr>
        <w:t xml:space="preserve">is </w:t>
      </w:r>
      <w:r w:rsidRPr="0018299D">
        <w:rPr>
          <w:rFonts w:ascii="Tahoma" w:hAnsi="Tahoma" w:cs="Tahoma"/>
          <w:color w:val="000080"/>
          <w:sz w:val="20"/>
          <w:szCs w:val="20"/>
        </w:rPr>
        <w:t>not covered by this model. Instead, prices for cable access up to the DSLAM</w:t>
      </w:r>
      <w:r w:rsidR="00577F81">
        <w:rPr>
          <w:rFonts w:ascii="Tahoma" w:hAnsi="Tahoma" w:cs="Tahoma"/>
          <w:color w:val="000080"/>
          <w:sz w:val="20"/>
          <w:szCs w:val="20"/>
        </w:rPr>
        <w:t xml:space="preserve"> </w:t>
      </w:r>
      <w:r w:rsidRPr="0018299D">
        <w:rPr>
          <w:rFonts w:ascii="Tahoma" w:hAnsi="Tahoma" w:cs="Tahoma"/>
          <w:color w:val="000080"/>
          <w:sz w:val="20"/>
          <w:szCs w:val="20"/>
        </w:rPr>
        <w:t xml:space="preserve">access node </w:t>
      </w:r>
      <w:r w:rsidR="00577F81">
        <w:rPr>
          <w:rFonts w:ascii="Tahoma" w:hAnsi="Tahoma" w:cs="Tahoma"/>
          <w:color w:val="000080"/>
          <w:sz w:val="20"/>
          <w:szCs w:val="20"/>
        </w:rPr>
        <w:t>are determined by the referent unbundling offer (RUO).</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18299D">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Level 1 bitstream </w:t>
      </w:r>
      <w:r w:rsidR="00577F81">
        <w:rPr>
          <w:rFonts w:ascii="Tahoma" w:hAnsi="Tahoma" w:cs="Tahoma"/>
          <w:color w:val="000080"/>
          <w:sz w:val="20"/>
          <w:szCs w:val="20"/>
        </w:rPr>
        <w:t xml:space="preserve">services are </w:t>
      </w:r>
      <w:r w:rsidRPr="0018299D">
        <w:rPr>
          <w:rFonts w:ascii="Tahoma" w:hAnsi="Tahoma" w:cs="Tahoma"/>
          <w:color w:val="000080"/>
          <w:sz w:val="20"/>
          <w:szCs w:val="20"/>
        </w:rPr>
        <w:t>modelled in the following manner:</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Network access point for alternative operator </w:t>
      </w:r>
      <w:r w:rsidR="00827686">
        <w:rPr>
          <w:rFonts w:ascii="Tahoma" w:hAnsi="Tahoma" w:cs="Tahoma"/>
          <w:color w:val="000080"/>
          <w:sz w:val="20"/>
          <w:szCs w:val="20"/>
        </w:rPr>
        <w:t>is</w:t>
      </w:r>
      <w:r w:rsidRPr="0018299D">
        <w:rPr>
          <w:rFonts w:ascii="Tahoma" w:hAnsi="Tahoma" w:cs="Tahoma"/>
          <w:color w:val="000080"/>
          <w:sz w:val="20"/>
          <w:szCs w:val="20"/>
        </w:rPr>
        <w:t xml:space="preserve"> on DSLAM and bitstream service access link </w:t>
      </w:r>
      <w:r w:rsidR="00827686">
        <w:rPr>
          <w:rFonts w:ascii="Tahoma" w:hAnsi="Tahoma" w:cs="Tahoma"/>
          <w:color w:val="000080"/>
          <w:sz w:val="20"/>
          <w:szCs w:val="20"/>
        </w:rPr>
        <w:t>is</w:t>
      </w:r>
      <w:r w:rsidRPr="0018299D">
        <w:rPr>
          <w:rFonts w:ascii="Tahoma" w:hAnsi="Tahoma" w:cs="Tahoma"/>
          <w:color w:val="000080"/>
          <w:sz w:val="20"/>
          <w:szCs w:val="20"/>
        </w:rPr>
        <w:t xml:space="preserve"> based on Ethernet technology.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Charges for end customer access in the local loop </w:t>
      </w:r>
      <w:r w:rsidR="00577F81">
        <w:rPr>
          <w:rFonts w:ascii="Tahoma" w:hAnsi="Tahoma" w:cs="Tahoma"/>
          <w:color w:val="000080"/>
          <w:sz w:val="20"/>
          <w:szCs w:val="20"/>
        </w:rPr>
        <w:t>are</w:t>
      </w:r>
      <w:r w:rsidRPr="0018299D">
        <w:rPr>
          <w:rFonts w:ascii="Tahoma" w:hAnsi="Tahoma" w:cs="Tahoma"/>
          <w:color w:val="000080"/>
          <w:sz w:val="20"/>
          <w:szCs w:val="20"/>
        </w:rPr>
        <w:t xml:space="preserve"> taken from RUO.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Customer premises </w:t>
      </w:r>
      <w:r w:rsidR="00577F81">
        <w:rPr>
          <w:rFonts w:ascii="Tahoma" w:hAnsi="Tahoma" w:cs="Tahoma"/>
          <w:color w:val="000080"/>
          <w:sz w:val="20"/>
          <w:szCs w:val="20"/>
        </w:rPr>
        <w:t xml:space="preserve">equipment (CPE) is assumed to </w:t>
      </w:r>
      <w:r w:rsidRPr="0018299D">
        <w:rPr>
          <w:rFonts w:ascii="Tahoma" w:hAnsi="Tahoma" w:cs="Tahoma"/>
          <w:color w:val="000080"/>
          <w:sz w:val="20"/>
          <w:szCs w:val="20"/>
        </w:rPr>
        <w:t xml:space="preserve">be provided by the alternative operator. </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CA142D">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Level 1 bitstream includes the following network components:</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 xml:space="preserve">Bitstream access link from handover ODF to DSLAM </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DSLAM port card</w:t>
      </w:r>
    </w:p>
    <w:p w:rsid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Access network in the local loop (charges taken form RUO) without CPE</w:t>
      </w:r>
    </w:p>
    <w:p w:rsidR="0037010E" w:rsidRDefault="0037010E" w:rsidP="002401BC">
      <w:pPr>
        <w:spacing w:line="280" w:lineRule="atLeast"/>
        <w:jc w:val="left"/>
        <w:rPr>
          <w:rFonts w:ascii="Tahoma" w:hAnsi="Tahoma" w:cs="Tahoma"/>
          <w:color w:val="000080"/>
          <w:sz w:val="20"/>
          <w:szCs w:val="20"/>
        </w:rPr>
      </w:pPr>
    </w:p>
    <w:p w:rsidR="0037010E" w:rsidRPr="0018299D" w:rsidRDefault="0037010E"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Level </w:t>
      </w:r>
      <w:r w:rsidR="00FE07FB">
        <w:rPr>
          <w:rFonts w:ascii="Tahoma" w:hAnsi="Tahoma" w:cs="Tahoma"/>
          <w:color w:val="000080"/>
          <w:sz w:val="20"/>
          <w:szCs w:val="20"/>
        </w:rPr>
        <w:t>1</w:t>
      </w:r>
      <w:r w:rsidRPr="0018299D">
        <w:rPr>
          <w:rFonts w:ascii="Tahoma" w:hAnsi="Tahoma" w:cs="Tahoma"/>
          <w:color w:val="000080"/>
          <w:sz w:val="20"/>
          <w:szCs w:val="20"/>
        </w:rPr>
        <w:t xml:space="preserve"> bitstream </w:t>
      </w:r>
      <w:r>
        <w:rPr>
          <w:rFonts w:ascii="Tahoma" w:hAnsi="Tahoma" w:cs="Tahoma"/>
          <w:color w:val="000080"/>
          <w:sz w:val="20"/>
          <w:szCs w:val="20"/>
        </w:rPr>
        <w:t>is</w:t>
      </w:r>
      <w:r w:rsidRPr="0018299D">
        <w:rPr>
          <w:rFonts w:ascii="Tahoma" w:hAnsi="Tahoma" w:cs="Tahoma"/>
          <w:color w:val="000080"/>
          <w:sz w:val="20"/>
          <w:szCs w:val="20"/>
        </w:rPr>
        <w:t xml:space="preserve"> modelled both with and without PSTN subscription (“standalone bitstream”).</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CA142D">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Level 2 bitstream </w:t>
      </w:r>
      <w:r w:rsidR="00CA6AE8">
        <w:rPr>
          <w:rFonts w:ascii="Tahoma" w:hAnsi="Tahoma" w:cs="Tahoma"/>
          <w:color w:val="000080"/>
          <w:sz w:val="20"/>
          <w:szCs w:val="20"/>
        </w:rPr>
        <w:t>is</w:t>
      </w:r>
      <w:r w:rsidR="00577F81">
        <w:rPr>
          <w:rFonts w:ascii="Tahoma" w:hAnsi="Tahoma" w:cs="Tahoma"/>
          <w:color w:val="000080"/>
          <w:sz w:val="20"/>
          <w:szCs w:val="20"/>
        </w:rPr>
        <w:t xml:space="preserve"> </w:t>
      </w:r>
      <w:r w:rsidRPr="0018299D">
        <w:rPr>
          <w:rFonts w:ascii="Tahoma" w:hAnsi="Tahoma" w:cs="Tahoma"/>
          <w:color w:val="000080"/>
          <w:sz w:val="20"/>
          <w:szCs w:val="20"/>
        </w:rPr>
        <w:t>modelled in the following manner:</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Network access point for alternative operator </w:t>
      </w:r>
      <w:r w:rsidR="00CA6AE8">
        <w:rPr>
          <w:rFonts w:ascii="Tahoma" w:hAnsi="Tahoma" w:cs="Tahoma"/>
          <w:color w:val="000080"/>
          <w:sz w:val="20"/>
          <w:szCs w:val="20"/>
        </w:rPr>
        <w:t xml:space="preserve">is </w:t>
      </w:r>
      <w:r w:rsidRPr="0018299D">
        <w:rPr>
          <w:rFonts w:ascii="Tahoma" w:hAnsi="Tahoma" w:cs="Tahoma"/>
          <w:color w:val="000080"/>
          <w:sz w:val="20"/>
          <w:szCs w:val="20"/>
        </w:rPr>
        <w:t xml:space="preserve">on the aggregation network and bitstream access link </w:t>
      </w:r>
      <w:r w:rsidR="00CA6AE8">
        <w:rPr>
          <w:rFonts w:ascii="Tahoma" w:hAnsi="Tahoma" w:cs="Tahoma"/>
          <w:color w:val="000080"/>
          <w:sz w:val="20"/>
          <w:szCs w:val="20"/>
        </w:rPr>
        <w:t xml:space="preserve">is </w:t>
      </w:r>
      <w:r w:rsidRPr="0018299D">
        <w:rPr>
          <w:rFonts w:ascii="Tahoma" w:hAnsi="Tahoma" w:cs="Tahoma"/>
          <w:color w:val="000080"/>
          <w:sz w:val="20"/>
          <w:szCs w:val="20"/>
        </w:rPr>
        <w:t xml:space="preserve">based on Ethernet technology.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Aggregation network </w:t>
      </w:r>
      <w:r w:rsidR="00CA6AE8">
        <w:rPr>
          <w:rFonts w:ascii="Tahoma" w:hAnsi="Tahoma" w:cs="Tahoma"/>
          <w:color w:val="000080"/>
          <w:sz w:val="20"/>
          <w:szCs w:val="20"/>
        </w:rPr>
        <w:t xml:space="preserve">is </w:t>
      </w:r>
      <w:r w:rsidRPr="0018299D">
        <w:rPr>
          <w:rFonts w:ascii="Tahoma" w:hAnsi="Tahoma" w:cs="Tahoma"/>
          <w:color w:val="000080"/>
          <w:sz w:val="20"/>
          <w:szCs w:val="20"/>
        </w:rPr>
        <w:t xml:space="preserve">charged per capacity required to provide access to alternative operator’s end users in the respective aggregation part of the network from network access point.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Charges for end customer access in the local loop </w:t>
      </w:r>
      <w:r w:rsidR="00CA6AE8">
        <w:rPr>
          <w:rFonts w:ascii="Tahoma" w:hAnsi="Tahoma" w:cs="Tahoma"/>
          <w:color w:val="000080"/>
          <w:sz w:val="20"/>
          <w:szCs w:val="20"/>
        </w:rPr>
        <w:t xml:space="preserve">are not </w:t>
      </w:r>
      <w:r w:rsidRPr="0018299D">
        <w:rPr>
          <w:rFonts w:ascii="Tahoma" w:hAnsi="Tahoma" w:cs="Tahoma"/>
          <w:color w:val="000080"/>
          <w:sz w:val="20"/>
          <w:szCs w:val="20"/>
        </w:rPr>
        <w:t xml:space="preserve">calculated but taken from RUO. </w:t>
      </w:r>
    </w:p>
    <w:p w:rsidR="0018299D" w:rsidRPr="0018299D" w:rsidRDefault="00CA6AE8" w:rsidP="00857CB5">
      <w:pPr>
        <w:numPr>
          <w:ilvl w:val="0"/>
          <w:numId w:val="19"/>
        </w:numPr>
        <w:spacing w:line="280" w:lineRule="atLeast"/>
        <w:ind w:left="993" w:hanging="284"/>
        <w:rPr>
          <w:rFonts w:ascii="Tahoma" w:hAnsi="Tahoma" w:cs="Tahoma"/>
          <w:color w:val="000080"/>
          <w:sz w:val="20"/>
          <w:szCs w:val="20"/>
        </w:rPr>
      </w:pPr>
      <w:r>
        <w:rPr>
          <w:rFonts w:ascii="Tahoma" w:hAnsi="Tahoma" w:cs="Tahoma"/>
          <w:color w:val="000080"/>
          <w:sz w:val="20"/>
          <w:szCs w:val="20"/>
        </w:rPr>
        <w:t xml:space="preserve">CPE is assumed to </w:t>
      </w:r>
      <w:r w:rsidR="0018299D" w:rsidRPr="0018299D">
        <w:rPr>
          <w:rFonts w:ascii="Tahoma" w:hAnsi="Tahoma" w:cs="Tahoma"/>
          <w:color w:val="000080"/>
          <w:sz w:val="20"/>
          <w:szCs w:val="20"/>
        </w:rPr>
        <w:t xml:space="preserve">be provided by the alternative operator.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BRAS</w:t>
      </w:r>
      <w:r w:rsidRPr="00CA142D">
        <w:rPr>
          <w:rFonts w:ascii="Tahoma" w:hAnsi="Tahoma" w:cs="Tahoma"/>
          <w:color w:val="000080"/>
          <w:sz w:val="20"/>
          <w:szCs w:val="20"/>
        </w:rPr>
        <w:t xml:space="preserve"> </w:t>
      </w:r>
      <w:r w:rsidRPr="0018299D">
        <w:rPr>
          <w:rFonts w:ascii="Tahoma" w:hAnsi="Tahoma" w:cs="Tahoma"/>
          <w:color w:val="000080"/>
          <w:sz w:val="20"/>
          <w:szCs w:val="20"/>
        </w:rPr>
        <w:t>server (Broadband Remote Access Server) is provided by Alternative Operator.</w:t>
      </w:r>
    </w:p>
    <w:p w:rsidR="0018299D" w:rsidRPr="00CA142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Capacity of the bitstream access link </w:t>
      </w:r>
      <w:r w:rsidR="00CA6AE8">
        <w:rPr>
          <w:rFonts w:ascii="Tahoma" w:hAnsi="Tahoma" w:cs="Tahoma"/>
          <w:color w:val="000080"/>
          <w:sz w:val="20"/>
          <w:szCs w:val="20"/>
        </w:rPr>
        <w:t>is assumed to be</w:t>
      </w:r>
      <w:r w:rsidRPr="0018299D">
        <w:rPr>
          <w:rFonts w:ascii="Tahoma" w:hAnsi="Tahoma" w:cs="Tahoma"/>
          <w:color w:val="000080"/>
          <w:sz w:val="20"/>
          <w:szCs w:val="20"/>
        </w:rPr>
        <w:t xml:space="preserve"> greater or equal to the capacity reserved in the backhaul. This provides the alternative operator with possibility to optimize cost with respect to planned expansion. No concentration ratio for Bitstream access link will be assumed, so AO is self</w:t>
      </w:r>
      <w:r w:rsidR="00827686">
        <w:rPr>
          <w:rFonts w:ascii="Tahoma" w:hAnsi="Tahoma" w:cs="Tahoma"/>
          <w:color w:val="000080"/>
          <w:sz w:val="20"/>
          <w:szCs w:val="20"/>
        </w:rPr>
        <w:t>-</w:t>
      </w:r>
      <w:r w:rsidRPr="0018299D">
        <w:rPr>
          <w:rFonts w:ascii="Tahoma" w:hAnsi="Tahoma" w:cs="Tahoma"/>
          <w:color w:val="000080"/>
          <w:sz w:val="20"/>
          <w:szCs w:val="20"/>
        </w:rPr>
        <w:t>responsible for the quality of best effort internet services that are provided to end subsc</w:t>
      </w:r>
      <w:r w:rsidR="00125955">
        <w:rPr>
          <w:rFonts w:ascii="Tahoma" w:hAnsi="Tahoma" w:cs="Tahoma"/>
          <w:color w:val="000080"/>
          <w:sz w:val="20"/>
          <w:szCs w:val="20"/>
        </w:rPr>
        <w:t>r</w:t>
      </w:r>
      <w:r w:rsidRPr="0018299D">
        <w:rPr>
          <w:rFonts w:ascii="Tahoma" w:hAnsi="Tahoma" w:cs="Tahoma"/>
          <w:color w:val="000080"/>
          <w:sz w:val="20"/>
          <w:szCs w:val="20"/>
        </w:rPr>
        <w:t>ibers.</w:t>
      </w:r>
      <w:r w:rsidRPr="00CA142D">
        <w:rPr>
          <w:rFonts w:ascii="Tahoma" w:hAnsi="Tahoma" w:cs="Tahoma"/>
          <w:color w:val="000080"/>
          <w:sz w:val="20"/>
          <w:szCs w:val="20"/>
        </w:rPr>
        <w:t xml:space="preserve"> </w:t>
      </w:r>
    </w:p>
    <w:p w:rsidR="0018299D" w:rsidRPr="0018299D" w:rsidRDefault="0018299D" w:rsidP="00FC1929">
      <w:pPr>
        <w:spacing w:line="280" w:lineRule="atLeast"/>
        <w:ind w:left="993"/>
        <w:jc w:val="left"/>
        <w:rPr>
          <w:rFonts w:ascii="Tahoma" w:hAnsi="Tahoma" w:cs="Tahoma"/>
          <w:color w:val="000080"/>
          <w:sz w:val="20"/>
          <w:szCs w:val="20"/>
        </w:rPr>
      </w:pPr>
    </w:p>
    <w:p w:rsidR="0018299D" w:rsidRPr="0018299D" w:rsidRDefault="0018299D" w:rsidP="00857CB5">
      <w:pPr>
        <w:numPr>
          <w:ilvl w:val="1"/>
          <w:numId w:val="17"/>
        </w:numPr>
        <w:tabs>
          <w:tab w:val="clear" w:pos="630"/>
          <w:tab w:val="num" w:pos="540"/>
        </w:tabs>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Level 2 bitstream </w:t>
      </w:r>
      <w:r w:rsidR="0037010E">
        <w:rPr>
          <w:rFonts w:ascii="Tahoma" w:hAnsi="Tahoma" w:cs="Tahoma"/>
          <w:color w:val="000080"/>
          <w:sz w:val="20"/>
          <w:szCs w:val="20"/>
        </w:rPr>
        <w:t>is</w:t>
      </w:r>
      <w:r w:rsidR="0037010E" w:rsidRPr="0018299D">
        <w:rPr>
          <w:rFonts w:ascii="Tahoma" w:hAnsi="Tahoma" w:cs="Tahoma"/>
          <w:color w:val="000080"/>
          <w:sz w:val="20"/>
          <w:szCs w:val="20"/>
        </w:rPr>
        <w:t xml:space="preserve"> </w:t>
      </w:r>
      <w:r w:rsidRPr="0018299D">
        <w:rPr>
          <w:rFonts w:ascii="Tahoma" w:hAnsi="Tahoma" w:cs="Tahoma"/>
          <w:color w:val="000080"/>
          <w:sz w:val="20"/>
          <w:szCs w:val="20"/>
        </w:rPr>
        <w:t>modelled both with and without PSTN subscription</w:t>
      </w:r>
      <w:r w:rsidR="00857CB5">
        <w:rPr>
          <w:rFonts w:ascii="Tahoma" w:hAnsi="Tahoma" w:cs="Tahoma"/>
          <w:color w:val="000080"/>
          <w:sz w:val="20"/>
          <w:szCs w:val="20"/>
        </w:rPr>
        <w:t xml:space="preserve"> </w:t>
      </w:r>
      <w:r w:rsidRPr="0018299D">
        <w:rPr>
          <w:rFonts w:ascii="Tahoma" w:hAnsi="Tahoma" w:cs="Tahoma"/>
          <w:color w:val="000080"/>
          <w:sz w:val="20"/>
          <w:szCs w:val="20"/>
        </w:rPr>
        <w:t>(“standalone</w:t>
      </w:r>
      <w:r w:rsidR="00857CB5">
        <w:rPr>
          <w:rFonts w:ascii="Tahoma" w:hAnsi="Tahoma" w:cs="Tahoma"/>
          <w:color w:val="000080"/>
          <w:sz w:val="20"/>
          <w:szCs w:val="20"/>
        </w:rPr>
        <w:t xml:space="preserve"> b</w:t>
      </w:r>
      <w:r w:rsidRPr="0018299D">
        <w:rPr>
          <w:rFonts w:ascii="Tahoma" w:hAnsi="Tahoma" w:cs="Tahoma"/>
          <w:color w:val="000080"/>
          <w:sz w:val="20"/>
          <w:szCs w:val="20"/>
        </w:rPr>
        <w:t>itstream”).</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40" w:hanging="567"/>
        <w:jc w:val="left"/>
        <w:rPr>
          <w:rFonts w:ascii="Tahoma" w:hAnsi="Tahoma" w:cs="Tahoma"/>
          <w:color w:val="000080"/>
          <w:sz w:val="20"/>
          <w:szCs w:val="20"/>
        </w:rPr>
      </w:pPr>
      <w:r w:rsidRPr="0018299D">
        <w:rPr>
          <w:rFonts w:ascii="Tahoma" w:hAnsi="Tahoma" w:cs="Tahoma"/>
          <w:color w:val="000080"/>
          <w:sz w:val="20"/>
          <w:szCs w:val="20"/>
        </w:rPr>
        <w:t>Level 2 bitstream includes the following network components</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Bitstream access link from handover ODF to a port on aggregation network node</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Backhaul aggregation network capacity up to the DSLAM</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DSLAM (uplink and port cards)</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Access network in the local loop (charges taken form RUO) without CPE</w:t>
      </w:r>
    </w:p>
    <w:p w:rsidR="00162A7C" w:rsidRPr="0018299D" w:rsidRDefault="00162A7C" w:rsidP="0018299D">
      <w:pPr>
        <w:spacing w:line="280" w:lineRule="atLeast"/>
        <w:ind w:left="540"/>
        <w:jc w:val="left"/>
        <w:rPr>
          <w:rFonts w:ascii="Tahoma" w:hAnsi="Tahoma" w:cs="Tahoma"/>
          <w:color w:val="000080"/>
          <w:sz w:val="20"/>
          <w:szCs w:val="20"/>
        </w:rPr>
      </w:pPr>
    </w:p>
    <w:p w:rsidR="0018299D" w:rsidRPr="0018299D" w:rsidRDefault="0018299D" w:rsidP="00CA142D">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Level 3 bitstream </w:t>
      </w:r>
      <w:r w:rsidR="00CA6AE8">
        <w:rPr>
          <w:rFonts w:ascii="Tahoma" w:hAnsi="Tahoma" w:cs="Tahoma"/>
          <w:color w:val="000080"/>
          <w:sz w:val="20"/>
          <w:szCs w:val="20"/>
        </w:rPr>
        <w:t xml:space="preserve">is </w:t>
      </w:r>
      <w:r w:rsidRPr="0018299D">
        <w:rPr>
          <w:rFonts w:ascii="Tahoma" w:hAnsi="Tahoma" w:cs="Tahoma"/>
          <w:color w:val="000080"/>
          <w:sz w:val="20"/>
          <w:szCs w:val="20"/>
        </w:rPr>
        <w:t>modelled in the following manner:</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Network access point for alternative operator </w:t>
      </w:r>
      <w:r w:rsidR="00CA6AE8">
        <w:rPr>
          <w:rFonts w:ascii="Tahoma" w:hAnsi="Tahoma" w:cs="Tahoma"/>
          <w:color w:val="000080"/>
          <w:sz w:val="20"/>
          <w:szCs w:val="20"/>
        </w:rPr>
        <w:t>is</w:t>
      </w:r>
      <w:r w:rsidRPr="0018299D">
        <w:rPr>
          <w:rFonts w:ascii="Tahoma" w:hAnsi="Tahoma" w:cs="Tahoma"/>
          <w:color w:val="000080"/>
          <w:sz w:val="20"/>
          <w:szCs w:val="20"/>
        </w:rPr>
        <w:t xml:space="preserve"> on the core network and bitstream access link will be based on Ethernet technology.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Backhaul network capacity network (core and aggregation) </w:t>
      </w:r>
      <w:r w:rsidR="00CA6AE8">
        <w:rPr>
          <w:rFonts w:ascii="Tahoma" w:hAnsi="Tahoma" w:cs="Tahoma"/>
          <w:color w:val="000080"/>
          <w:sz w:val="20"/>
          <w:szCs w:val="20"/>
        </w:rPr>
        <w:t xml:space="preserve">is </w:t>
      </w:r>
      <w:r w:rsidRPr="0018299D">
        <w:rPr>
          <w:rFonts w:ascii="Tahoma" w:hAnsi="Tahoma" w:cs="Tahoma"/>
          <w:color w:val="000080"/>
          <w:sz w:val="20"/>
          <w:szCs w:val="20"/>
        </w:rPr>
        <w:t xml:space="preserve">charged per capacity required to provide the service to alternative operator’s end users from network access.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lastRenderedPageBreak/>
        <w:t>Optional</w:t>
      </w:r>
      <w:r w:rsidR="00CA6AE8">
        <w:rPr>
          <w:rFonts w:ascii="Tahoma" w:hAnsi="Tahoma" w:cs="Tahoma"/>
          <w:color w:val="000080"/>
          <w:sz w:val="20"/>
          <w:szCs w:val="20"/>
        </w:rPr>
        <w:t xml:space="preserve"> </w:t>
      </w:r>
      <w:r w:rsidRPr="0018299D">
        <w:rPr>
          <w:rFonts w:ascii="Tahoma" w:hAnsi="Tahoma" w:cs="Tahoma"/>
          <w:color w:val="000080"/>
          <w:sz w:val="20"/>
          <w:szCs w:val="20"/>
        </w:rPr>
        <w:t>BRAS node</w:t>
      </w:r>
      <w:r w:rsidR="00CA6AE8">
        <w:rPr>
          <w:rFonts w:ascii="Tahoma" w:hAnsi="Tahoma" w:cs="Tahoma"/>
          <w:color w:val="000080"/>
          <w:sz w:val="20"/>
          <w:szCs w:val="20"/>
        </w:rPr>
        <w:t xml:space="preserve"> </w:t>
      </w:r>
      <w:r w:rsidRPr="0018299D">
        <w:rPr>
          <w:rFonts w:ascii="Tahoma" w:hAnsi="Tahoma" w:cs="Tahoma"/>
          <w:color w:val="000080"/>
          <w:sz w:val="20"/>
          <w:szCs w:val="20"/>
        </w:rPr>
        <w:t>– see explanation in the following point.</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Charges for end customer access in the local loop </w:t>
      </w:r>
      <w:r w:rsidR="00CA6AE8">
        <w:rPr>
          <w:rFonts w:ascii="Tahoma" w:hAnsi="Tahoma" w:cs="Tahoma"/>
          <w:color w:val="000080"/>
          <w:sz w:val="20"/>
          <w:szCs w:val="20"/>
        </w:rPr>
        <w:t>are</w:t>
      </w:r>
      <w:r w:rsidR="00CA6AE8" w:rsidRPr="0018299D">
        <w:rPr>
          <w:rFonts w:ascii="Tahoma" w:hAnsi="Tahoma" w:cs="Tahoma"/>
          <w:color w:val="000080"/>
          <w:sz w:val="20"/>
          <w:szCs w:val="20"/>
        </w:rPr>
        <w:t xml:space="preserve"> </w:t>
      </w:r>
      <w:r w:rsidRPr="0018299D">
        <w:rPr>
          <w:rFonts w:ascii="Tahoma" w:hAnsi="Tahoma" w:cs="Tahoma"/>
          <w:color w:val="000080"/>
          <w:sz w:val="20"/>
          <w:szCs w:val="20"/>
        </w:rPr>
        <w:t xml:space="preserve">not calculated but taken from RUO. </w:t>
      </w:r>
    </w:p>
    <w:p w:rsidR="0018299D" w:rsidRPr="0018299D" w:rsidRDefault="00CA6AE8" w:rsidP="00857CB5">
      <w:pPr>
        <w:numPr>
          <w:ilvl w:val="0"/>
          <w:numId w:val="19"/>
        </w:numPr>
        <w:spacing w:line="280" w:lineRule="atLeast"/>
        <w:ind w:left="993" w:hanging="284"/>
        <w:rPr>
          <w:rFonts w:ascii="Tahoma" w:hAnsi="Tahoma" w:cs="Tahoma"/>
          <w:color w:val="000080"/>
          <w:sz w:val="20"/>
          <w:szCs w:val="20"/>
        </w:rPr>
      </w:pPr>
      <w:r>
        <w:rPr>
          <w:rFonts w:ascii="Tahoma" w:hAnsi="Tahoma" w:cs="Tahoma"/>
          <w:color w:val="000080"/>
          <w:sz w:val="20"/>
          <w:szCs w:val="20"/>
        </w:rPr>
        <w:t>CPE is assumed to</w:t>
      </w:r>
      <w:r w:rsidR="0018299D" w:rsidRPr="0018299D">
        <w:rPr>
          <w:rFonts w:ascii="Tahoma" w:hAnsi="Tahoma" w:cs="Tahoma"/>
          <w:color w:val="000080"/>
          <w:sz w:val="20"/>
          <w:szCs w:val="20"/>
        </w:rPr>
        <w:t xml:space="preserve"> be provided by the alternative operator. </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Capacity of the bitstream access link </w:t>
      </w:r>
      <w:r w:rsidR="00CA6AE8">
        <w:rPr>
          <w:rFonts w:ascii="Tahoma" w:hAnsi="Tahoma" w:cs="Tahoma"/>
          <w:color w:val="000080"/>
          <w:sz w:val="20"/>
          <w:szCs w:val="20"/>
        </w:rPr>
        <w:t>is assumed to</w:t>
      </w:r>
      <w:r w:rsidR="00CA6AE8" w:rsidRPr="0018299D">
        <w:rPr>
          <w:rFonts w:ascii="Tahoma" w:hAnsi="Tahoma" w:cs="Tahoma"/>
          <w:color w:val="000080"/>
          <w:sz w:val="20"/>
          <w:szCs w:val="20"/>
        </w:rPr>
        <w:t xml:space="preserve"> </w:t>
      </w:r>
      <w:r w:rsidRPr="0018299D">
        <w:rPr>
          <w:rFonts w:ascii="Tahoma" w:hAnsi="Tahoma" w:cs="Tahoma"/>
          <w:color w:val="000080"/>
          <w:sz w:val="20"/>
          <w:szCs w:val="20"/>
        </w:rPr>
        <w:t xml:space="preserve">be greater or equal to the capacity reserved in the backhaul. This provides the alternative operator with possibility to optimize cost with respect to planned expansion. No concentration ratio for Bitstream access link </w:t>
      </w:r>
      <w:r w:rsidR="00CA6AE8">
        <w:rPr>
          <w:rFonts w:ascii="Tahoma" w:hAnsi="Tahoma" w:cs="Tahoma"/>
          <w:color w:val="000080"/>
          <w:sz w:val="20"/>
          <w:szCs w:val="20"/>
        </w:rPr>
        <w:t>is</w:t>
      </w:r>
      <w:r w:rsidRPr="0018299D">
        <w:rPr>
          <w:rFonts w:ascii="Tahoma" w:hAnsi="Tahoma" w:cs="Tahoma"/>
          <w:color w:val="000080"/>
          <w:sz w:val="20"/>
          <w:szCs w:val="20"/>
        </w:rPr>
        <w:t xml:space="preserve"> assumed, so AO is </w:t>
      </w:r>
      <w:r w:rsidR="00CA6AE8" w:rsidRPr="0018299D">
        <w:rPr>
          <w:rFonts w:ascii="Tahoma" w:hAnsi="Tahoma" w:cs="Tahoma"/>
          <w:color w:val="000080"/>
          <w:sz w:val="20"/>
          <w:szCs w:val="20"/>
        </w:rPr>
        <w:t>self-responsible</w:t>
      </w:r>
      <w:r w:rsidRPr="0018299D">
        <w:rPr>
          <w:rFonts w:ascii="Tahoma" w:hAnsi="Tahoma" w:cs="Tahoma"/>
          <w:color w:val="000080"/>
          <w:sz w:val="20"/>
          <w:szCs w:val="20"/>
        </w:rPr>
        <w:t xml:space="preserve"> for the quality of best effort internet services that are provided to end </w:t>
      </w:r>
      <w:r w:rsidR="00CA6AE8" w:rsidRPr="0018299D">
        <w:rPr>
          <w:rFonts w:ascii="Tahoma" w:hAnsi="Tahoma" w:cs="Tahoma"/>
          <w:color w:val="000080"/>
          <w:sz w:val="20"/>
          <w:szCs w:val="20"/>
        </w:rPr>
        <w:t>subscribers</w:t>
      </w:r>
      <w:r w:rsidRPr="0018299D">
        <w:rPr>
          <w:rFonts w:ascii="Tahoma" w:hAnsi="Tahoma" w:cs="Tahoma"/>
          <w:color w:val="000080"/>
          <w:sz w:val="20"/>
          <w:szCs w:val="20"/>
        </w:rPr>
        <w:t xml:space="preserve">. </w:t>
      </w:r>
    </w:p>
    <w:p w:rsidR="0018299D" w:rsidRPr="0018299D" w:rsidRDefault="0018299D" w:rsidP="00857CB5">
      <w:pPr>
        <w:spacing w:line="280" w:lineRule="atLeast"/>
        <w:ind w:left="540"/>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Level 3 </w:t>
      </w:r>
      <w:r w:rsidR="00CA6AE8">
        <w:rPr>
          <w:rFonts w:ascii="Tahoma" w:hAnsi="Tahoma" w:cs="Tahoma"/>
          <w:color w:val="000080"/>
          <w:sz w:val="20"/>
          <w:szCs w:val="20"/>
        </w:rPr>
        <w:t>is</w:t>
      </w:r>
      <w:r w:rsidRPr="0018299D">
        <w:rPr>
          <w:rFonts w:ascii="Tahoma" w:hAnsi="Tahoma" w:cs="Tahoma"/>
          <w:color w:val="000080"/>
          <w:sz w:val="20"/>
          <w:szCs w:val="20"/>
        </w:rPr>
        <w:t xml:space="preserve"> modelled with two variants: i) with BRAS node provided by the SMP; ii) with BRAS node provided by the alternative operator. This effectively means that level 3 bitstream will be provided as OSI stack Layer 2 service but on a core network level. Availability of this service is subject to technical and security requirements of the SMP operator. </w:t>
      </w:r>
    </w:p>
    <w:p w:rsidR="0018299D" w:rsidRPr="0018299D" w:rsidRDefault="0018299D" w:rsidP="00CA142D">
      <w:pPr>
        <w:spacing w:line="280" w:lineRule="atLeast"/>
        <w:ind w:left="567"/>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Level 3 bitstream </w:t>
      </w:r>
      <w:r w:rsidR="00825B8F">
        <w:rPr>
          <w:rFonts w:ascii="Tahoma" w:hAnsi="Tahoma" w:cs="Tahoma"/>
          <w:color w:val="000080"/>
          <w:sz w:val="20"/>
          <w:szCs w:val="20"/>
        </w:rPr>
        <w:t xml:space="preserve">is </w:t>
      </w:r>
      <w:r w:rsidRPr="0018299D">
        <w:rPr>
          <w:rFonts w:ascii="Tahoma" w:hAnsi="Tahoma" w:cs="Tahoma"/>
          <w:color w:val="000080"/>
          <w:sz w:val="20"/>
          <w:szCs w:val="20"/>
        </w:rPr>
        <w:t>modelled both with and without PSTN subscription (“standalone bitstream”).</w:t>
      </w:r>
    </w:p>
    <w:p w:rsidR="0018299D" w:rsidRPr="0018299D" w:rsidRDefault="0018299D" w:rsidP="00857CB5">
      <w:pPr>
        <w:spacing w:line="280" w:lineRule="atLeast"/>
        <w:ind w:left="540"/>
        <w:rPr>
          <w:rFonts w:ascii="Tahoma" w:hAnsi="Tahoma" w:cs="Tahoma"/>
          <w:color w:val="000080"/>
          <w:sz w:val="20"/>
          <w:szCs w:val="20"/>
        </w:rPr>
      </w:pPr>
    </w:p>
    <w:p w:rsidR="0018299D" w:rsidRPr="0018299D" w:rsidRDefault="0018299D" w:rsidP="00857CB5">
      <w:pPr>
        <w:numPr>
          <w:ilvl w:val="1"/>
          <w:numId w:val="17"/>
        </w:numPr>
        <w:spacing w:line="280" w:lineRule="atLeast"/>
        <w:ind w:hanging="630"/>
        <w:rPr>
          <w:rFonts w:ascii="Tahoma" w:hAnsi="Tahoma" w:cs="Tahoma"/>
          <w:color w:val="000080"/>
          <w:sz w:val="20"/>
          <w:szCs w:val="20"/>
        </w:rPr>
      </w:pPr>
      <w:r w:rsidRPr="0018299D">
        <w:rPr>
          <w:rFonts w:ascii="Tahoma" w:hAnsi="Tahoma" w:cs="Tahoma"/>
          <w:color w:val="000080"/>
          <w:sz w:val="20"/>
          <w:szCs w:val="20"/>
        </w:rPr>
        <w:t>Level 3 bitstream includes the following network components</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Bitstream access link from handover ODF to a port on core network node</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Core and aggregation backhaul network capacity up to the DSLAM</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BRAS node (optionally – see above)</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DSLAM (uplink and port cards)</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Access network in the local loop (charges taken form RUO) without CPE</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The model cover</w:t>
      </w:r>
      <w:r w:rsidR="00FE07FB">
        <w:rPr>
          <w:rFonts w:ascii="Tahoma" w:hAnsi="Tahoma" w:cs="Tahoma"/>
          <w:color w:val="000080"/>
          <w:sz w:val="20"/>
          <w:szCs w:val="20"/>
        </w:rPr>
        <w:t>s</w:t>
      </w:r>
      <w:r w:rsidRPr="0018299D">
        <w:rPr>
          <w:rFonts w:ascii="Tahoma" w:hAnsi="Tahoma" w:cs="Tahoma"/>
          <w:color w:val="000080"/>
          <w:sz w:val="20"/>
          <w:szCs w:val="20"/>
        </w:rPr>
        <w:t xml:space="preserve"> three basic classes of services: Internet access, VoIP and IPTV. </w:t>
      </w:r>
    </w:p>
    <w:p w:rsidR="0018299D" w:rsidRPr="0018299D" w:rsidRDefault="0018299D" w:rsidP="00857CB5">
      <w:pPr>
        <w:spacing w:line="280" w:lineRule="atLeast"/>
        <w:ind w:left="567"/>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All of these services </w:t>
      </w:r>
      <w:r w:rsidR="00FE07FB">
        <w:rPr>
          <w:rFonts w:ascii="Tahoma" w:hAnsi="Tahoma" w:cs="Tahoma"/>
          <w:color w:val="000080"/>
          <w:sz w:val="20"/>
          <w:szCs w:val="20"/>
        </w:rPr>
        <w:t>are</w:t>
      </w:r>
      <w:r w:rsidR="00FE07FB" w:rsidRPr="0018299D">
        <w:rPr>
          <w:rFonts w:ascii="Tahoma" w:hAnsi="Tahoma" w:cs="Tahoma"/>
          <w:color w:val="000080"/>
          <w:sz w:val="20"/>
          <w:szCs w:val="20"/>
        </w:rPr>
        <w:t xml:space="preserve"> </w:t>
      </w:r>
      <w:r w:rsidRPr="0018299D">
        <w:rPr>
          <w:rFonts w:ascii="Tahoma" w:hAnsi="Tahoma" w:cs="Tahoma"/>
          <w:color w:val="000080"/>
          <w:sz w:val="20"/>
          <w:szCs w:val="20"/>
        </w:rPr>
        <w:t>modelled with the same QoS and overbooking factors used by the SMP to for its own end customers.</w:t>
      </w:r>
    </w:p>
    <w:p w:rsidR="00CA6AE8" w:rsidRDefault="00CA6AE8" w:rsidP="00857CB5">
      <w:pPr>
        <w:pStyle w:val="ListParagraph"/>
        <w:rPr>
          <w:rFonts w:ascii="Tahoma" w:hAnsi="Tahoma" w:cs="Tahoma"/>
          <w:color w:val="000080"/>
          <w:sz w:val="20"/>
          <w:szCs w:val="20"/>
        </w:rPr>
      </w:pPr>
    </w:p>
    <w:p w:rsidR="00CA6AE8" w:rsidRPr="001E6F65" w:rsidRDefault="00CA6AE8"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 xml:space="preserve">Results for basic internet service per selected profile are presented in the following table. </w:t>
      </w: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57CB5" w:rsidRDefault="00857CB5" w:rsidP="00FC1929">
      <w:pPr>
        <w:spacing w:line="280" w:lineRule="atLeast"/>
        <w:ind w:left="567"/>
        <w:jc w:val="left"/>
        <w:rPr>
          <w:rFonts w:ascii="Tahoma" w:hAnsi="Tahoma" w:cs="Tahoma"/>
          <w:color w:val="000080"/>
          <w:sz w:val="20"/>
          <w:szCs w:val="20"/>
        </w:rPr>
      </w:pPr>
    </w:p>
    <w:p w:rsidR="00857CB5" w:rsidRDefault="00857CB5" w:rsidP="00FC1929">
      <w:pPr>
        <w:spacing w:line="280" w:lineRule="atLeast"/>
        <w:ind w:left="567"/>
        <w:jc w:val="left"/>
        <w:rPr>
          <w:rFonts w:ascii="Tahoma" w:hAnsi="Tahoma" w:cs="Tahoma"/>
          <w:color w:val="000080"/>
          <w:sz w:val="20"/>
          <w:szCs w:val="20"/>
        </w:rPr>
      </w:pPr>
    </w:p>
    <w:p w:rsidR="00857CB5" w:rsidRDefault="00857CB5" w:rsidP="00FC1929">
      <w:pPr>
        <w:spacing w:line="280" w:lineRule="atLeast"/>
        <w:ind w:left="567"/>
        <w:jc w:val="left"/>
        <w:rPr>
          <w:rFonts w:ascii="Tahoma" w:hAnsi="Tahoma" w:cs="Tahoma"/>
          <w:color w:val="000080"/>
          <w:sz w:val="20"/>
          <w:szCs w:val="20"/>
        </w:rPr>
      </w:pPr>
    </w:p>
    <w:p w:rsidR="00E276BE" w:rsidRDefault="00E276BE" w:rsidP="00FC1929">
      <w:pPr>
        <w:spacing w:line="280" w:lineRule="atLeast"/>
        <w:ind w:left="567"/>
        <w:jc w:val="left"/>
        <w:rPr>
          <w:rFonts w:ascii="Tahoma" w:hAnsi="Tahoma" w:cs="Tahoma"/>
          <w:color w:val="000080"/>
          <w:sz w:val="20"/>
          <w:szCs w:val="20"/>
        </w:rPr>
      </w:pPr>
    </w:p>
    <w:p w:rsidR="00857CB5" w:rsidRDefault="00857CB5"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83170B" w:rsidRDefault="0083170B" w:rsidP="00FC1929">
      <w:pPr>
        <w:spacing w:line="280" w:lineRule="atLeast"/>
        <w:ind w:left="567"/>
        <w:jc w:val="left"/>
        <w:rPr>
          <w:rFonts w:ascii="Tahoma" w:hAnsi="Tahoma" w:cs="Tahoma"/>
          <w:color w:val="000080"/>
          <w:sz w:val="20"/>
          <w:szCs w:val="20"/>
        </w:rPr>
      </w:pPr>
    </w:p>
    <w:p w:rsidR="001671E7" w:rsidRDefault="001671E7" w:rsidP="001671E7">
      <w:pPr>
        <w:spacing w:line="280" w:lineRule="atLeast"/>
        <w:ind w:left="567"/>
        <w:jc w:val="left"/>
        <w:rPr>
          <w:rFonts w:ascii="Tahoma" w:hAnsi="Tahoma" w:cs="Tahoma"/>
          <w:color w:val="000080"/>
          <w:sz w:val="20"/>
          <w:szCs w:val="20"/>
        </w:rPr>
      </w:pPr>
    </w:p>
    <w:tbl>
      <w:tblPr>
        <w:tblW w:w="8618" w:type="dxa"/>
        <w:tblInd w:w="675" w:type="dxa"/>
        <w:tblLayout w:type="fixed"/>
        <w:tblLook w:val="04A0"/>
      </w:tblPr>
      <w:tblGrid>
        <w:gridCol w:w="1814"/>
        <w:gridCol w:w="1701"/>
        <w:gridCol w:w="1701"/>
        <w:gridCol w:w="1701"/>
        <w:gridCol w:w="1701"/>
      </w:tblGrid>
      <w:tr w:rsidR="00560B52" w:rsidRPr="00560B52" w:rsidTr="00560B52">
        <w:trPr>
          <w:trHeight w:val="255"/>
        </w:trPr>
        <w:tc>
          <w:tcPr>
            <w:tcW w:w="1814" w:type="dxa"/>
            <w:tcBorders>
              <w:top w:val="single" w:sz="8" w:space="0" w:color="000080"/>
              <w:left w:val="single" w:sz="8" w:space="0" w:color="000080"/>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color w:val="FFFFFF"/>
                <w:sz w:val="20"/>
                <w:szCs w:val="20"/>
                <w:lang w:val="en-US" w:eastAsia="en-US"/>
              </w:rPr>
            </w:pPr>
            <w:r w:rsidRPr="00560B52">
              <w:rPr>
                <w:rFonts w:ascii="Tahoma" w:hAnsi="Tahoma" w:cs="Tahoma"/>
                <w:color w:val="FFFFFF"/>
                <w:sz w:val="20"/>
                <w:szCs w:val="20"/>
                <w:lang w:eastAsia="en-US"/>
              </w:rPr>
              <w:lastRenderedPageBreak/>
              <w:t>Profile (downlink/uplink)</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1</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2</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without BRAS</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 BRAS</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1024/512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110,35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114,44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118,96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121,79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2048/512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110,87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117,69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125,23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129,94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3072/512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111,39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120,94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131,50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138,09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4096/768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112,05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125,00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139,33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148,27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5120/768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112,57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128,25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145,60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156,42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6144/768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113,09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131,50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151,87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164,57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7168/768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113,61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134,75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158,13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172,72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8192/1024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114,27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138,81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165,97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182,91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9216/1024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114,79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142,06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172,24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191,06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10240/1024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115,31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145,31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178,50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199,21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11264/1024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115,84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148,56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184,77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207,36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12288/1024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116,36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151,81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191,04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215,51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13312/1024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116,88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155,06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197,31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223,66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14336/1024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117,40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158,31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203,57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231,81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15360/1024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117,93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161,56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209,84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239,96 MKD</w:t>
            </w:r>
          </w:p>
        </w:tc>
      </w:tr>
      <w:tr w:rsidR="00560B52" w:rsidRPr="00560B52" w:rsidTr="00560B52">
        <w:trPr>
          <w:trHeight w:val="270"/>
        </w:trPr>
        <w:tc>
          <w:tcPr>
            <w:tcW w:w="1814" w:type="dxa"/>
            <w:tcBorders>
              <w:top w:val="nil"/>
              <w:left w:val="single" w:sz="8" w:space="0" w:color="000080"/>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16384/1024</w:t>
            </w:r>
            <w:r w:rsidR="005C0BDB">
              <w:rPr>
                <w:rFonts w:ascii="Tahoma" w:hAnsi="Tahoma" w:cs="Tahoma"/>
                <w:color w:val="000080"/>
                <w:sz w:val="20"/>
                <w:szCs w:val="20"/>
                <w:lang w:val="en-US" w:eastAsia="en-US"/>
              </w:rPr>
              <w:t xml:space="preserve"> Kbps</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118,45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164,81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216,11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248,11 MKD</w:t>
            </w:r>
          </w:p>
        </w:tc>
      </w:tr>
    </w:tbl>
    <w:p w:rsidR="00942082" w:rsidRDefault="00942082" w:rsidP="001671E7">
      <w:pPr>
        <w:spacing w:line="280" w:lineRule="atLeast"/>
        <w:ind w:left="567"/>
        <w:jc w:val="left"/>
        <w:rPr>
          <w:rFonts w:ascii="Tahoma" w:hAnsi="Tahoma" w:cs="Tahoma"/>
          <w:color w:val="000080"/>
          <w:sz w:val="20"/>
          <w:szCs w:val="20"/>
        </w:rPr>
      </w:pPr>
    </w:p>
    <w:p w:rsidR="00A044F7" w:rsidRDefault="00A044F7" w:rsidP="001671E7">
      <w:pPr>
        <w:spacing w:line="280" w:lineRule="atLeast"/>
        <w:ind w:left="567"/>
        <w:jc w:val="left"/>
        <w:rPr>
          <w:rFonts w:ascii="Tahoma" w:hAnsi="Tahoma" w:cs="Tahoma"/>
          <w:color w:val="000080"/>
          <w:sz w:val="20"/>
          <w:szCs w:val="20"/>
        </w:rPr>
      </w:pPr>
    </w:p>
    <w:p w:rsidR="00A044F7" w:rsidRDefault="00A044F7"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Results for “</w:t>
      </w:r>
      <w:r w:rsidR="00125955">
        <w:rPr>
          <w:rFonts w:ascii="Tahoma" w:hAnsi="Tahoma" w:cs="Tahoma"/>
          <w:color w:val="000080"/>
          <w:sz w:val="20"/>
          <w:szCs w:val="20"/>
        </w:rPr>
        <w:t>standalone</w:t>
      </w:r>
      <w:r>
        <w:rPr>
          <w:rFonts w:ascii="Tahoma" w:hAnsi="Tahoma" w:cs="Tahoma"/>
          <w:color w:val="000080"/>
          <w:sz w:val="20"/>
          <w:szCs w:val="20"/>
        </w:rPr>
        <w:t xml:space="preserve">” basic internet service – i.e. when there is no active PSTN subscription associated with ADSL line - per selected profile are presented in the following table. </w:t>
      </w:r>
    </w:p>
    <w:p w:rsidR="00116B01" w:rsidRPr="001E6F65" w:rsidRDefault="00116B01" w:rsidP="00857CB5">
      <w:pPr>
        <w:spacing w:line="280" w:lineRule="atLeast"/>
        <w:ind w:left="567"/>
        <w:rPr>
          <w:rFonts w:ascii="Tahoma" w:hAnsi="Tahoma" w:cs="Tahoma"/>
          <w:color w:val="000080"/>
          <w:sz w:val="20"/>
          <w:szCs w:val="20"/>
        </w:rPr>
      </w:pPr>
    </w:p>
    <w:tbl>
      <w:tblPr>
        <w:tblW w:w="8618" w:type="dxa"/>
        <w:tblInd w:w="675" w:type="dxa"/>
        <w:tblLook w:val="04A0"/>
      </w:tblPr>
      <w:tblGrid>
        <w:gridCol w:w="1814"/>
        <w:gridCol w:w="1701"/>
        <w:gridCol w:w="1701"/>
        <w:gridCol w:w="1701"/>
        <w:gridCol w:w="1701"/>
      </w:tblGrid>
      <w:tr w:rsidR="00560B52" w:rsidRPr="00560B52" w:rsidTr="00560B52">
        <w:trPr>
          <w:trHeight w:val="255"/>
        </w:trPr>
        <w:tc>
          <w:tcPr>
            <w:tcW w:w="1814" w:type="dxa"/>
            <w:tcBorders>
              <w:top w:val="single" w:sz="8" w:space="0" w:color="000080"/>
              <w:left w:val="single" w:sz="8" w:space="0" w:color="000080"/>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color w:val="FFFFFF"/>
                <w:sz w:val="20"/>
                <w:szCs w:val="20"/>
                <w:lang w:val="en-US" w:eastAsia="en-US"/>
              </w:rPr>
            </w:pPr>
            <w:r w:rsidRPr="00560B52">
              <w:rPr>
                <w:rFonts w:ascii="Tahoma" w:hAnsi="Tahoma" w:cs="Tahoma"/>
                <w:color w:val="FFFFFF"/>
                <w:sz w:val="20"/>
                <w:szCs w:val="20"/>
                <w:lang w:eastAsia="en-US"/>
              </w:rPr>
              <w:t>Profile (downlink/uplink)</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1</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2</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without BRAS</w:t>
            </w:r>
          </w:p>
        </w:tc>
        <w:tc>
          <w:tcPr>
            <w:tcW w:w="1701"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 BRAS</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1024/512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320,35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324,44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328,96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331,79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2048/512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320,87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327,69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335,23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339,94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3072/512</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321,39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330,94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341,50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348,09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4096/768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322,05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335,00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349,33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358,27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5120/768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322,57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338,25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355,60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366,42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6144/768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323,09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341,50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361,87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374,57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7168/768</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323,61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344,75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368,13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382,72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8192/1024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324,27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348,81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375,97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392,91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9216/1024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324,79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352,06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382,24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401,06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10240/1024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325,31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355,31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388,50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409,21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11264/1024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325,84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358,56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394,77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417,36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12288/1024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326,36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361,81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401,04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425,51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13312/1024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326,88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365,06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407,31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433,66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14336/1024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327,40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368,31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413,57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441,81 MKD</w:t>
            </w:r>
          </w:p>
        </w:tc>
      </w:tr>
      <w:tr w:rsidR="00560B52" w:rsidRPr="00560B52" w:rsidTr="00560B52">
        <w:trPr>
          <w:trHeight w:val="255"/>
        </w:trPr>
        <w:tc>
          <w:tcPr>
            <w:tcW w:w="181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15360/1024</w:t>
            </w:r>
            <w:r w:rsidR="005C0BDB">
              <w:rPr>
                <w:rFonts w:ascii="Tahoma" w:hAnsi="Tahoma" w:cs="Tahoma"/>
                <w:color w:val="000080"/>
                <w:sz w:val="20"/>
                <w:szCs w:val="20"/>
                <w:lang w:val="en-US" w:eastAsia="en-US"/>
              </w:rPr>
              <w:t xml:space="preserve"> Kbps</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327,93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371,56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419,84 MKD</w:t>
            </w:r>
          </w:p>
        </w:tc>
        <w:tc>
          <w:tcPr>
            <w:tcW w:w="1701"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449,96 MKD</w:t>
            </w:r>
          </w:p>
        </w:tc>
      </w:tr>
      <w:tr w:rsidR="00560B52" w:rsidRPr="00560B52" w:rsidTr="00560B52">
        <w:trPr>
          <w:trHeight w:val="270"/>
        </w:trPr>
        <w:tc>
          <w:tcPr>
            <w:tcW w:w="1814" w:type="dxa"/>
            <w:tcBorders>
              <w:top w:val="nil"/>
              <w:left w:val="single" w:sz="8" w:space="0" w:color="000080"/>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val="en-US" w:eastAsia="en-US"/>
              </w:rPr>
              <w:t>16384/1024</w:t>
            </w:r>
            <w:r w:rsidR="005C0BDB">
              <w:rPr>
                <w:rFonts w:ascii="Tahoma" w:hAnsi="Tahoma" w:cs="Tahoma"/>
                <w:color w:val="000080"/>
                <w:sz w:val="20"/>
                <w:szCs w:val="20"/>
                <w:lang w:val="en-US" w:eastAsia="en-US"/>
              </w:rPr>
              <w:t xml:space="preserve"> Kbps</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328,45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374,81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426,11 MKD</w:t>
            </w:r>
          </w:p>
        </w:tc>
        <w:tc>
          <w:tcPr>
            <w:tcW w:w="1701"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458,11 MKD</w:t>
            </w:r>
          </w:p>
        </w:tc>
      </w:tr>
    </w:tbl>
    <w:p w:rsidR="00A044F7" w:rsidRDefault="00A044F7" w:rsidP="00125955">
      <w:pPr>
        <w:spacing w:line="280" w:lineRule="atLeast"/>
        <w:ind w:left="567"/>
        <w:jc w:val="left"/>
        <w:rPr>
          <w:rFonts w:ascii="Tahoma" w:hAnsi="Tahoma" w:cs="Tahoma"/>
          <w:color w:val="000080"/>
          <w:sz w:val="20"/>
          <w:szCs w:val="20"/>
        </w:rPr>
      </w:pPr>
    </w:p>
    <w:p w:rsidR="00A044F7" w:rsidRDefault="00A044F7" w:rsidP="00125955">
      <w:pPr>
        <w:spacing w:line="280" w:lineRule="atLeast"/>
        <w:ind w:left="567"/>
        <w:jc w:val="left"/>
        <w:rPr>
          <w:rFonts w:ascii="Tahoma" w:hAnsi="Tahoma" w:cs="Tahoma"/>
          <w:color w:val="000080"/>
          <w:sz w:val="20"/>
          <w:szCs w:val="20"/>
        </w:rPr>
      </w:pPr>
    </w:p>
    <w:p w:rsidR="0018299D" w:rsidRDefault="0018299D" w:rsidP="00857CB5">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VoIP service </w:t>
      </w:r>
      <w:r w:rsidR="00C06274">
        <w:rPr>
          <w:rFonts w:ascii="Tahoma" w:hAnsi="Tahoma" w:cs="Tahoma"/>
          <w:color w:val="000080"/>
          <w:sz w:val="20"/>
          <w:szCs w:val="20"/>
        </w:rPr>
        <w:t xml:space="preserve">is </w:t>
      </w:r>
      <w:r w:rsidRPr="0018299D">
        <w:rPr>
          <w:rFonts w:ascii="Tahoma" w:hAnsi="Tahoma" w:cs="Tahoma"/>
          <w:color w:val="000080"/>
          <w:sz w:val="20"/>
          <w:szCs w:val="20"/>
        </w:rPr>
        <w:t>modelled as an additional channel per user with guaranteed QoS in access, aggregation and core network. VoIP service will be modelled in the following manner:</w:t>
      </w:r>
    </w:p>
    <w:p w:rsidR="00706316" w:rsidRDefault="00706316" w:rsidP="00706316">
      <w:pPr>
        <w:spacing w:line="280" w:lineRule="atLeast"/>
        <w:ind w:left="567"/>
        <w:jc w:val="left"/>
        <w:rPr>
          <w:rFonts w:ascii="Tahoma" w:hAnsi="Tahoma" w:cs="Tahoma"/>
          <w:color w:val="000080"/>
          <w:sz w:val="20"/>
          <w:szCs w:val="20"/>
        </w:rPr>
      </w:pPr>
    </w:p>
    <w:p w:rsidR="0018299D" w:rsidRPr="0018299D" w:rsidRDefault="0018299D" w:rsidP="00857CB5">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Terminal equipment will be provided by alternative operator (e.g. IP telephone, Softphone).</w:t>
      </w:r>
    </w:p>
    <w:p w:rsidR="00C06274" w:rsidRDefault="00C06274" w:rsidP="00857CB5">
      <w:pPr>
        <w:numPr>
          <w:ilvl w:val="1"/>
          <w:numId w:val="13"/>
        </w:numPr>
        <w:tabs>
          <w:tab w:val="clear" w:pos="360"/>
        </w:tabs>
        <w:spacing w:line="280" w:lineRule="atLeast"/>
        <w:ind w:left="1134" w:hanging="425"/>
        <w:rPr>
          <w:rFonts w:ascii="Tahoma" w:hAnsi="Tahoma" w:cs="Tahoma"/>
          <w:color w:val="000080"/>
          <w:sz w:val="20"/>
          <w:szCs w:val="20"/>
        </w:rPr>
      </w:pPr>
      <w:r>
        <w:rPr>
          <w:rFonts w:ascii="Tahoma" w:hAnsi="Tahoma" w:cs="Tahoma"/>
          <w:color w:val="000080"/>
          <w:sz w:val="20"/>
          <w:szCs w:val="20"/>
        </w:rPr>
        <w:lastRenderedPageBreak/>
        <w:t xml:space="preserve">Three bandwidth profiles are modelled (per </w:t>
      </w:r>
      <w:r w:rsidRPr="003614F6">
        <w:rPr>
          <w:rFonts w:ascii="Tahoma" w:hAnsi="Tahoma" w:cs="Tahoma"/>
          <w:color w:val="000080"/>
          <w:sz w:val="20"/>
          <w:szCs w:val="20"/>
        </w:rPr>
        <w:t xml:space="preserve">bandwidth per user in backhaul - aggregation network and, on level 3 bitstream, </w:t>
      </w:r>
      <w:r>
        <w:rPr>
          <w:rFonts w:ascii="Tahoma" w:hAnsi="Tahoma" w:cs="Tahoma"/>
          <w:color w:val="000080"/>
          <w:sz w:val="20"/>
          <w:szCs w:val="20"/>
        </w:rPr>
        <w:t>core network):</w:t>
      </w:r>
    </w:p>
    <w:p w:rsidR="00C06274" w:rsidRDefault="00C06274" w:rsidP="00857CB5">
      <w:pPr>
        <w:numPr>
          <w:ilvl w:val="2"/>
          <w:numId w:val="13"/>
        </w:numPr>
        <w:tabs>
          <w:tab w:val="clear" w:pos="720"/>
        </w:tabs>
        <w:spacing w:line="280" w:lineRule="atLeast"/>
        <w:ind w:left="1843" w:hanging="283"/>
        <w:rPr>
          <w:rFonts w:ascii="Tahoma" w:hAnsi="Tahoma" w:cs="Tahoma"/>
          <w:color w:val="000080"/>
          <w:sz w:val="20"/>
          <w:szCs w:val="20"/>
        </w:rPr>
      </w:pPr>
      <w:r>
        <w:rPr>
          <w:rFonts w:ascii="Tahoma" w:hAnsi="Tahoma" w:cs="Tahoma"/>
          <w:color w:val="000080"/>
          <w:sz w:val="20"/>
          <w:szCs w:val="20"/>
        </w:rPr>
        <w:t>128</w:t>
      </w:r>
      <w:r w:rsidRPr="003614F6">
        <w:rPr>
          <w:rFonts w:ascii="Tahoma" w:hAnsi="Tahoma" w:cs="Tahoma"/>
          <w:color w:val="000080"/>
          <w:sz w:val="20"/>
          <w:szCs w:val="20"/>
        </w:rPr>
        <w:t>kbps/</w:t>
      </w:r>
      <w:r>
        <w:rPr>
          <w:rFonts w:ascii="Tahoma" w:hAnsi="Tahoma" w:cs="Tahoma"/>
          <w:color w:val="000080"/>
          <w:sz w:val="20"/>
          <w:szCs w:val="20"/>
        </w:rPr>
        <w:t>128</w:t>
      </w:r>
      <w:r w:rsidRPr="003614F6">
        <w:rPr>
          <w:rFonts w:ascii="Tahoma" w:hAnsi="Tahoma" w:cs="Tahoma"/>
          <w:color w:val="000080"/>
          <w:sz w:val="20"/>
          <w:szCs w:val="20"/>
        </w:rPr>
        <w:t>kbps (downlink/uplink)</w:t>
      </w:r>
    </w:p>
    <w:p w:rsidR="00C06274" w:rsidRDefault="00C06274" w:rsidP="00857CB5">
      <w:pPr>
        <w:numPr>
          <w:ilvl w:val="2"/>
          <w:numId w:val="13"/>
        </w:numPr>
        <w:tabs>
          <w:tab w:val="clear" w:pos="720"/>
        </w:tabs>
        <w:spacing w:line="280" w:lineRule="atLeast"/>
        <w:ind w:left="1843" w:hanging="283"/>
        <w:rPr>
          <w:rFonts w:ascii="Tahoma" w:hAnsi="Tahoma" w:cs="Tahoma"/>
          <w:color w:val="000080"/>
          <w:sz w:val="20"/>
          <w:szCs w:val="20"/>
        </w:rPr>
      </w:pPr>
      <w:r>
        <w:rPr>
          <w:rFonts w:ascii="Tahoma" w:hAnsi="Tahoma" w:cs="Tahoma"/>
          <w:color w:val="000080"/>
          <w:sz w:val="20"/>
          <w:szCs w:val="20"/>
        </w:rPr>
        <w:t>256</w:t>
      </w:r>
      <w:r w:rsidRPr="003614F6">
        <w:rPr>
          <w:rFonts w:ascii="Tahoma" w:hAnsi="Tahoma" w:cs="Tahoma"/>
          <w:color w:val="000080"/>
          <w:sz w:val="20"/>
          <w:szCs w:val="20"/>
        </w:rPr>
        <w:t>kbps/</w:t>
      </w:r>
      <w:r>
        <w:rPr>
          <w:rFonts w:ascii="Tahoma" w:hAnsi="Tahoma" w:cs="Tahoma"/>
          <w:color w:val="000080"/>
          <w:sz w:val="20"/>
          <w:szCs w:val="20"/>
        </w:rPr>
        <w:t>256</w:t>
      </w:r>
      <w:r w:rsidRPr="003614F6">
        <w:rPr>
          <w:rFonts w:ascii="Tahoma" w:hAnsi="Tahoma" w:cs="Tahoma"/>
          <w:color w:val="000080"/>
          <w:sz w:val="20"/>
          <w:szCs w:val="20"/>
        </w:rPr>
        <w:t>kbps (downlink/uplink)</w:t>
      </w:r>
    </w:p>
    <w:p w:rsidR="0018299D" w:rsidRDefault="00C06274" w:rsidP="00857CB5">
      <w:pPr>
        <w:numPr>
          <w:ilvl w:val="2"/>
          <w:numId w:val="13"/>
        </w:numPr>
        <w:tabs>
          <w:tab w:val="clear" w:pos="720"/>
        </w:tabs>
        <w:spacing w:line="280" w:lineRule="atLeast"/>
        <w:ind w:left="1843" w:hanging="283"/>
        <w:rPr>
          <w:rFonts w:ascii="Tahoma" w:hAnsi="Tahoma" w:cs="Tahoma"/>
          <w:color w:val="000080"/>
          <w:sz w:val="20"/>
          <w:szCs w:val="20"/>
        </w:rPr>
      </w:pPr>
      <w:r>
        <w:rPr>
          <w:rFonts w:ascii="Tahoma" w:hAnsi="Tahoma" w:cs="Tahoma"/>
          <w:color w:val="000080"/>
          <w:sz w:val="20"/>
          <w:szCs w:val="20"/>
        </w:rPr>
        <w:t>512</w:t>
      </w:r>
      <w:r w:rsidRPr="003614F6">
        <w:rPr>
          <w:rFonts w:ascii="Tahoma" w:hAnsi="Tahoma" w:cs="Tahoma"/>
          <w:color w:val="000080"/>
          <w:sz w:val="20"/>
          <w:szCs w:val="20"/>
        </w:rPr>
        <w:t>kbps/</w:t>
      </w:r>
      <w:r>
        <w:rPr>
          <w:rFonts w:ascii="Tahoma" w:hAnsi="Tahoma" w:cs="Tahoma"/>
          <w:color w:val="000080"/>
          <w:sz w:val="20"/>
          <w:szCs w:val="20"/>
        </w:rPr>
        <w:t>512</w:t>
      </w:r>
      <w:r w:rsidRPr="003614F6">
        <w:rPr>
          <w:rFonts w:ascii="Tahoma" w:hAnsi="Tahoma" w:cs="Tahoma"/>
          <w:color w:val="000080"/>
          <w:sz w:val="20"/>
          <w:szCs w:val="20"/>
        </w:rPr>
        <w:t>kbps (downlink/uplink)</w:t>
      </w:r>
    </w:p>
    <w:p w:rsidR="00706316" w:rsidRPr="00FC1929" w:rsidRDefault="00706316" w:rsidP="00706316">
      <w:pPr>
        <w:spacing w:line="280" w:lineRule="atLeast"/>
        <w:ind w:left="1843"/>
        <w:rPr>
          <w:rFonts w:ascii="Tahoma" w:hAnsi="Tahoma" w:cs="Tahoma"/>
          <w:color w:val="000080"/>
          <w:sz w:val="20"/>
          <w:szCs w:val="20"/>
        </w:rPr>
      </w:pP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Bitstream access link for </w:t>
      </w:r>
      <w:r w:rsidR="00C06274">
        <w:rPr>
          <w:rFonts w:ascii="Tahoma" w:hAnsi="Tahoma" w:cs="Tahoma"/>
          <w:color w:val="000080"/>
          <w:sz w:val="20"/>
          <w:szCs w:val="20"/>
        </w:rPr>
        <w:t>is modelled as</w:t>
      </w:r>
      <w:r w:rsidRPr="0018299D">
        <w:rPr>
          <w:rFonts w:ascii="Tahoma" w:hAnsi="Tahoma" w:cs="Tahoma"/>
          <w:color w:val="000080"/>
          <w:sz w:val="20"/>
          <w:szCs w:val="20"/>
        </w:rPr>
        <w:t xml:space="preserve"> a virtual link provided over the same physical bitstream access link used for best effort Internet service. VoIP bitstream access </w:t>
      </w:r>
      <w:r w:rsidR="00C06274">
        <w:rPr>
          <w:rFonts w:ascii="Tahoma" w:hAnsi="Tahoma" w:cs="Tahoma"/>
          <w:color w:val="000080"/>
          <w:sz w:val="20"/>
          <w:szCs w:val="20"/>
        </w:rPr>
        <w:t>is modelled</w:t>
      </w:r>
      <w:r w:rsidRPr="0018299D">
        <w:rPr>
          <w:rFonts w:ascii="Tahoma" w:hAnsi="Tahoma" w:cs="Tahoma"/>
          <w:color w:val="000080"/>
          <w:sz w:val="20"/>
          <w:szCs w:val="20"/>
        </w:rPr>
        <w:t xml:space="preserve"> </w:t>
      </w:r>
      <w:r w:rsidR="00C06274">
        <w:rPr>
          <w:rFonts w:ascii="Tahoma" w:hAnsi="Tahoma" w:cs="Tahoma"/>
          <w:color w:val="000080"/>
          <w:sz w:val="20"/>
          <w:szCs w:val="20"/>
        </w:rPr>
        <w:t xml:space="preserve">as </w:t>
      </w:r>
      <w:r w:rsidRPr="0018299D">
        <w:rPr>
          <w:rFonts w:ascii="Tahoma" w:hAnsi="Tahoma" w:cs="Tahoma"/>
          <w:color w:val="000080"/>
          <w:sz w:val="20"/>
          <w:szCs w:val="20"/>
        </w:rPr>
        <w:t xml:space="preserve">a symmetrical link with capacity calculated as explained below. This capacity </w:t>
      </w:r>
      <w:r w:rsidR="00C06274">
        <w:rPr>
          <w:rFonts w:ascii="Tahoma" w:hAnsi="Tahoma" w:cs="Tahoma"/>
          <w:color w:val="000080"/>
          <w:sz w:val="20"/>
          <w:szCs w:val="20"/>
        </w:rPr>
        <w:t>is</w:t>
      </w:r>
      <w:r w:rsidR="00C06274" w:rsidRPr="0018299D">
        <w:rPr>
          <w:rFonts w:ascii="Tahoma" w:hAnsi="Tahoma" w:cs="Tahoma"/>
          <w:color w:val="000080"/>
          <w:sz w:val="20"/>
          <w:szCs w:val="20"/>
        </w:rPr>
        <w:t xml:space="preserve"> </w:t>
      </w:r>
      <w:r w:rsidRPr="0018299D">
        <w:rPr>
          <w:rFonts w:ascii="Tahoma" w:hAnsi="Tahoma" w:cs="Tahoma"/>
          <w:color w:val="000080"/>
          <w:sz w:val="20"/>
          <w:szCs w:val="20"/>
        </w:rPr>
        <w:t xml:space="preserve">an additional capacity to the capacity needed for Internet service. </w:t>
      </w:r>
    </w:p>
    <w:p w:rsidR="0018299D" w:rsidRPr="0018299D" w:rsidRDefault="0018299D" w:rsidP="00857CB5">
      <w:pPr>
        <w:spacing w:line="280" w:lineRule="atLeast"/>
        <w:ind w:left="993"/>
        <w:rPr>
          <w:rFonts w:ascii="Tahoma" w:hAnsi="Tahoma" w:cs="Tahoma"/>
          <w:color w:val="000080"/>
          <w:sz w:val="20"/>
          <w:szCs w:val="20"/>
        </w:rPr>
      </w:pP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Overbooking factor applied for backhaul bandwidth and VoIP Bitstream access link </w:t>
      </w:r>
      <w:r w:rsidR="00C06274">
        <w:rPr>
          <w:rFonts w:ascii="Tahoma" w:hAnsi="Tahoma" w:cs="Tahoma"/>
          <w:color w:val="000080"/>
          <w:sz w:val="20"/>
          <w:szCs w:val="20"/>
        </w:rPr>
        <w:t xml:space="preserve">is </w:t>
      </w:r>
      <w:r w:rsidRPr="0018299D">
        <w:rPr>
          <w:rFonts w:ascii="Tahoma" w:hAnsi="Tahoma" w:cs="Tahoma"/>
          <w:color w:val="000080"/>
          <w:sz w:val="20"/>
          <w:szCs w:val="20"/>
        </w:rPr>
        <w:t xml:space="preserve">1:5. Thus, the capacity reserved for VoIP traffic in backhaul and over bitstream access link </w:t>
      </w:r>
      <w:r w:rsidR="00C06274">
        <w:rPr>
          <w:rFonts w:ascii="Tahoma" w:hAnsi="Tahoma" w:cs="Tahoma"/>
          <w:color w:val="000080"/>
          <w:sz w:val="20"/>
          <w:szCs w:val="20"/>
        </w:rPr>
        <w:t>is</w:t>
      </w:r>
      <w:r w:rsidRPr="0018299D">
        <w:rPr>
          <w:rFonts w:ascii="Tahoma" w:hAnsi="Tahoma" w:cs="Tahoma"/>
          <w:color w:val="000080"/>
          <w:sz w:val="20"/>
          <w:szCs w:val="20"/>
        </w:rPr>
        <w:t xml:space="preserve"> calculated according to the following formula:</w:t>
      </w:r>
    </w:p>
    <w:p w:rsidR="00C06274" w:rsidRDefault="00C06274" w:rsidP="00FC1929">
      <w:pPr>
        <w:spacing w:line="280" w:lineRule="atLeast"/>
        <w:ind w:left="720" w:firstLine="720"/>
        <w:jc w:val="left"/>
        <w:rPr>
          <w:rFonts w:ascii="Tahoma" w:hAnsi="Tahoma" w:cs="Tahoma"/>
          <w:color w:val="000080"/>
          <w:sz w:val="20"/>
          <w:szCs w:val="20"/>
        </w:rPr>
      </w:pPr>
    </w:p>
    <w:p w:rsidR="00A71AC3" w:rsidRDefault="00A71AC3" w:rsidP="00A71AC3">
      <w:pPr>
        <w:spacing w:line="280" w:lineRule="atLeast"/>
        <w:ind w:left="720" w:firstLine="720"/>
        <w:jc w:val="left"/>
        <w:rPr>
          <w:rFonts w:ascii="Tahoma" w:hAnsi="Tahoma" w:cs="Tahoma"/>
          <w:color w:val="000080"/>
          <w:sz w:val="20"/>
          <w:szCs w:val="20"/>
        </w:rPr>
      </w:pPr>
      <w:r w:rsidRPr="00673226">
        <w:rPr>
          <w:rFonts w:ascii="Tahoma" w:hAnsi="Tahoma" w:cs="Tahoma"/>
          <w:color w:val="000080"/>
          <w:sz w:val="20"/>
          <w:szCs w:val="20"/>
        </w:rPr>
        <w:t xml:space="preserve">BW = </w:t>
      </w:r>
      <w:r>
        <w:rPr>
          <w:rFonts w:ascii="Tahoma" w:hAnsi="Tahoma" w:cs="Tahoma"/>
          <w:color w:val="000080"/>
          <w:sz w:val="20"/>
          <w:szCs w:val="20"/>
        </w:rPr>
        <w:t>(</w:t>
      </w:r>
      <w:r w:rsidRPr="00673226">
        <w:rPr>
          <w:rFonts w:ascii="Tahoma" w:hAnsi="Tahoma" w:cs="Tahoma"/>
          <w:color w:val="000080"/>
          <w:sz w:val="20"/>
          <w:szCs w:val="20"/>
        </w:rPr>
        <w:t>N</w:t>
      </w:r>
      <w:r w:rsidRPr="00673226">
        <w:rPr>
          <w:rFonts w:ascii="Tahoma" w:hAnsi="Tahoma" w:cs="Tahoma"/>
          <w:color w:val="000080"/>
          <w:sz w:val="20"/>
          <w:szCs w:val="20"/>
          <w:vertAlign w:val="subscript"/>
        </w:rPr>
        <w:t>128</w:t>
      </w:r>
      <w:r w:rsidRPr="00673226">
        <w:rPr>
          <w:rFonts w:ascii="Tahoma" w:hAnsi="Tahoma" w:cs="Tahoma"/>
          <w:color w:val="000080"/>
          <w:sz w:val="20"/>
          <w:szCs w:val="20"/>
        </w:rPr>
        <w:t>*128kbps+N</w:t>
      </w:r>
      <w:r w:rsidRPr="00673226">
        <w:rPr>
          <w:rFonts w:ascii="Tahoma" w:hAnsi="Tahoma" w:cs="Tahoma"/>
          <w:color w:val="000080"/>
          <w:sz w:val="20"/>
          <w:szCs w:val="20"/>
          <w:vertAlign w:val="subscript"/>
        </w:rPr>
        <w:t>256</w:t>
      </w:r>
      <w:r w:rsidRPr="00673226">
        <w:rPr>
          <w:rFonts w:ascii="Tahoma" w:hAnsi="Tahoma" w:cs="Tahoma"/>
          <w:color w:val="000080"/>
          <w:sz w:val="20"/>
          <w:szCs w:val="20"/>
        </w:rPr>
        <w:t>*256kbps+N</w:t>
      </w:r>
      <w:r w:rsidRPr="00673226">
        <w:rPr>
          <w:rFonts w:ascii="Tahoma" w:hAnsi="Tahoma" w:cs="Tahoma"/>
          <w:color w:val="000080"/>
          <w:sz w:val="20"/>
          <w:szCs w:val="20"/>
          <w:vertAlign w:val="subscript"/>
        </w:rPr>
        <w:t>512</w:t>
      </w:r>
      <w:r w:rsidRPr="00673226">
        <w:rPr>
          <w:rFonts w:ascii="Tahoma" w:hAnsi="Tahoma" w:cs="Tahoma"/>
          <w:color w:val="000080"/>
          <w:sz w:val="20"/>
          <w:szCs w:val="20"/>
        </w:rPr>
        <w:t>*512kbps</w:t>
      </w:r>
      <w:r>
        <w:rPr>
          <w:rFonts w:ascii="Tahoma" w:hAnsi="Tahoma" w:cs="Tahoma"/>
          <w:color w:val="000080"/>
          <w:sz w:val="20"/>
          <w:szCs w:val="20"/>
        </w:rPr>
        <w:t>)/5</w:t>
      </w:r>
    </w:p>
    <w:p w:rsidR="00A71AC3" w:rsidRPr="00673226" w:rsidRDefault="00A71AC3" w:rsidP="00FC1929">
      <w:pPr>
        <w:spacing w:line="280" w:lineRule="atLeast"/>
        <w:ind w:left="720" w:firstLine="720"/>
        <w:jc w:val="left"/>
        <w:rPr>
          <w:rFonts w:ascii="Tahoma" w:hAnsi="Tahoma" w:cs="Tahoma"/>
          <w:color w:val="000080"/>
          <w:sz w:val="20"/>
          <w:szCs w:val="20"/>
        </w:rPr>
      </w:pPr>
    </w:p>
    <w:p w:rsidR="0018299D" w:rsidRPr="0018299D" w:rsidRDefault="00C06274" w:rsidP="00FC1929">
      <w:pPr>
        <w:spacing w:line="280" w:lineRule="atLeast"/>
        <w:ind w:left="993" w:firstLine="27"/>
        <w:jc w:val="left"/>
        <w:rPr>
          <w:rFonts w:ascii="Tahoma" w:hAnsi="Tahoma" w:cs="Tahoma"/>
          <w:color w:val="000080"/>
          <w:sz w:val="20"/>
          <w:szCs w:val="20"/>
        </w:rPr>
      </w:pPr>
      <w:r w:rsidRPr="00673226">
        <w:rPr>
          <w:rFonts w:ascii="Tahoma" w:hAnsi="Tahoma" w:cs="Tahoma"/>
          <w:color w:val="000080"/>
          <w:sz w:val="20"/>
          <w:szCs w:val="20"/>
        </w:rPr>
        <w:t>where N</w:t>
      </w:r>
      <w:r w:rsidRPr="00673226">
        <w:rPr>
          <w:rFonts w:ascii="Tahoma" w:hAnsi="Tahoma" w:cs="Tahoma"/>
          <w:color w:val="000080"/>
          <w:sz w:val="20"/>
          <w:szCs w:val="20"/>
          <w:vertAlign w:val="subscript"/>
        </w:rPr>
        <w:t>128</w:t>
      </w:r>
      <w:r w:rsidRPr="00673226">
        <w:rPr>
          <w:rFonts w:ascii="Tahoma" w:hAnsi="Tahoma" w:cs="Tahoma"/>
          <w:color w:val="000080"/>
          <w:sz w:val="20"/>
          <w:szCs w:val="20"/>
        </w:rPr>
        <w:t>,N</w:t>
      </w:r>
      <w:r w:rsidRPr="00673226">
        <w:rPr>
          <w:rFonts w:ascii="Tahoma" w:hAnsi="Tahoma" w:cs="Tahoma"/>
          <w:color w:val="000080"/>
          <w:sz w:val="20"/>
          <w:szCs w:val="20"/>
          <w:vertAlign w:val="subscript"/>
        </w:rPr>
        <w:t>256</w:t>
      </w:r>
      <w:r w:rsidRPr="00673226">
        <w:rPr>
          <w:rFonts w:ascii="Tahoma" w:hAnsi="Tahoma" w:cs="Tahoma"/>
          <w:color w:val="000080"/>
          <w:sz w:val="20"/>
          <w:szCs w:val="20"/>
        </w:rPr>
        <w:t>,N</w:t>
      </w:r>
      <w:r w:rsidRPr="00673226">
        <w:rPr>
          <w:rFonts w:ascii="Tahoma" w:hAnsi="Tahoma" w:cs="Tahoma"/>
          <w:color w:val="000080"/>
          <w:sz w:val="20"/>
          <w:szCs w:val="20"/>
          <w:vertAlign w:val="subscript"/>
        </w:rPr>
        <w:t>512</w:t>
      </w:r>
      <w:r w:rsidRPr="00673226">
        <w:rPr>
          <w:rFonts w:ascii="Tahoma" w:hAnsi="Tahoma" w:cs="Tahoma"/>
          <w:color w:val="000080"/>
          <w:sz w:val="20"/>
          <w:szCs w:val="20"/>
        </w:rPr>
        <w:t xml:space="preserve"> stands for the number of subscribers using VoIP services with 128kbps/128kbps, 256kbps/256kbps and 512kbps/512kbps profile, respectively.</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18299D">
      <w:pPr>
        <w:spacing w:line="280" w:lineRule="atLeast"/>
        <w:ind w:left="540"/>
        <w:jc w:val="left"/>
        <w:rPr>
          <w:rFonts w:ascii="Tahoma" w:hAnsi="Tahoma" w:cs="Tahoma"/>
          <w:color w:val="000080"/>
          <w:sz w:val="20"/>
          <w:szCs w:val="20"/>
        </w:rPr>
      </w:pPr>
    </w:p>
    <w:p w:rsid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VoIP service</w:t>
      </w:r>
      <w:r w:rsidR="00C06274">
        <w:rPr>
          <w:rFonts w:ascii="Tahoma" w:hAnsi="Tahoma" w:cs="Tahoma"/>
          <w:color w:val="000080"/>
          <w:sz w:val="20"/>
          <w:szCs w:val="20"/>
        </w:rPr>
        <w:t>s</w:t>
      </w:r>
      <w:r w:rsidRPr="0018299D">
        <w:rPr>
          <w:rFonts w:ascii="Tahoma" w:hAnsi="Tahoma" w:cs="Tahoma"/>
          <w:color w:val="000080"/>
          <w:sz w:val="20"/>
          <w:szCs w:val="20"/>
        </w:rPr>
        <w:t xml:space="preserve"> </w:t>
      </w:r>
      <w:r w:rsidR="00C06274">
        <w:rPr>
          <w:rFonts w:ascii="Tahoma" w:hAnsi="Tahoma" w:cs="Tahoma"/>
          <w:color w:val="000080"/>
          <w:sz w:val="20"/>
          <w:szCs w:val="20"/>
        </w:rPr>
        <w:t>are</w:t>
      </w:r>
      <w:r w:rsidRPr="0018299D">
        <w:rPr>
          <w:rFonts w:ascii="Tahoma" w:hAnsi="Tahoma" w:cs="Tahoma"/>
          <w:color w:val="000080"/>
          <w:sz w:val="20"/>
          <w:szCs w:val="20"/>
        </w:rPr>
        <w:t xml:space="preserve"> modelled for 2-nd and 3-rd level of bitstream.</w:t>
      </w:r>
    </w:p>
    <w:p w:rsidR="00424E1A" w:rsidRDefault="00424E1A" w:rsidP="002401BC">
      <w:pPr>
        <w:spacing w:line="280" w:lineRule="atLeast"/>
        <w:ind w:left="567"/>
        <w:jc w:val="left"/>
        <w:rPr>
          <w:rFonts w:ascii="Tahoma" w:hAnsi="Tahoma" w:cs="Tahoma"/>
          <w:color w:val="000080"/>
          <w:sz w:val="20"/>
          <w:szCs w:val="20"/>
        </w:rPr>
      </w:pPr>
    </w:p>
    <w:tbl>
      <w:tblPr>
        <w:tblW w:w="7176" w:type="dxa"/>
        <w:tblInd w:w="675" w:type="dxa"/>
        <w:tblLayout w:type="fixed"/>
        <w:tblLook w:val="04A0"/>
      </w:tblPr>
      <w:tblGrid>
        <w:gridCol w:w="1794"/>
        <w:gridCol w:w="1794"/>
        <w:gridCol w:w="1794"/>
        <w:gridCol w:w="1794"/>
      </w:tblGrid>
      <w:tr w:rsidR="00560B52" w:rsidRPr="00560B52" w:rsidTr="00560B52">
        <w:trPr>
          <w:trHeight w:val="255"/>
        </w:trPr>
        <w:tc>
          <w:tcPr>
            <w:tcW w:w="1794" w:type="dxa"/>
            <w:tcBorders>
              <w:top w:val="single" w:sz="8" w:space="0" w:color="000080"/>
              <w:left w:val="single" w:sz="8" w:space="0" w:color="000080"/>
              <w:bottom w:val="nil"/>
              <w:right w:val="single" w:sz="8" w:space="0" w:color="000080"/>
            </w:tcBorders>
            <w:shd w:val="clear" w:color="000000" w:fill="000080"/>
            <w:noWrap/>
            <w:vAlign w:val="center"/>
            <w:hideMark/>
          </w:tcPr>
          <w:p w:rsidR="00560B52" w:rsidRPr="00560B52" w:rsidRDefault="00560B52" w:rsidP="003052CA">
            <w:pPr>
              <w:jc w:val="left"/>
              <w:rPr>
                <w:rFonts w:ascii="Arial" w:hAnsi="Arial" w:cs="Arial"/>
                <w:color w:val="FFFFFF"/>
                <w:sz w:val="20"/>
                <w:szCs w:val="20"/>
                <w:lang w:val="en-US" w:eastAsia="en-US"/>
              </w:rPr>
            </w:pPr>
            <w:r w:rsidRPr="00560B52">
              <w:rPr>
                <w:rFonts w:ascii="Arial" w:hAnsi="Arial" w:cs="Arial"/>
                <w:color w:val="FFFFFF"/>
                <w:sz w:val="20"/>
                <w:szCs w:val="20"/>
                <w:lang w:eastAsia="en-US"/>
              </w:rPr>
              <w:t>Profile</w:t>
            </w:r>
          </w:p>
        </w:tc>
        <w:tc>
          <w:tcPr>
            <w:tcW w:w="1794"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3052CA">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2</w:t>
            </w:r>
          </w:p>
        </w:tc>
        <w:tc>
          <w:tcPr>
            <w:tcW w:w="1794"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FB2D0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without BRAS</w:t>
            </w:r>
          </w:p>
        </w:tc>
        <w:tc>
          <w:tcPr>
            <w:tcW w:w="1794"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FB2D0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 BRAS</w:t>
            </w:r>
          </w:p>
        </w:tc>
      </w:tr>
      <w:tr w:rsidR="00560B52" w:rsidRPr="00560B52" w:rsidTr="00560B52">
        <w:trPr>
          <w:trHeight w:val="255"/>
        </w:trPr>
        <w:tc>
          <w:tcPr>
            <w:tcW w:w="179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3052CA">
            <w:pPr>
              <w:jc w:val="right"/>
              <w:rPr>
                <w:rFonts w:ascii="Tahoma" w:hAnsi="Tahoma" w:cs="Tahoma"/>
                <w:color w:val="000080"/>
                <w:sz w:val="20"/>
                <w:szCs w:val="20"/>
                <w:lang w:val="en-US" w:eastAsia="en-US"/>
              </w:rPr>
            </w:pPr>
            <w:r w:rsidRPr="00560B52">
              <w:rPr>
                <w:rFonts w:ascii="Tahoma" w:hAnsi="Tahoma" w:cs="Tahoma"/>
                <w:color w:val="000080"/>
                <w:sz w:val="20"/>
                <w:szCs w:val="20"/>
                <w:lang w:eastAsia="en-US"/>
              </w:rPr>
              <w:t>128/128</w:t>
            </w:r>
            <w:r w:rsidR="005C0BDB">
              <w:rPr>
                <w:rFonts w:ascii="Tahoma" w:hAnsi="Tahoma" w:cs="Tahoma"/>
                <w:color w:val="000080"/>
                <w:sz w:val="20"/>
                <w:szCs w:val="20"/>
                <w:lang w:eastAsia="en-US"/>
              </w:rPr>
              <w:t xml:space="preserve"> </w:t>
            </w:r>
            <w:r w:rsidR="005C0BDB">
              <w:rPr>
                <w:rFonts w:ascii="Tahoma" w:hAnsi="Tahoma" w:cs="Tahoma"/>
                <w:color w:val="000080"/>
                <w:sz w:val="20"/>
                <w:szCs w:val="20"/>
                <w:lang w:val="en-US" w:eastAsia="en-US"/>
              </w:rPr>
              <w:t>Kbps</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3052CA">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7,19 MKD</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8,88 MKD</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9,59 MKD</w:t>
            </w:r>
          </w:p>
        </w:tc>
      </w:tr>
      <w:tr w:rsidR="00560B52" w:rsidRPr="00560B52" w:rsidTr="00560B52">
        <w:trPr>
          <w:trHeight w:val="255"/>
        </w:trPr>
        <w:tc>
          <w:tcPr>
            <w:tcW w:w="1794"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3052CA">
            <w:pPr>
              <w:jc w:val="right"/>
              <w:rPr>
                <w:rFonts w:ascii="Tahoma" w:hAnsi="Tahoma" w:cs="Tahoma"/>
                <w:color w:val="000080"/>
                <w:sz w:val="20"/>
                <w:szCs w:val="20"/>
                <w:lang w:val="en-US" w:eastAsia="en-US"/>
              </w:rPr>
            </w:pPr>
            <w:r w:rsidRPr="00560B52">
              <w:rPr>
                <w:rFonts w:ascii="Tahoma" w:hAnsi="Tahoma" w:cs="Tahoma"/>
                <w:color w:val="000080"/>
                <w:sz w:val="20"/>
                <w:szCs w:val="20"/>
                <w:lang w:eastAsia="en-US"/>
              </w:rPr>
              <w:t>256/256</w:t>
            </w:r>
            <w:r w:rsidR="005C0BDB">
              <w:rPr>
                <w:rFonts w:ascii="Tahoma" w:hAnsi="Tahoma" w:cs="Tahoma"/>
                <w:color w:val="000080"/>
                <w:sz w:val="20"/>
                <w:szCs w:val="20"/>
                <w:lang w:eastAsia="en-US"/>
              </w:rPr>
              <w:t xml:space="preserve"> </w:t>
            </w:r>
            <w:r w:rsidR="005C0BDB">
              <w:rPr>
                <w:rFonts w:ascii="Tahoma" w:hAnsi="Tahoma" w:cs="Tahoma"/>
                <w:color w:val="000080"/>
                <w:sz w:val="20"/>
                <w:szCs w:val="20"/>
                <w:lang w:val="en-US" w:eastAsia="en-US"/>
              </w:rPr>
              <w:t>Kbps</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3052CA">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14,39 MKD</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17,75 MKD</w:t>
            </w:r>
          </w:p>
        </w:tc>
        <w:tc>
          <w:tcPr>
            <w:tcW w:w="1794" w:type="dxa"/>
            <w:tcBorders>
              <w:top w:val="nil"/>
              <w:left w:val="nil"/>
              <w:bottom w:val="nil"/>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19,19 MKD</w:t>
            </w:r>
          </w:p>
        </w:tc>
      </w:tr>
      <w:tr w:rsidR="00560B52" w:rsidRPr="00560B52" w:rsidTr="00560B52">
        <w:trPr>
          <w:trHeight w:val="270"/>
        </w:trPr>
        <w:tc>
          <w:tcPr>
            <w:tcW w:w="1794" w:type="dxa"/>
            <w:tcBorders>
              <w:top w:val="nil"/>
              <w:left w:val="single" w:sz="8" w:space="0" w:color="000080"/>
              <w:bottom w:val="single" w:sz="8" w:space="0" w:color="000080"/>
              <w:right w:val="single" w:sz="8" w:space="0" w:color="000080"/>
            </w:tcBorders>
            <w:shd w:val="clear" w:color="auto" w:fill="auto"/>
            <w:noWrap/>
            <w:vAlign w:val="center"/>
            <w:hideMark/>
          </w:tcPr>
          <w:p w:rsidR="00560B52" w:rsidRPr="00560B52" w:rsidRDefault="00560B52" w:rsidP="003052CA">
            <w:pPr>
              <w:jc w:val="right"/>
              <w:rPr>
                <w:rFonts w:ascii="Tahoma" w:hAnsi="Tahoma" w:cs="Tahoma"/>
                <w:color w:val="000080"/>
                <w:sz w:val="20"/>
                <w:szCs w:val="20"/>
                <w:lang w:val="en-US" w:eastAsia="en-US"/>
              </w:rPr>
            </w:pPr>
            <w:r w:rsidRPr="00560B52">
              <w:rPr>
                <w:rFonts w:ascii="Tahoma" w:hAnsi="Tahoma" w:cs="Tahoma"/>
                <w:color w:val="000080"/>
                <w:sz w:val="20"/>
                <w:szCs w:val="20"/>
                <w:lang w:eastAsia="en-US"/>
              </w:rPr>
              <w:t>512/512</w:t>
            </w:r>
            <w:r w:rsidR="005C0BDB">
              <w:rPr>
                <w:rFonts w:ascii="Tahoma" w:hAnsi="Tahoma" w:cs="Tahoma"/>
                <w:color w:val="000080"/>
                <w:sz w:val="20"/>
                <w:szCs w:val="20"/>
                <w:lang w:eastAsia="en-US"/>
              </w:rPr>
              <w:t xml:space="preserve"> </w:t>
            </w:r>
            <w:r w:rsidR="005C0BDB">
              <w:rPr>
                <w:rFonts w:ascii="Tahoma" w:hAnsi="Tahoma" w:cs="Tahoma"/>
                <w:color w:val="000080"/>
                <w:sz w:val="20"/>
                <w:szCs w:val="20"/>
                <w:lang w:val="en-US" w:eastAsia="en-US"/>
              </w:rPr>
              <w:t>Kbps</w:t>
            </w:r>
          </w:p>
        </w:tc>
        <w:tc>
          <w:tcPr>
            <w:tcW w:w="1794"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3052CA">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28,77 MKD</w:t>
            </w:r>
          </w:p>
        </w:tc>
        <w:tc>
          <w:tcPr>
            <w:tcW w:w="1794"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35,51 MKD</w:t>
            </w:r>
          </w:p>
        </w:tc>
        <w:tc>
          <w:tcPr>
            <w:tcW w:w="1794"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FB2D0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38,38 MKD</w:t>
            </w:r>
          </w:p>
        </w:tc>
      </w:tr>
    </w:tbl>
    <w:p w:rsidR="0018299D" w:rsidRPr="0018299D" w:rsidRDefault="0018299D" w:rsidP="0018299D">
      <w:pPr>
        <w:spacing w:line="280" w:lineRule="atLeast"/>
        <w:ind w:left="540"/>
        <w:jc w:val="left"/>
        <w:rPr>
          <w:rFonts w:ascii="Tahoma" w:hAnsi="Tahoma" w:cs="Tahoma"/>
          <w:color w:val="000080"/>
          <w:sz w:val="20"/>
          <w:szCs w:val="20"/>
        </w:rPr>
      </w:pPr>
    </w:p>
    <w:p w:rsid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IPTV multicast services </w:t>
      </w:r>
      <w:r w:rsidR="00825B8F">
        <w:rPr>
          <w:rFonts w:ascii="Tahoma" w:hAnsi="Tahoma" w:cs="Tahoma"/>
          <w:color w:val="000080"/>
          <w:sz w:val="20"/>
          <w:szCs w:val="20"/>
        </w:rPr>
        <w:t xml:space="preserve">are </w:t>
      </w:r>
      <w:r w:rsidR="00825B8F" w:rsidRPr="0018299D">
        <w:rPr>
          <w:rFonts w:ascii="Tahoma" w:hAnsi="Tahoma" w:cs="Tahoma"/>
          <w:color w:val="000080"/>
          <w:sz w:val="20"/>
          <w:szCs w:val="20"/>
        </w:rPr>
        <w:t>modelled</w:t>
      </w:r>
      <w:r w:rsidRPr="0018299D">
        <w:rPr>
          <w:rFonts w:ascii="Tahoma" w:hAnsi="Tahoma" w:cs="Tahoma"/>
          <w:color w:val="000080"/>
          <w:sz w:val="20"/>
          <w:szCs w:val="20"/>
        </w:rPr>
        <w:t xml:space="preserve"> as an additional channel per user with guaranteed QoS in access, aggregation and core network. IPTV multicast service </w:t>
      </w:r>
      <w:r w:rsidR="00C06274">
        <w:rPr>
          <w:rFonts w:ascii="Tahoma" w:hAnsi="Tahoma" w:cs="Tahoma"/>
          <w:color w:val="000080"/>
          <w:sz w:val="20"/>
          <w:szCs w:val="20"/>
        </w:rPr>
        <w:t>are</w:t>
      </w:r>
      <w:r w:rsidRPr="0018299D">
        <w:rPr>
          <w:rFonts w:ascii="Tahoma" w:hAnsi="Tahoma" w:cs="Tahoma"/>
          <w:color w:val="000080"/>
          <w:sz w:val="20"/>
          <w:szCs w:val="20"/>
        </w:rPr>
        <w:t xml:space="preserve"> modelled in the following manner:</w:t>
      </w:r>
    </w:p>
    <w:p w:rsidR="00706316" w:rsidRPr="0018299D" w:rsidRDefault="00706316" w:rsidP="00706316">
      <w:pPr>
        <w:spacing w:line="280" w:lineRule="atLeast"/>
        <w:ind w:left="567"/>
        <w:rPr>
          <w:rFonts w:ascii="Tahoma" w:hAnsi="Tahoma" w:cs="Tahoma"/>
          <w:color w:val="000080"/>
          <w:sz w:val="20"/>
          <w:szCs w:val="20"/>
        </w:rPr>
      </w:pP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Terminal equipment will be provided by alternative operator (e.g. STB).</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Content</w:t>
      </w:r>
      <w:r w:rsidR="00C06274">
        <w:rPr>
          <w:rFonts w:ascii="Tahoma" w:hAnsi="Tahoma" w:cs="Tahoma"/>
          <w:color w:val="000080"/>
          <w:sz w:val="20"/>
          <w:szCs w:val="20"/>
        </w:rPr>
        <w:t xml:space="preserve"> and IPTV platform</w:t>
      </w:r>
      <w:r w:rsidRPr="0018299D">
        <w:rPr>
          <w:rFonts w:ascii="Tahoma" w:hAnsi="Tahoma" w:cs="Tahoma"/>
          <w:color w:val="000080"/>
          <w:sz w:val="20"/>
          <w:szCs w:val="20"/>
        </w:rPr>
        <w:t xml:space="preserve"> </w:t>
      </w:r>
      <w:r w:rsidR="00C06274">
        <w:rPr>
          <w:rFonts w:ascii="Tahoma" w:hAnsi="Tahoma" w:cs="Tahoma"/>
          <w:color w:val="000080"/>
          <w:sz w:val="20"/>
          <w:szCs w:val="20"/>
        </w:rPr>
        <w:t>is</w:t>
      </w:r>
      <w:r w:rsidRPr="0018299D">
        <w:rPr>
          <w:rFonts w:ascii="Tahoma" w:hAnsi="Tahoma" w:cs="Tahoma"/>
          <w:color w:val="000080"/>
          <w:sz w:val="20"/>
          <w:szCs w:val="20"/>
        </w:rPr>
        <w:t xml:space="preserve"> provided by the alternative operator.</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Total bandwidth reserved in the backhaul network </w:t>
      </w:r>
      <w:r w:rsidR="00C06274">
        <w:rPr>
          <w:rFonts w:ascii="Tahoma" w:hAnsi="Tahoma" w:cs="Tahoma"/>
          <w:color w:val="000080"/>
          <w:sz w:val="20"/>
          <w:szCs w:val="20"/>
        </w:rPr>
        <w:t>is</w:t>
      </w:r>
      <w:r w:rsidRPr="0018299D">
        <w:rPr>
          <w:rFonts w:ascii="Tahoma" w:hAnsi="Tahoma" w:cs="Tahoma"/>
          <w:color w:val="000080"/>
          <w:sz w:val="20"/>
          <w:szCs w:val="20"/>
        </w:rPr>
        <w:t xml:space="preserve"> calculated depending on the number of SD and HD channel the alternative operator wants to provide.</w:t>
      </w:r>
    </w:p>
    <w:p w:rsidR="00C06274" w:rsidRDefault="00C06274" w:rsidP="00857CB5">
      <w:pPr>
        <w:numPr>
          <w:ilvl w:val="0"/>
          <w:numId w:val="19"/>
        </w:numPr>
        <w:spacing w:line="280" w:lineRule="atLeast"/>
        <w:ind w:left="993" w:hanging="284"/>
        <w:rPr>
          <w:rFonts w:ascii="Tahoma" w:hAnsi="Tahoma" w:cs="Tahoma"/>
          <w:color w:val="000080"/>
          <w:sz w:val="20"/>
          <w:szCs w:val="20"/>
        </w:rPr>
      </w:pPr>
      <w:r w:rsidRPr="003614F6">
        <w:rPr>
          <w:rFonts w:ascii="Tahoma" w:hAnsi="Tahoma" w:cs="Tahoma"/>
          <w:color w:val="000080"/>
          <w:sz w:val="20"/>
          <w:szCs w:val="20"/>
        </w:rPr>
        <w:t xml:space="preserve">Bandwidth capacity reserved per SD and HD channel </w:t>
      </w:r>
      <w:r>
        <w:rPr>
          <w:rFonts w:ascii="Tahoma" w:hAnsi="Tahoma" w:cs="Tahoma"/>
          <w:color w:val="000080"/>
          <w:sz w:val="20"/>
          <w:szCs w:val="20"/>
        </w:rPr>
        <w:t>is 2.7Mbps and 7Mbps, respectively.</w:t>
      </w:r>
    </w:p>
    <w:p w:rsidR="0018299D" w:rsidRPr="00FC1929" w:rsidRDefault="0018299D" w:rsidP="00857CB5">
      <w:pPr>
        <w:numPr>
          <w:ilvl w:val="0"/>
          <w:numId w:val="19"/>
        </w:numPr>
        <w:spacing w:line="280" w:lineRule="atLeast"/>
        <w:ind w:left="993" w:hanging="284"/>
        <w:rPr>
          <w:rFonts w:ascii="Tahoma" w:hAnsi="Tahoma" w:cs="Tahoma"/>
          <w:color w:val="000080"/>
          <w:sz w:val="20"/>
          <w:szCs w:val="20"/>
        </w:rPr>
      </w:pPr>
      <w:r w:rsidRPr="00FC1929">
        <w:rPr>
          <w:rFonts w:ascii="Tahoma" w:hAnsi="Tahoma" w:cs="Tahoma"/>
          <w:color w:val="000080"/>
          <w:sz w:val="20"/>
          <w:szCs w:val="20"/>
        </w:rPr>
        <w:t xml:space="preserve">Bitstream access link for IPTV </w:t>
      </w:r>
      <w:r w:rsidR="00C06274">
        <w:rPr>
          <w:rFonts w:ascii="Tahoma" w:hAnsi="Tahoma" w:cs="Tahoma"/>
          <w:color w:val="000080"/>
          <w:sz w:val="20"/>
          <w:szCs w:val="20"/>
        </w:rPr>
        <w:t xml:space="preserve">is modelled as </w:t>
      </w:r>
      <w:r w:rsidRPr="00FC1929">
        <w:rPr>
          <w:rFonts w:ascii="Tahoma" w:hAnsi="Tahoma" w:cs="Tahoma"/>
          <w:color w:val="000080"/>
          <w:sz w:val="20"/>
          <w:szCs w:val="20"/>
        </w:rPr>
        <w:t xml:space="preserve">a virtual link provided over the same physical bitstream access link used for best effort Internet service. Link capacity reserved for IPTV </w:t>
      </w:r>
      <w:r w:rsidR="00C06274">
        <w:rPr>
          <w:rFonts w:ascii="Tahoma" w:hAnsi="Tahoma" w:cs="Tahoma"/>
          <w:color w:val="000080"/>
          <w:sz w:val="20"/>
          <w:szCs w:val="20"/>
        </w:rPr>
        <w:t>is</w:t>
      </w:r>
      <w:r w:rsidRPr="00FC1929">
        <w:rPr>
          <w:rFonts w:ascii="Tahoma" w:hAnsi="Tahoma" w:cs="Tahoma"/>
          <w:color w:val="000080"/>
          <w:sz w:val="20"/>
          <w:szCs w:val="20"/>
        </w:rPr>
        <w:t xml:space="preserve"> equal to the capacity reserved in backhaul for IPTV. This capacity is an additional capacity to the capacity needed for Internet service. </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IPTV multicast services </w:t>
      </w:r>
      <w:r w:rsidR="00C06274">
        <w:rPr>
          <w:rFonts w:ascii="Tahoma" w:hAnsi="Tahoma" w:cs="Tahoma"/>
          <w:color w:val="000080"/>
          <w:sz w:val="20"/>
          <w:szCs w:val="20"/>
        </w:rPr>
        <w:t>are</w:t>
      </w:r>
      <w:r w:rsidRPr="0018299D">
        <w:rPr>
          <w:rFonts w:ascii="Tahoma" w:hAnsi="Tahoma" w:cs="Tahoma"/>
          <w:color w:val="000080"/>
          <w:sz w:val="20"/>
          <w:szCs w:val="20"/>
        </w:rPr>
        <w:t xml:space="preserve"> modelled for the 2-nd and 3-rd level.</w:t>
      </w:r>
    </w:p>
    <w:p w:rsidR="0018299D" w:rsidRDefault="0018299D" w:rsidP="00857CB5">
      <w:pPr>
        <w:spacing w:line="280" w:lineRule="atLeast"/>
        <w:ind w:left="540"/>
        <w:rPr>
          <w:rFonts w:ascii="Tahoma" w:hAnsi="Tahoma" w:cs="Tahoma"/>
          <w:color w:val="000080"/>
          <w:sz w:val="20"/>
          <w:szCs w:val="20"/>
        </w:rPr>
      </w:pPr>
    </w:p>
    <w:p w:rsidR="00C06274" w:rsidRPr="00437078"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lastRenderedPageBreak/>
        <w:t xml:space="preserve">IPTV multicast SD channels </w:t>
      </w:r>
      <w:r w:rsidR="00B35CD8">
        <w:rPr>
          <w:rFonts w:ascii="Tahoma" w:hAnsi="Tahoma" w:cs="Tahoma"/>
          <w:color w:val="000080"/>
          <w:sz w:val="20"/>
          <w:szCs w:val="20"/>
        </w:rPr>
        <w:t>are</w:t>
      </w:r>
      <w:r w:rsidRPr="0018299D">
        <w:rPr>
          <w:rFonts w:ascii="Tahoma" w:hAnsi="Tahoma" w:cs="Tahoma"/>
          <w:color w:val="000080"/>
          <w:sz w:val="20"/>
          <w:szCs w:val="20"/>
        </w:rPr>
        <w:t xml:space="preserve"> </w:t>
      </w:r>
      <w:r w:rsidR="00B35CD8">
        <w:rPr>
          <w:rFonts w:ascii="Tahoma" w:hAnsi="Tahoma" w:cs="Tahoma"/>
          <w:color w:val="000080"/>
          <w:sz w:val="20"/>
          <w:szCs w:val="20"/>
        </w:rPr>
        <w:t>calculated</w:t>
      </w:r>
      <w:r w:rsidR="00B35CD8" w:rsidRPr="0018299D">
        <w:rPr>
          <w:rFonts w:ascii="Tahoma" w:hAnsi="Tahoma" w:cs="Tahoma"/>
          <w:color w:val="000080"/>
          <w:sz w:val="20"/>
          <w:szCs w:val="20"/>
        </w:rPr>
        <w:t xml:space="preserve"> </w:t>
      </w:r>
      <w:r w:rsidR="00B35CD8">
        <w:rPr>
          <w:rFonts w:ascii="Tahoma" w:hAnsi="Tahoma" w:cs="Tahoma"/>
          <w:color w:val="000080"/>
          <w:sz w:val="20"/>
          <w:szCs w:val="20"/>
        </w:rPr>
        <w:t xml:space="preserve">per user </w:t>
      </w:r>
      <w:r w:rsidRPr="0018299D">
        <w:rPr>
          <w:rFonts w:ascii="Tahoma" w:hAnsi="Tahoma" w:cs="Tahoma"/>
          <w:color w:val="000080"/>
          <w:sz w:val="20"/>
          <w:szCs w:val="20"/>
        </w:rPr>
        <w:t xml:space="preserve">in increment of 10 and HD channels in increment of 5 channels. </w:t>
      </w:r>
      <w:r w:rsidR="00B35CD8">
        <w:rPr>
          <w:rFonts w:ascii="Tahoma" w:hAnsi="Tahoma" w:cs="Tahoma"/>
          <w:color w:val="000080"/>
          <w:sz w:val="20"/>
          <w:szCs w:val="20"/>
        </w:rPr>
        <w:t>Table below presents the results of the model.</w:t>
      </w:r>
    </w:p>
    <w:p w:rsidR="00116B01" w:rsidRDefault="00116B01" w:rsidP="00857CB5">
      <w:pPr>
        <w:spacing w:line="280" w:lineRule="atLeast"/>
        <w:ind w:left="567"/>
        <w:rPr>
          <w:rFonts w:ascii="Tahoma" w:hAnsi="Tahoma" w:cs="Tahoma"/>
          <w:color w:val="000080"/>
          <w:sz w:val="20"/>
          <w:szCs w:val="20"/>
        </w:rPr>
      </w:pPr>
    </w:p>
    <w:tbl>
      <w:tblPr>
        <w:tblW w:w="7760" w:type="dxa"/>
        <w:tblInd w:w="675" w:type="dxa"/>
        <w:tblLook w:val="04A0"/>
      </w:tblPr>
      <w:tblGrid>
        <w:gridCol w:w="1940"/>
        <w:gridCol w:w="1940"/>
        <w:gridCol w:w="1940"/>
        <w:gridCol w:w="1940"/>
      </w:tblGrid>
      <w:tr w:rsidR="00560B52" w:rsidRPr="00560B52" w:rsidTr="00560B52">
        <w:trPr>
          <w:trHeight w:val="255"/>
        </w:trPr>
        <w:tc>
          <w:tcPr>
            <w:tcW w:w="1940" w:type="dxa"/>
            <w:tcBorders>
              <w:top w:val="single" w:sz="8" w:space="0" w:color="000080"/>
              <w:left w:val="single" w:sz="8" w:space="0" w:color="000080"/>
              <w:bottom w:val="nil"/>
              <w:right w:val="single" w:sz="8" w:space="0" w:color="000080"/>
            </w:tcBorders>
            <w:shd w:val="clear" w:color="000000" w:fill="000080"/>
            <w:noWrap/>
            <w:vAlign w:val="center"/>
            <w:hideMark/>
          </w:tcPr>
          <w:p w:rsidR="00560B52" w:rsidRPr="00560B52" w:rsidRDefault="00560B52" w:rsidP="00560B52">
            <w:pPr>
              <w:ind w:firstLineChars="300" w:firstLine="600"/>
              <w:jc w:val="left"/>
              <w:rPr>
                <w:rFonts w:ascii="Arial" w:hAnsi="Arial" w:cs="Arial"/>
                <w:color w:val="FFFFFF"/>
                <w:sz w:val="20"/>
                <w:szCs w:val="20"/>
                <w:lang w:val="en-US" w:eastAsia="en-US"/>
              </w:rPr>
            </w:pPr>
            <w:r w:rsidRPr="00560B52">
              <w:rPr>
                <w:rFonts w:ascii="Arial" w:hAnsi="Arial" w:cs="Arial"/>
                <w:color w:val="FFFFFF"/>
                <w:sz w:val="20"/>
                <w:szCs w:val="20"/>
                <w:lang w:eastAsia="en-US"/>
              </w:rPr>
              <w:t>Package</w:t>
            </w:r>
          </w:p>
        </w:tc>
        <w:tc>
          <w:tcPr>
            <w:tcW w:w="1940"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 2</w:t>
            </w:r>
          </w:p>
        </w:tc>
        <w:tc>
          <w:tcPr>
            <w:tcW w:w="1940"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without BRAS</w:t>
            </w:r>
          </w:p>
        </w:tc>
        <w:tc>
          <w:tcPr>
            <w:tcW w:w="1940" w:type="dxa"/>
            <w:tcBorders>
              <w:top w:val="single" w:sz="8" w:space="0" w:color="000080"/>
              <w:left w:val="nil"/>
              <w:bottom w:val="nil"/>
              <w:right w:val="single" w:sz="8" w:space="0" w:color="000080"/>
            </w:tcBorders>
            <w:shd w:val="clear" w:color="000000" w:fill="000080"/>
            <w:noWrap/>
            <w:vAlign w:val="center"/>
            <w:hideMark/>
          </w:tcPr>
          <w:p w:rsidR="00560B52" w:rsidRPr="00560B52" w:rsidRDefault="00560B52" w:rsidP="00560B52">
            <w:pPr>
              <w:jc w:val="left"/>
              <w:rPr>
                <w:rFonts w:ascii="Tahoma" w:hAnsi="Tahoma" w:cs="Tahoma"/>
                <w:b/>
                <w:bCs/>
                <w:color w:val="FFFFFF"/>
                <w:sz w:val="20"/>
                <w:szCs w:val="20"/>
                <w:lang w:val="en-US" w:eastAsia="en-US"/>
              </w:rPr>
            </w:pPr>
            <w:r w:rsidRPr="00560B52">
              <w:rPr>
                <w:rFonts w:ascii="Tahoma" w:hAnsi="Tahoma" w:cs="Tahoma"/>
                <w:b/>
                <w:bCs/>
                <w:color w:val="FFFFFF"/>
                <w:sz w:val="20"/>
                <w:szCs w:val="20"/>
                <w:lang w:eastAsia="en-US"/>
              </w:rPr>
              <w:t>Level3 with BRAS</w:t>
            </w:r>
          </w:p>
        </w:tc>
      </w:tr>
      <w:tr w:rsidR="00560B52" w:rsidRPr="00560B52" w:rsidTr="00560B52">
        <w:trPr>
          <w:trHeight w:val="255"/>
        </w:trPr>
        <w:tc>
          <w:tcPr>
            <w:tcW w:w="1940" w:type="dxa"/>
            <w:tcBorders>
              <w:top w:val="nil"/>
              <w:left w:val="single" w:sz="8" w:space="0" w:color="000080"/>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eastAsia="en-US"/>
              </w:rPr>
              <w:t>10xSD</w:t>
            </w:r>
          </w:p>
        </w:tc>
        <w:tc>
          <w:tcPr>
            <w:tcW w:w="1940"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18,40 MKD</w:t>
            </w:r>
          </w:p>
        </w:tc>
        <w:tc>
          <w:tcPr>
            <w:tcW w:w="1940"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26,43 MKD</w:t>
            </w:r>
          </w:p>
        </w:tc>
        <w:tc>
          <w:tcPr>
            <w:tcW w:w="1940" w:type="dxa"/>
            <w:tcBorders>
              <w:top w:val="nil"/>
              <w:left w:val="nil"/>
              <w:bottom w:val="nil"/>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26,65 MKD</w:t>
            </w:r>
          </w:p>
        </w:tc>
      </w:tr>
      <w:tr w:rsidR="00560B52" w:rsidRPr="00560B52" w:rsidTr="00560B52">
        <w:trPr>
          <w:trHeight w:val="270"/>
        </w:trPr>
        <w:tc>
          <w:tcPr>
            <w:tcW w:w="1940" w:type="dxa"/>
            <w:tcBorders>
              <w:top w:val="nil"/>
              <w:left w:val="single" w:sz="8" w:space="0" w:color="000080"/>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color w:val="000080"/>
                <w:sz w:val="20"/>
                <w:szCs w:val="20"/>
                <w:lang w:val="en-US" w:eastAsia="en-US"/>
              </w:rPr>
            </w:pPr>
            <w:r w:rsidRPr="00560B52">
              <w:rPr>
                <w:rFonts w:ascii="Tahoma" w:hAnsi="Tahoma" w:cs="Tahoma"/>
                <w:color w:val="000080"/>
                <w:sz w:val="20"/>
                <w:szCs w:val="20"/>
                <w:lang w:eastAsia="en-US"/>
              </w:rPr>
              <w:t>5xHD</w:t>
            </w:r>
          </w:p>
        </w:tc>
        <w:tc>
          <w:tcPr>
            <w:tcW w:w="1940"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23,85 MKD</w:t>
            </w:r>
          </w:p>
        </w:tc>
        <w:tc>
          <w:tcPr>
            <w:tcW w:w="1940"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34,25 MKD</w:t>
            </w:r>
          </w:p>
        </w:tc>
        <w:tc>
          <w:tcPr>
            <w:tcW w:w="1940" w:type="dxa"/>
            <w:tcBorders>
              <w:top w:val="nil"/>
              <w:left w:val="nil"/>
              <w:bottom w:val="single" w:sz="8" w:space="0" w:color="000080"/>
              <w:right w:val="single" w:sz="8" w:space="0" w:color="000080"/>
            </w:tcBorders>
            <w:shd w:val="clear" w:color="auto" w:fill="auto"/>
            <w:noWrap/>
            <w:vAlign w:val="center"/>
            <w:hideMark/>
          </w:tcPr>
          <w:p w:rsidR="00560B52" w:rsidRPr="00560B52" w:rsidRDefault="00560B52" w:rsidP="00560B52">
            <w:pPr>
              <w:jc w:val="right"/>
              <w:rPr>
                <w:rFonts w:ascii="Tahoma" w:hAnsi="Tahoma" w:cs="Tahoma"/>
                <w:b/>
                <w:bCs/>
                <w:color w:val="000080"/>
                <w:sz w:val="20"/>
                <w:szCs w:val="20"/>
                <w:lang w:val="en-US" w:eastAsia="en-US"/>
              </w:rPr>
            </w:pPr>
            <w:r w:rsidRPr="00560B52">
              <w:rPr>
                <w:rFonts w:ascii="Tahoma" w:hAnsi="Tahoma" w:cs="Tahoma"/>
                <w:b/>
                <w:bCs/>
                <w:color w:val="000080"/>
                <w:sz w:val="20"/>
                <w:szCs w:val="20"/>
                <w:lang w:val="en-US" w:eastAsia="en-US"/>
              </w:rPr>
              <w:t>34,54 MKD</w:t>
            </w:r>
          </w:p>
        </w:tc>
      </w:tr>
    </w:tbl>
    <w:p w:rsidR="0018299D" w:rsidRPr="0018299D" w:rsidRDefault="0018299D" w:rsidP="0018299D">
      <w:pPr>
        <w:spacing w:line="280" w:lineRule="atLeast"/>
        <w:ind w:left="540"/>
        <w:jc w:val="left"/>
        <w:rPr>
          <w:rFonts w:ascii="Tahoma" w:hAnsi="Tahoma" w:cs="Tahoma"/>
          <w:color w:val="000080"/>
          <w:sz w:val="20"/>
          <w:szCs w:val="20"/>
        </w:rPr>
      </w:pPr>
    </w:p>
    <w:p w:rsid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V</w:t>
      </w:r>
      <w:r w:rsidR="00FC1929">
        <w:rPr>
          <w:rFonts w:ascii="Tahoma" w:hAnsi="Tahoma" w:cs="Tahoma"/>
          <w:color w:val="000080"/>
          <w:sz w:val="20"/>
          <w:szCs w:val="20"/>
        </w:rPr>
        <w:t>ideo on Demand (V</w:t>
      </w:r>
      <w:r w:rsidRPr="0018299D">
        <w:rPr>
          <w:rFonts w:ascii="Tahoma" w:hAnsi="Tahoma" w:cs="Tahoma"/>
          <w:color w:val="000080"/>
          <w:sz w:val="20"/>
          <w:szCs w:val="20"/>
        </w:rPr>
        <w:t>oD</w:t>
      </w:r>
      <w:r w:rsidR="00FC1929">
        <w:rPr>
          <w:rFonts w:ascii="Tahoma" w:hAnsi="Tahoma" w:cs="Tahoma"/>
          <w:color w:val="000080"/>
          <w:sz w:val="20"/>
          <w:szCs w:val="20"/>
        </w:rPr>
        <w:t>)</w:t>
      </w:r>
      <w:r w:rsidRPr="0018299D">
        <w:rPr>
          <w:rFonts w:ascii="Tahoma" w:hAnsi="Tahoma" w:cs="Tahoma"/>
          <w:color w:val="000080"/>
          <w:sz w:val="20"/>
          <w:szCs w:val="20"/>
        </w:rPr>
        <w:t xml:space="preserve"> service </w:t>
      </w:r>
      <w:r w:rsidR="00C06274">
        <w:rPr>
          <w:rFonts w:ascii="Tahoma" w:hAnsi="Tahoma" w:cs="Tahoma"/>
          <w:color w:val="000080"/>
          <w:sz w:val="20"/>
          <w:szCs w:val="20"/>
        </w:rPr>
        <w:t>is</w:t>
      </w:r>
      <w:r w:rsidRPr="0018299D">
        <w:rPr>
          <w:rFonts w:ascii="Tahoma" w:hAnsi="Tahoma" w:cs="Tahoma"/>
          <w:color w:val="000080"/>
          <w:sz w:val="20"/>
          <w:szCs w:val="20"/>
        </w:rPr>
        <w:t xml:space="preserve"> modelled as an additional channel per user and per channel with guaranteed QoS in access, aggregation and core network. VoD service </w:t>
      </w:r>
      <w:r w:rsidR="00C06274">
        <w:rPr>
          <w:rFonts w:ascii="Tahoma" w:hAnsi="Tahoma" w:cs="Tahoma"/>
          <w:color w:val="000080"/>
          <w:sz w:val="20"/>
          <w:szCs w:val="20"/>
        </w:rPr>
        <w:t xml:space="preserve">is </w:t>
      </w:r>
      <w:r w:rsidRPr="0018299D">
        <w:rPr>
          <w:rFonts w:ascii="Tahoma" w:hAnsi="Tahoma" w:cs="Tahoma"/>
          <w:color w:val="000080"/>
          <w:sz w:val="20"/>
          <w:szCs w:val="20"/>
        </w:rPr>
        <w:t>modelled in the following manner:</w:t>
      </w:r>
    </w:p>
    <w:p w:rsidR="00706316" w:rsidRPr="0018299D" w:rsidRDefault="00706316" w:rsidP="00706316">
      <w:pPr>
        <w:spacing w:line="280" w:lineRule="atLeast"/>
        <w:ind w:left="567"/>
        <w:rPr>
          <w:rFonts w:ascii="Tahoma" w:hAnsi="Tahoma" w:cs="Tahoma"/>
          <w:color w:val="000080"/>
          <w:sz w:val="20"/>
          <w:szCs w:val="20"/>
        </w:rPr>
      </w:pP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Terminal equipment </w:t>
      </w:r>
      <w:r w:rsidR="00C06274">
        <w:rPr>
          <w:rFonts w:ascii="Tahoma" w:hAnsi="Tahoma" w:cs="Tahoma"/>
          <w:color w:val="000080"/>
          <w:sz w:val="20"/>
          <w:szCs w:val="20"/>
        </w:rPr>
        <w:t>is assumed to</w:t>
      </w:r>
      <w:r w:rsidR="00C06274" w:rsidRPr="0018299D">
        <w:rPr>
          <w:rFonts w:ascii="Tahoma" w:hAnsi="Tahoma" w:cs="Tahoma"/>
          <w:color w:val="000080"/>
          <w:sz w:val="20"/>
          <w:szCs w:val="20"/>
        </w:rPr>
        <w:t xml:space="preserve"> </w:t>
      </w:r>
      <w:r w:rsidRPr="0018299D">
        <w:rPr>
          <w:rFonts w:ascii="Tahoma" w:hAnsi="Tahoma" w:cs="Tahoma"/>
          <w:color w:val="000080"/>
          <w:sz w:val="20"/>
          <w:szCs w:val="20"/>
        </w:rPr>
        <w:t>be provided by alternative operator (e.g. STB).</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Content</w:t>
      </w:r>
      <w:r w:rsidR="00C06274">
        <w:rPr>
          <w:rFonts w:ascii="Tahoma" w:hAnsi="Tahoma" w:cs="Tahoma"/>
          <w:color w:val="000080"/>
          <w:sz w:val="20"/>
          <w:szCs w:val="20"/>
        </w:rPr>
        <w:t xml:space="preserve"> and VoD platform is </w:t>
      </w:r>
      <w:r w:rsidRPr="0018299D">
        <w:rPr>
          <w:rFonts w:ascii="Tahoma" w:hAnsi="Tahoma" w:cs="Tahoma"/>
          <w:color w:val="000080"/>
          <w:sz w:val="20"/>
          <w:szCs w:val="20"/>
        </w:rPr>
        <w:t>provided by the alternative operator.</w:t>
      </w:r>
    </w:p>
    <w:p w:rsidR="0018299D" w:rsidRP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Total bandwidth reserved in the backhaul network </w:t>
      </w:r>
      <w:r w:rsidR="00C06274">
        <w:rPr>
          <w:rFonts w:ascii="Tahoma" w:hAnsi="Tahoma" w:cs="Tahoma"/>
          <w:color w:val="000080"/>
          <w:sz w:val="20"/>
          <w:szCs w:val="20"/>
        </w:rPr>
        <w:t>is</w:t>
      </w:r>
      <w:r w:rsidRPr="0018299D">
        <w:rPr>
          <w:rFonts w:ascii="Tahoma" w:hAnsi="Tahoma" w:cs="Tahoma"/>
          <w:color w:val="000080"/>
          <w:sz w:val="20"/>
          <w:szCs w:val="20"/>
        </w:rPr>
        <w:t xml:space="preserve"> calculated depending on the number of users and number of SD and HD channels the alternative operator wants to provide.</w:t>
      </w:r>
    </w:p>
    <w:p w:rsidR="0018299D" w:rsidRPr="0018299D" w:rsidRDefault="00D572A9" w:rsidP="00857CB5">
      <w:pPr>
        <w:numPr>
          <w:ilvl w:val="0"/>
          <w:numId w:val="19"/>
        </w:numPr>
        <w:spacing w:line="280" w:lineRule="atLeast"/>
        <w:ind w:left="993" w:hanging="284"/>
        <w:rPr>
          <w:rFonts w:ascii="Tahoma" w:hAnsi="Tahoma" w:cs="Tahoma"/>
          <w:color w:val="000080"/>
          <w:sz w:val="20"/>
          <w:szCs w:val="20"/>
        </w:rPr>
      </w:pPr>
      <w:r w:rsidRPr="003614F6">
        <w:rPr>
          <w:rFonts w:ascii="Tahoma" w:hAnsi="Tahoma" w:cs="Tahoma"/>
          <w:color w:val="000080"/>
          <w:sz w:val="20"/>
          <w:szCs w:val="20"/>
        </w:rPr>
        <w:t xml:space="preserve">Bandwidth reserved per SD and HD channel </w:t>
      </w:r>
      <w:r>
        <w:rPr>
          <w:rFonts w:ascii="Tahoma" w:hAnsi="Tahoma" w:cs="Tahoma"/>
          <w:color w:val="000080"/>
          <w:sz w:val="20"/>
          <w:szCs w:val="20"/>
        </w:rPr>
        <w:t xml:space="preserve">is the </w:t>
      </w:r>
      <w:r w:rsidRPr="003614F6">
        <w:rPr>
          <w:rFonts w:ascii="Tahoma" w:hAnsi="Tahoma" w:cs="Tahoma"/>
          <w:color w:val="000080"/>
          <w:sz w:val="20"/>
          <w:szCs w:val="20"/>
        </w:rPr>
        <w:t>capacity</w:t>
      </w:r>
      <w:r>
        <w:rPr>
          <w:rFonts w:ascii="Tahoma" w:hAnsi="Tahoma" w:cs="Tahoma"/>
          <w:color w:val="000080"/>
          <w:sz w:val="20"/>
          <w:szCs w:val="20"/>
        </w:rPr>
        <w:t xml:space="preserve"> required</w:t>
      </w:r>
      <w:r w:rsidRPr="003614F6">
        <w:rPr>
          <w:rFonts w:ascii="Tahoma" w:hAnsi="Tahoma" w:cs="Tahoma"/>
          <w:color w:val="000080"/>
          <w:sz w:val="20"/>
          <w:szCs w:val="20"/>
        </w:rPr>
        <w:t xml:space="preserve"> transfer of the TV channels with same quality as SMP provides to its own subscribers</w:t>
      </w:r>
      <w:r>
        <w:rPr>
          <w:rFonts w:ascii="Tahoma" w:hAnsi="Tahoma" w:cs="Tahoma"/>
          <w:color w:val="000080"/>
          <w:sz w:val="20"/>
          <w:szCs w:val="20"/>
        </w:rPr>
        <w:t xml:space="preserve"> (2.7Mbps for SD, 7Mbps for HD)</w:t>
      </w:r>
      <w:r w:rsidRPr="003614F6">
        <w:rPr>
          <w:rFonts w:ascii="Tahoma" w:hAnsi="Tahoma" w:cs="Tahoma"/>
          <w:color w:val="000080"/>
          <w:sz w:val="20"/>
          <w:szCs w:val="20"/>
        </w:rPr>
        <w:t>.</w:t>
      </w:r>
      <w:r w:rsidR="0018299D" w:rsidRPr="0018299D">
        <w:rPr>
          <w:rFonts w:ascii="Tahoma" w:hAnsi="Tahoma" w:cs="Tahoma"/>
          <w:color w:val="000080"/>
          <w:sz w:val="20"/>
          <w:szCs w:val="20"/>
        </w:rPr>
        <w:t xml:space="preserve">   </w:t>
      </w:r>
    </w:p>
    <w:p w:rsidR="0018299D" w:rsidRDefault="0018299D" w:rsidP="00857CB5">
      <w:pPr>
        <w:numPr>
          <w:ilvl w:val="0"/>
          <w:numId w:val="19"/>
        </w:numPr>
        <w:spacing w:line="280" w:lineRule="atLeast"/>
        <w:ind w:left="993" w:hanging="284"/>
        <w:rPr>
          <w:rFonts w:ascii="Tahoma" w:hAnsi="Tahoma" w:cs="Tahoma"/>
          <w:color w:val="000080"/>
          <w:sz w:val="20"/>
          <w:szCs w:val="20"/>
        </w:rPr>
      </w:pPr>
      <w:r w:rsidRPr="0018299D">
        <w:rPr>
          <w:rFonts w:ascii="Tahoma" w:hAnsi="Tahoma" w:cs="Tahoma"/>
          <w:color w:val="000080"/>
          <w:sz w:val="20"/>
          <w:szCs w:val="20"/>
        </w:rPr>
        <w:t xml:space="preserve">Bitstream access link for VoD </w:t>
      </w:r>
      <w:r w:rsidR="001E2645">
        <w:rPr>
          <w:rFonts w:ascii="Tahoma" w:hAnsi="Tahoma" w:cs="Tahoma"/>
          <w:color w:val="000080"/>
          <w:sz w:val="20"/>
          <w:szCs w:val="20"/>
        </w:rPr>
        <w:t>is modelled as</w:t>
      </w:r>
      <w:r w:rsidRPr="0018299D">
        <w:rPr>
          <w:rFonts w:ascii="Tahoma" w:hAnsi="Tahoma" w:cs="Tahoma"/>
          <w:color w:val="000080"/>
          <w:sz w:val="20"/>
          <w:szCs w:val="20"/>
        </w:rPr>
        <w:t xml:space="preserve"> a virtual link provided over the same physical bitstream access link used for best effort Internet service. Link capacity reserved for VoD will be equal to the capacity reserved in backhaul for VoD. This capacity is an additional capacity to the capacity needed for Internet service.</w:t>
      </w:r>
    </w:p>
    <w:p w:rsidR="00FC1929" w:rsidRDefault="00FC1929" w:rsidP="00FC1929">
      <w:pPr>
        <w:spacing w:line="280" w:lineRule="atLeast"/>
        <w:jc w:val="left"/>
        <w:rPr>
          <w:rFonts w:ascii="Tahoma" w:hAnsi="Tahoma" w:cs="Tahoma"/>
          <w:color w:val="000080"/>
          <w:sz w:val="20"/>
          <w:szCs w:val="20"/>
        </w:rPr>
      </w:pPr>
    </w:p>
    <w:p w:rsidR="00FC1929" w:rsidRDefault="00FC1929"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 xml:space="preserve">Overbooking factor applied for VoD service is 1:10. In that respect,  required capacity of </w:t>
      </w:r>
      <w:r w:rsidR="00F05316">
        <w:rPr>
          <w:rFonts w:ascii="Tahoma" w:hAnsi="Tahoma" w:cs="Tahoma"/>
          <w:color w:val="000080"/>
          <w:sz w:val="20"/>
          <w:szCs w:val="20"/>
        </w:rPr>
        <w:t>b</w:t>
      </w:r>
      <w:r>
        <w:rPr>
          <w:rFonts w:ascii="Tahoma" w:hAnsi="Tahoma" w:cs="Tahoma"/>
          <w:color w:val="000080"/>
          <w:sz w:val="20"/>
          <w:szCs w:val="20"/>
        </w:rPr>
        <w:t>itstream access link is calculated using the formula below:</w:t>
      </w:r>
    </w:p>
    <w:p w:rsidR="00FC1929" w:rsidRDefault="00FC1929" w:rsidP="00FC1929">
      <w:pPr>
        <w:pStyle w:val="ListParagraph"/>
        <w:rPr>
          <w:rFonts w:ascii="Tahoma" w:hAnsi="Tahoma" w:cs="Tahoma"/>
          <w:color w:val="000080"/>
          <w:sz w:val="20"/>
          <w:szCs w:val="20"/>
        </w:rPr>
      </w:pPr>
    </w:p>
    <w:p w:rsidR="00FC1929" w:rsidRDefault="00FC1929" w:rsidP="00FC1929">
      <w:pPr>
        <w:spacing w:line="280" w:lineRule="atLeast"/>
        <w:ind w:left="720"/>
        <w:jc w:val="left"/>
        <w:rPr>
          <w:rFonts w:ascii="Tahoma" w:hAnsi="Tahoma" w:cs="Tahoma"/>
          <w:color w:val="000080"/>
          <w:sz w:val="20"/>
          <w:szCs w:val="20"/>
        </w:rPr>
      </w:pPr>
      <w:r>
        <w:rPr>
          <w:rFonts w:ascii="Tahoma" w:hAnsi="Tahoma" w:cs="Tahoma"/>
          <w:color w:val="000080"/>
          <w:sz w:val="20"/>
          <w:szCs w:val="20"/>
        </w:rPr>
        <w:t xml:space="preserve">BW = </w:t>
      </w:r>
      <w:r w:rsidR="009568FA">
        <w:rPr>
          <w:rFonts w:ascii="Tahoma" w:hAnsi="Tahoma" w:cs="Tahoma"/>
          <w:color w:val="000080"/>
          <w:sz w:val="20"/>
          <w:szCs w:val="20"/>
        </w:rPr>
        <w:t>(</w:t>
      </w:r>
      <w:r>
        <w:rPr>
          <w:rFonts w:ascii="Tahoma" w:hAnsi="Tahoma" w:cs="Tahoma"/>
          <w:color w:val="000080"/>
          <w:sz w:val="20"/>
          <w:szCs w:val="20"/>
        </w:rPr>
        <w:t>N</w:t>
      </w:r>
      <w:r w:rsidRPr="00FC1929">
        <w:rPr>
          <w:rFonts w:ascii="Tahoma" w:hAnsi="Tahoma" w:cs="Tahoma"/>
          <w:color w:val="000080"/>
          <w:sz w:val="20"/>
          <w:szCs w:val="20"/>
          <w:vertAlign w:val="subscript"/>
        </w:rPr>
        <w:t>HD</w:t>
      </w:r>
      <w:r>
        <w:rPr>
          <w:rFonts w:ascii="Tahoma" w:hAnsi="Tahoma" w:cs="Tahoma"/>
          <w:color w:val="000080"/>
          <w:sz w:val="20"/>
          <w:szCs w:val="20"/>
        </w:rPr>
        <w:t>*7Mbps + N</w:t>
      </w:r>
      <w:r w:rsidRPr="00FC1929">
        <w:rPr>
          <w:rFonts w:ascii="Tahoma" w:hAnsi="Tahoma" w:cs="Tahoma"/>
          <w:color w:val="000080"/>
          <w:sz w:val="20"/>
          <w:szCs w:val="20"/>
          <w:vertAlign w:val="subscript"/>
        </w:rPr>
        <w:t>SD</w:t>
      </w:r>
      <w:r>
        <w:rPr>
          <w:rFonts w:ascii="Tahoma" w:hAnsi="Tahoma" w:cs="Tahoma"/>
          <w:color w:val="000080"/>
          <w:sz w:val="20"/>
          <w:szCs w:val="20"/>
        </w:rPr>
        <w:t>*2,7Mbps</w:t>
      </w:r>
      <w:r w:rsidR="009568FA">
        <w:rPr>
          <w:rFonts w:ascii="Tahoma" w:hAnsi="Tahoma" w:cs="Tahoma"/>
          <w:color w:val="000080"/>
          <w:sz w:val="20"/>
          <w:szCs w:val="20"/>
        </w:rPr>
        <w:t>)/10</w:t>
      </w:r>
    </w:p>
    <w:p w:rsidR="00FC1929" w:rsidRDefault="00FC1929" w:rsidP="00FC1929">
      <w:pPr>
        <w:spacing w:line="280" w:lineRule="atLeast"/>
        <w:ind w:left="720"/>
        <w:jc w:val="left"/>
        <w:rPr>
          <w:rFonts w:ascii="Tahoma" w:hAnsi="Tahoma" w:cs="Tahoma"/>
          <w:color w:val="000080"/>
          <w:sz w:val="20"/>
          <w:szCs w:val="20"/>
        </w:rPr>
      </w:pPr>
    </w:p>
    <w:p w:rsidR="00FC1929" w:rsidRDefault="00FC1929" w:rsidP="00FC1929">
      <w:pPr>
        <w:spacing w:line="280" w:lineRule="atLeast"/>
        <w:ind w:left="567"/>
        <w:jc w:val="left"/>
        <w:rPr>
          <w:rFonts w:ascii="Tahoma" w:hAnsi="Tahoma" w:cs="Tahoma"/>
          <w:color w:val="000080"/>
          <w:sz w:val="20"/>
          <w:szCs w:val="20"/>
        </w:rPr>
      </w:pPr>
      <w:r>
        <w:rPr>
          <w:rFonts w:ascii="Tahoma" w:hAnsi="Tahoma" w:cs="Tahoma"/>
          <w:color w:val="000080"/>
          <w:sz w:val="20"/>
          <w:szCs w:val="20"/>
        </w:rPr>
        <w:t>where N</w:t>
      </w:r>
      <w:r w:rsidRPr="00FC1929">
        <w:rPr>
          <w:rFonts w:ascii="Tahoma" w:hAnsi="Tahoma" w:cs="Tahoma"/>
          <w:color w:val="000080"/>
          <w:sz w:val="20"/>
          <w:szCs w:val="20"/>
          <w:vertAlign w:val="subscript"/>
        </w:rPr>
        <w:t>HD</w:t>
      </w:r>
      <w:r>
        <w:rPr>
          <w:rFonts w:ascii="Tahoma" w:hAnsi="Tahoma" w:cs="Tahoma"/>
          <w:color w:val="000080"/>
          <w:sz w:val="20"/>
          <w:szCs w:val="20"/>
        </w:rPr>
        <w:t xml:space="preserve"> and N</w:t>
      </w:r>
      <w:r w:rsidRPr="00FC1929">
        <w:rPr>
          <w:rFonts w:ascii="Tahoma" w:hAnsi="Tahoma" w:cs="Tahoma"/>
          <w:color w:val="000080"/>
          <w:sz w:val="20"/>
          <w:szCs w:val="20"/>
          <w:vertAlign w:val="subscript"/>
        </w:rPr>
        <w:t>SD</w:t>
      </w:r>
      <w:r>
        <w:rPr>
          <w:rFonts w:ascii="Tahoma" w:hAnsi="Tahoma" w:cs="Tahoma"/>
          <w:color w:val="000080"/>
          <w:sz w:val="20"/>
          <w:szCs w:val="20"/>
        </w:rPr>
        <w:t xml:space="preserve"> stand for the number of VoD users with HD and SD channels, respectively.</w:t>
      </w:r>
    </w:p>
    <w:p w:rsidR="00FC1929" w:rsidRDefault="00FC1929" w:rsidP="00FC1929">
      <w:pPr>
        <w:pStyle w:val="ListParagraph"/>
        <w:rPr>
          <w:rFonts w:ascii="Tahoma" w:hAnsi="Tahoma" w:cs="Tahoma"/>
          <w:color w:val="000080"/>
          <w:sz w:val="20"/>
          <w:szCs w:val="20"/>
        </w:rPr>
      </w:pPr>
    </w:p>
    <w:p w:rsidR="00B35CD8" w:rsidRDefault="00B35CD8" w:rsidP="00B35CD8">
      <w:pPr>
        <w:numPr>
          <w:ilvl w:val="1"/>
          <w:numId w:val="17"/>
        </w:numPr>
        <w:spacing w:line="280" w:lineRule="atLeast"/>
        <w:ind w:left="567" w:hanging="567"/>
        <w:jc w:val="left"/>
        <w:rPr>
          <w:rFonts w:ascii="Tahoma" w:hAnsi="Tahoma" w:cs="Tahoma"/>
          <w:color w:val="000080"/>
          <w:sz w:val="20"/>
          <w:szCs w:val="20"/>
        </w:rPr>
      </w:pPr>
      <w:r>
        <w:rPr>
          <w:rFonts w:ascii="Tahoma" w:hAnsi="Tahoma" w:cs="Tahoma"/>
          <w:color w:val="000080"/>
          <w:sz w:val="20"/>
          <w:szCs w:val="20"/>
        </w:rPr>
        <w:t>VoD</w:t>
      </w:r>
      <w:r w:rsidRPr="0018299D">
        <w:rPr>
          <w:rFonts w:ascii="Tahoma" w:hAnsi="Tahoma" w:cs="Tahoma"/>
          <w:color w:val="000080"/>
          <w:sz w:val="20"/>
          <w:szCs w:val="20"/>
        </w:rPr>
        <w:t xml:space="preserve"> services </w:t>
      </w:r>
      <w:r>
        <w:rPr>
          <w:rFonts w:ascii="Tahoma" w:hAnsi="Tahoma" w:cs="Tahoma"/>
          <w:color w:val="000080"/>
          <w:sz w:val="20"/>
          <w:szCs w:val="20"/>
        </w:rPr>
        <w:t>are</w:t>
      </w:r>
      <w:r w:rsidRPr="0018299D">
        <w:rPr>
          <w:rFonts w:ascii="Tahoma" w:hAnsi="Tahoma" w:cs="Tahoma"/>
          <w:color w:val="000080"/>
          <w:sz w:val="20"/>
          <w:szCs w:val="20"/>
        </w:rPr>
        <w:t xml:space="preserve"> modelled for the 2-nd and 3-rd level.</w:t>
      </w:r>
    </w:p>
    <w:p w:rsidR="00B35CD8" w:rsidRDefault="00B35CD8" w:rsidP="00437078">
      <w:pPr>
        <w:spacing w:line="280" w:lineRule="atLeast"/>
        <w:ind w:left="567"/>
        <w:jc w:val="left"/>
        <w:rPr>
          <w:rFonts w:ascii="Tahoma" w:hAnsi="Tahoma" w:cs="Tahoma"/>
          <w:color w:val="000080"/>
          <w:sz w:val="20"/>
          <w:szCs w:val="20"/>
        </w:rPr>
      </w:pPr>
    </w:p>
    <w:p w:rsidR="00B35CD8" w:rsidRDefault="002D0EA5"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 xml:space="preserve">VoD services are assumed to be charged per MB of usage. </w:t>
      </w:r>
      <w:r w:rsidR="00B35CD8">
        <w:rPr>
          <w:rFonts w:ascii="Tahoma" w:hAnsi="Tahoma" w:cs="Tahoma"/>
          <w:color w:val="000080"/>
          <w:sz w:val="20"/>
          <w:szCs w:val="20"/>
        </w:rPr>
        <w:t>Results of modelling are presented in the following table.</w:t>
      </w:r>
    </w:p>
    <w:p w:rsidR="002D0EA5" w:rsidRPr="0018299D" w:rsidRDefault="002D0EA5" w:rsidP="0018299D">
      <w:pPr>
        <w:spacing w:line="280" w:lineRule="atLeast"/>
        <w:ind w:left="540"/>
        <w:jc w:val="left"/>
        <w:rPr>
          <w:rFonts w:ascii="Tahoma" w:hAnsi="Tahoma" w:cs="Tahoma"/>
          <w:color w:val="000080"/>
          <w:sz w:val="20"/>
          <w:szCs w:val="20"/>
        </w:rPr>
      </w:pPr>
    </w:p>
    <w:tbl>
      <w:tblPr>
        <w:tblW w:w="8392" w:type="dxa"/>
        <w:tblInd w:w="67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tblPr>
      <w:tblGrid>
        <w:gridCol w:w="2098"/>
        <w:gridCol w:w="2098"/>
        <w:gridCol w:w="2098"/>
        <w:gridCol w:w="2098"/>
        <w:tblGridChange w:id="11">
          <w:tblGrid>
            <w:gridCol w:w="2098"/>
            <w:gridCol w:w="2098"/>
            <w:gridCol w:w="2098"/>
            <w:gridCol w:w="2098"/>
          </w:tblGrid>
        </w:tblGridChange>
      </w:tblGrid>
      <w:tr w:rsidR="002D0EA5" w:rsidRPr="00EC4E88" w:rsidTr="00EC4E88">
        <w:trPr>
          <w:trHeight w:val="300"/>
        </w:trPr>
        <w:tc>
          <w:tcPr>
            <w:tcW w:w="2098" w:type="dxa"/>
            <w:shd w:val="solid" w:color="000080" w:fill="FFFFFF"/>
            <w:noWrap/>
            <w:hideMark/>
          </w:tcPr>
          <w:p w:rsidR="002D0EA5" w:rsidRPr="002D0EA5" w:rsidRDefault="002D0EA5" w:rsidP="00EC4E88">
            <w:pPr>
              <w:jc w:val="left"/>
              <w:rPr>
                <w:rFonts w:ascii="Arial" w:hAnsi="Arial" w:cs="Arial"/>
                <w:color w:val="FFFFFF"/>
                <w:sz w:val="20"/>
                <w:szCs w:val="20"/>
                <w:lang w:val="en-US" w:eastAsia="en-US"/>
              </w:rPr>
            </w:pPr>
            <w:r w:rsidRPr="002D0EA5">
              <w:rPr>
                <w:rFonts w:ascii="Arial" w:hAnsi="Arial" w:cs="Arial"/>
                <w:color w:val="FFFFFF"/>
                <w:sz w:val="20"/>
                <w:szCs w:val="20"/>
                <w:lang w:val="en-US" w:eastAsia="en-US"/>
              </w:rPr>
              <w:t> </w:t>
            </w:r>
          </w:p>
        </w:tc>
        <w:tc>
          <w:tcPr>
            <w:tcW w:w="2098" w:type="dxa"/>
            <w:shd w:val="solid" w:color="000080" w:fill="FFFFFF"/>
            <w:noWrap/>
            <w:hideMark/>
          </w:tcPr>
          <w:p w:rsidR="002D0EA5" w:rsidRPr="002D0EA5" w:rsidRDefault="002D0EA5" w:rsidP="00EC4E88">
            <w:pPr>
              <w:jc w:val="left"/>
              <w:rPr>
                <w:rFonts w:ascii="Tahoma" w:hAnsi="Tahoma" w:cs="Tahoma"/>
                <w:b/>
                <w:bCs/>
                <w:color w:val="FFFFFF"/>
                <w:sz w:val="20"/>
                <w:szCs w:val="20"/>
                <w:lang w:val="en-US" w:eastAsia="en-US"/>
              </w:rPr>
            </w:pPr>
            <w:r w:rsidRPr="002D0EA5">
              <w:rPr>
                <w:rFonts w:ascii="Tahoma" w:hAnsi="Tahoma" w:cs="Tahoma"/>
                <w:b/>
                <w:bCs/>
                <w:color w:val="FFFFFF"/>
                <w:sz w:val="20"/>
                <w:szCs w:val="20"/>
                <w:lang w:eastAsia="en-US"/>
              </w:rPr>
              <w:t>Level 2</w:t>
            </w:r>
          </w:p>
        </w:tc>
        <w:tc>
          <w:tcPr>
            <w:tcW w:w="2098" w:type="dxa"/>
            <w:shd w:val="solid" w:color="000080" w:fill="FFFFFF"/>
            <w:noWrap/>
            <w:hideMark/>
          </w:tcPr>
          <w:p w:rsidR="002D0EA5" w:rsidRPr="002D0EA5" w:rsidRDefault="002D0EA5" w:rsidP="00EC4E88">
            <w:pPr>
              <w:jc w:val="left"/>
              <w:rPr>
                <w:rFonts w:ascii="Tahoma" w:hAnsi="Tahoma" w:cs="Tahoma"/>
                <w:b/>
                <w:bCs/>
                <w:color w:val="FFFFFF"/>
                <w:sz w:val="20"/>
                <w:szCs w:val="20"/>
                <w:lang w:val="en-US" w:eastAsia="en-US"/>
              </w:rPr>
            </w:pPr>
            <w:r w:rsidRPr="002D0EA5">
              <w:rPr>
                <w:rFonts w:ascii="Tahoma" w:hAnsi="Tahoma" w:cs="Tahoma"/>
                <w:b/>
                <w:bCs/>
                <w:color w:val="FFFFFF"/>
                <w:sz w:val="20"/>
                <w:szCs w:val="20"/>
                <w:lang w:eastAsia="en-US"/>
              </w:rPr>
              <w:t>Level3 without BRAS</w:t>
            </w:r>
          </w:p>
        </w:tc>
        <w:tc>
          <w:tcPr>
            <w:tcW w:w="2098" w:type="dxa"/>
            <w:shd w:val="solid" w:color="000080" w:fill="FFFFFF"/>
            <w:noWrap/>
            <w:hideMark/>
          </w:tcPr>
          <w:p w:rsidR="002D0EA5" w:rsidRPr="002D0EA5" w:rsidRDefault="002D0EA5" w:rsidP="00EC4E88">
            <w:pPr>
              <w:jc w:val="left"/>
              <w:rPr>
                <w:rFonts w:ascii="Tahoma" w:hAnsi="Tahoma" w:cs="Tahoma"/>
                <w:b/>
                <w:bCs/>
                <w:color w:val="FFFFFF"/>
                <w:sz w:val="20"/>
                <w:szCs w:val="20"/>
                <w:lang w:val="en-US" w:eastAsia="en-US"/>
              </w:rPr>
            </w:pPr>
            <w:r w:rsidRPr="002D0EA5">
              <w:rPr>
                <w:rFonts w:ascii="Tahoma" w:hAnsi="Tahoma" w:cs="Tahoma"/>
                <w:b/>
                <w:bCs/>
                <w:color w:val="FFFFFF"/>
                <w:sz w:val="20"/>
                <w:szCs w:val="20"/>
                <w:lang w:eastAsia="en-US"/>
              </w:rPr>
              <w:t>Level3 with BRAS</w:t>
            </w:r>
          </w:p>
        </w:tc>
      </w:tr>
      <w:tr w:rsidR="002D0EA5" w:rsidRPr="00EC4E88" w:rsidTr="00EC4E88">
        <w:trPr>
          <w:trHeight w:val="315"/>
        </w:trPr>
        <w:tc>
          <w:tcPr>
            <w:tcW w:w="2098" w:type="dxa"/>
            <w:shd w:val="clear" w:color="auto" w:fill="auto"/>
            <w:noWrap/>
            <w:hideMark/>
          </w:tcPr>
          <w:p w:rsidR="002D0EA5" w:rsidRPr="002D0EA5" w:rsidRDefault="002D0EA5" w:rsidP="00EC4E88">
            <w:pPr>
              <w:jc w:val="right"/>
              <w:rPr>
                <w:rFonts w:ascii="Tahoma" w:hAnsi="Tahoma" w:cs="Tahoma"/>
                <w:color w:val="000080"/>
                <w:sz w:val="20"/>
                <w:szCs w:val="20"/>
                <w:lang w:val="en-US" w:eastAsia="en-US"/>
              </w:rPr>
            </w:pPr>
            <w:r w:rsidRPr="002D0EA5">
              <w:rPr>
                <w:rFonts w:ascii="Tahoma" w:hAnsi="Tahoma" w:cs="Tahoma"/>
                <w:color w:val="000080"/>
                <w:sz w:val="20"/>
                <w:szCs w:val="20"/>
                <w:lang w:val="en-US" w:eastAsia="en-US"/>
              </w:rPr>
              <w:t>Per MB</w:t>
            </w:r>
          </w:p>
        </w:tc>
        <w:tc>
          <w:tcPr>
            <w:tcW w:w="2098" w:type="dxa"/>
            <w:shd w:val="clear" w:color="auto" w:fill="auto"/>
            <w:noWrap/>
            <w:hideMark/>
          </w:tcPr>
          <w:p w:rsidR="002D0EA5" w:rsidRPr="002D0EA5" w:rsidRDefault="002D0EA5" w:rsidP="00EC4E88">
            <w:pPr>
              <w:jc w:val="right"/>
              <w:rPr>
                <w:rFonts w:ascii="Tahoma" w:hAnsi="Tahoma" w:cs="Tahoma"/>
                <w:b/>
                <w:bCs/>
                <w:color w:val="000080"/>
                <w:sz w:val="20"/>
                <w:szCs w:val="20"/>
                <w:lang w:val="en-US" w:eastAsia="en-US"/>
              </w:rPr>
            </w:pPr>
            <w:r w:rsidRPr="002D0EA5">
              <w:rPr>
                <w:rFonts w:ascii="Tahoma" w:hAnsi="Tahoma" w:cs="Tahoma"/>
                <w:b/>
                <w:bCs/>
                <w:color w:val="000080"/>
                <w:sz w:val="20"/>
                <w:szCs w:val="20"/>
                <w:lang w:val="en-US" w:eastAsia="en-US"/>
              </w:rPr>
              <w:t>0,000</w:t>
            </w:r>
            <w:r w:rsidR="00F25D61">
              <w:rPr>
                <w:rFonts w:ascii="Tahoma" w:hAnsi="Tahoma" w:cs="Tahoma"/>
                <w:b/>
                <w:bCs/>
                <w:color w:val="000080"/>
                <w:sz w:val="20"/>
                <w:szCs w:val="20"/>
                <w:lang w:val="en-US" w:eastAsia="en-US"/>
              </w:rPr>
              <w:t>7</w:t>
            </w:r>
            <w:r w:rsidRPr="002D0EA5">
              <w:rPr>
                <w:rFonts w:ascii="Tahoma" w:hAnsi="Tahoma" w:cs="Tahoma"/>
                <w:b/>
                <w:bCs/>
                <w:color w:val="000080"/>
                <w:sz w:val="20"/>
                <w:szCs w:val="20"/>
                <w:lang w:val="en-US" w:eastAsia="en-US"/>
              </w:rPr>
              <w:t xml:space="preserve"> MKD</w:t>
            </w:r>
          </w:p>
        </w:tc>
        <w:tc>
          <w:tcPr>
            <w:tcW w:w="2098" w:type="dxa"/>
            <w:shd w:val="clear" w:color="auto" w:fill="auto"/>
            <w:noWrap/>
            <w:hideMark/>
          </w:tcPr>
          <w:p w:rsidR="002D0EA5" w:rsidRPr="002D0EA5" w:rsidRDefault="002D0EA5" w:rsidP="00EC4E88">
            <w:pPr>
              <w:jc w:val="right"/>
              <w:rPr>
                <w:rFonts w:ascii="Tahoma" w:hAnsi="Tahoma" w:cs="Tahoma"/>
                <w:b/>
                <w:bCs/>
                <w:color w:val="000080"/>
                <w:sz w:val="20"/>
                <w:szCs w:val="20"/>
                <w:lang w:val="en-US" w:eastAsia="en-US"/>
              </w:rPr>
            </w:pPr>
            <w:r w:rsidRPr="002D0EA5">
              <w:rPr>
                <w:rFonts w:ascii="Tahoma" w:hAnsi="Tahoma" w:cs="Tahoma"/>
                <w:b/>
                <w:bCs/>
                <w:color w:val="000080"/>
                <w:sz w:val="20"/>
                <w:szCs w:val="20"/>
                <w:lang w:val="en-US" w:eastAsia="en-US"/>
              </w:rPr>
              <w:t>0,0011 MKD</w:t>
            </w:r>
          </w:p>
        </w:tc>
        <w:tc>
          <w:tcPr>
            <w:tcW w:w="2098" w:type="dxa"/>
            <w:shd w:val="clear" w:color="auto" w:fill="auto"/>
            <w:noWrap/>
            <w:hideMark/>
          </w:tcPr>
          <w:p w:rsidR="002D0EA5" w:rsidRPr="002D0EA5" w:rsidRDefault="002D0EA5" w:rsidP="00EC4E88">
            <w:pPr>
              <w:jc w:val="right"/>
              <w:rPr>
                <w:rFonts w:ascii="Tahoma" w:hAnsi="Tahoma" w:cs="Tahoma"/>
                <w:b/>
                <w:bCs/>
                <w:color w:val="000080"/>
                <w:sz w:val="20"/>
                <w:szCs w:val="20"/>
                <w:lang w:val="en-US" w:eastAsia="en-US"/>
              </w:rPr>
            </w:pPr>
            <w:r w:rsidRPr="002D0EA5">
              <w:rPr>
                <w:rFonts w:ascii="Tahoma" w:hAnsi="Tahoma" w:cs="Tahoma"/>
                <w:b/>
                <w:bCs/>
                <w:color w:val="000080"/>
                <w:sz w:val="20"/>
                <w:szCs w:val="20"/>
                <w:lang w:val="en-US" w:eastAsia="en-US"/>
              </w:rPr>
              <w:t>0,00</w:t>
            </w:r>
            <w:r w:rsidR="00116B01">
              <w:rPr>
                <w:rFonts w:ascii="Tahoma" w:hAnsi="Tahoma" w:cs="Tahoma"/>
                <w:b/>
                <w:bCs/>
                <w:color w:val="000080"/>
                <w:sz w:val="20"/>
                <w:szCs w:val="20"/>
                <w:lang w:val="en-US" w:eastAsia="en-US"/>
              </w:rPr>
              <w:t>11</w:t>
            </w:r>
            <w:r w:rsidRPr="002D0EA5">
              <w:rPr>
                <w:rFonts w:ascii="Tahoma" w:hAnsi="Tahoma" w:cs="Tahoma"/>
                <w:b/>
                <w:bCs/>
                <w:color w:val="000080"/>
                <w:sz w:val="20"/>
                <w:szCs w:val="20"/>
                <w:lang w:val="en-US" w:eastAsia="en-US"/>
              </w:rPr>
              <w:t xml:space="preserve"> MKD</w:t>
            </w:r>
          </w:p>
        </w:tc>
      </w:tr>
    </w:tbl>
    <w:p w:rsidR="0018299D" w:rsidRDefault="0018299D" w:rsidP="0018299D">
      <w:pPr>
        <w:spacing w:line="280" w:lineRule="atLeast"/>
        <w:ind w:left="540"/>
        <w:jc w:val="left"/>
        <w:rPr>
          <w:rFonts w:ascii="Tahoma" w:hAnsi="Tahoma" w:cs="Tahoma"/>
          <w:color w:val="000080"/>
          <w:sz w:val="20"/>
          <w:szCs w:val="20"/>
        </w:rPr>
      </w:pPr>
    </w:p>
    <w:p w:rsidR="0011244B" w:rsidRPr="0018299D" w:rsidRDefault="0011244B" w:rsidP="0018299D">
      <w:pPr>
        <w:spacing w:line="280" w:lineRule="atLeast"/>
        <w:ind w:left="540"/>
        <w:jc w:val="lef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VoIP, IPTV and VoD services </w:t>
      </w:r>
      <w:r w:rsidR="00825B8F">
        <w:rPr>
          <w:rFonts w:ascii="Tahoma" w:hAnsi="Tahoma" w:cs="Tahoma"/>
          <w:color w:val="000080"/>
          <w:sz w:val="20"/>
          <w:szCs w:val="20"/>
        </w:rPr>
        <w:t>are</w:t>
      </w:r>
      <w:r w:rsidRPr="0018299D">
        <w:rPr>
          <w:rFonts w:ascii="Tahoma" w:hAnsi="Tahoma" w:cs="Tahoma"/>
          <w:color w:val="000080"/>
          <w:sz w:val="20"/>
          <w:szCs w:val="20"/>
        </w:rPr>
        <w:t xml:space="preserve"> modelled as add-on services to best effort Internet service. In this respect, additional channels for VoIP, IPTV and VoD services </w:t>
      </w:r>
      <w:r w:rsidR="00825B8F">
        <w:rPr>
          <w:rFonts w:ascii="Tahoma" w:hAnsi="Tahoma" w:cs="Tahoma"/>
          <w:color w:val="000080"/>
          <w:sz w:val="20"/>
          <w:szCs w:val="20"/>
        </w:rPr>
        <w:t>do</w:t>
      </w:r>
      <w:r w:rsidR="00825B8F" w:rsidRPr="0018299D">
        <w:rPr>
          <w:rFonts w:ascii="Tahoma" w:hAnsi="Tahoma" w:cs="Tahoma"/>
          <w:color w:val="000080"/>
          <w:sz w:val="20"/>
          <w:szCs w:val="20"/>
        </w:rPr>
        <w:t xml:space="preserve"> </w:t>
      </w:r>
      <w:r w:rsidRPr="0018299D">
        <w:rPr>
          <w:rFonts w:ascii="Tahoma" w:hAnsi="Tahoma" w:cs="Tahoma"/>
          <w:color w:val="000080"/>
          <w:sz w:val="20"/>
          <w:szCs w:val="20"/>
        </w:rPr>
        <w:t>not use additional physical network elements but only additional bandwidth with QoS guarantees.</w:t>
      </w:r>
    </w:p>
    <w:p w:rsidR="0018299D" w:rsidRPr="0018299D" w:rsidRDefault="0018299D" w:rsidP="00857CB5">
      <w:pPr>
        <w:spacing w:line="280" w:lineRule="atLeast"/>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lastRenderedPageBreak/>
        <w:t xml:space="preserve">It should also be noted from previous points that the same physical bitstream access link will be used for all services (best effort internet services, VoIP, IPTV and VoD). This means that </w:t>
      </w:r>
      <w:r w:rsidR="00825B8F">
        <w:rPr>
          <w:rFonts w:ascii="Tahoma" w:hAnsi="Tahoma" w:cs="Tahoma"/>
          <w:color w:val="000080"/>
          <w:sz w:val="20"/>
          <w:szCs w:val="20"/>
        </w:rPr>
        <w:t xml:space="preserve">no additional charges are required for </w:t>
      </w:r>
      <w:r w:rsidRPr="0018299D">
        <w:rPr>
          <w:rFonts w:ascii="Tahoma" w:hAnsi="Tahoma" w:cs="Tahoma"/>
          <w:color w:val="000080"/>
          <w:sz w:val="20"/>
          <w:szCs w:val="20"/>
        </w:rPr>
        <w:t>VoIP, IPTV and VoD Bitstream access link.</w:t>
      </w:r>
    </w:p>
    <w:p w:rsidR="0018299D" w:rsidRPr="0018299D" w:rsidRDefault="0018299D" w:rsidP="00857CB5">
      <w:pPr>
        <w:spacing w:line="280" w:lineRule="atLeast"/>
        <w:ind w:left="567"/>
        <w:rPr>
          <w:rFonts w:ascii="Tahoma" w:hAnsi="Tahoma" w:cs="Tahoma"/>
          <w:color w:val="000080"/>
          <w:sz w:val="20"/>
          <w:szCs w:val="20"/>
        </w:rPr>
      </w:pPr>
    </w:p>
    <w:p w:rsidR="0018299D" w:rsidRPr="0018299D" w:rsidRDefault="0018299D" w:rsidP="00857CB5">
      <w:pPr>
        <w:numPr>
          <w:ilvl w:val="1"/>
          <w:numId w:val="17"/>
        </w:numPr>
        <w:spacing w:line="280" w:lineRule="atLeast"/>
        <w:ind w:left="567" w:hanging="567"/>
        <w:rPr>
          <w:rFonts w:ascii="Tahoma" w:hAnsi="Tahoma" w:cs="Tahoma"/>
          <w:color w:val="000080"/>
          <w:sz w:val="20"/>
          <w:szCs w:val="20"/>
        </w:rPr>
      </w:pPr>
      <w:r w:rsidRPr="0018299D">
        <w:rPr>
          <w:rFonts w:ascii="Tahoma" w:hAnsi="Tahoma" w:cs="Tahoma"/>
          <w:color w:val="000080"/>
          <w:sz w:val="20"/>
          <w:szCs w:val="20"/>
        </w:rPr>
        <w:t xml:space="preserve">Bitstream access link for alternative operator </w:t>
      </w:r>
      <w:r w:rsidR="00B35CD8">
        <w:rPr>
          <w:rFonts w:ascii="Tahoma" w:hAnsi="Tahoma" w:cs="Tahoma"/>
          <w:color w:val="000080"/>
          <w:sz w:val="20"/>
          <w:szCs w:val="20"/>
        </w:rPr>
        <w:t>is</w:t>
      </w:r>
      <w:r w:rsidRPr="0018299D">
        <w:rPr>
          <w:rFonts w:ascii="Tahoma" w:hAnsi="Tahoma" w:cs="Tahoma"/>
          <w:color w:val="000080"/>
          <w:sz w:val="20"/>
          <w:szCs w:val="20"/>
        </w:rPr>
        <w:t xml:space="preserve"> priced according to link speed and link length. </w:t>
      </w:r>
    </w:p>
    <w:p w:rsidR="0018299D" w:rsidRPr="0018299D" w:rsidRDefault="0018299D" w:rsidP="0018299D">
      <w:pPr>
        <w:spacing w:line="280" w:lineRule="atLeast"/>
        <w:ind w:left="540"/>
        <w:jc w:val="left"/>
        <w:rPr>
          <w:rFonts w:ascii="Tahoma" w:hAnsi="Tahoma" w:cs="Tahoma"/>
          <w:color w:val="000080"/>
          <w:sz w:val="20"/>
          <w:szCs w:val="20"/>
        </w:rPr>
      </w:pPr>
    </w:p>
    <w:p w:rsidR="0018299D" w:rsidRPr="00FC1929" w:rsidRDefault="0018299D" w:rsidP="00FC1929">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Link speeds modelled are the following:</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1Gbps</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10Gbps</w:t>
      </w:r>
    </w:p>
    <w:p w:rsidR="0018299D" w:rsidRPr="0018299D" w:rsidRDefault="0018299D" w:rsidP="00577F81">
      <w:pPr>
        <w:spacing w:line="280" w:lineRule="atLeast"/>
        <w:ind w:left="993"/>
        <w:jc w:val="left"/>
        <w:rPr>
          <w:rFonts w:ascii="Tahoma" w:hAnsi="Tahoma" w:cs="Tahoma"/>
          <w:color w:val="000080"/>
          <w:sz w:val="20"/>
          <w:szCs w:val="20"/>
        </w:rPr>
      </w:pPr>
    </w:p>
    <w:p w:rsidR="0018299D" w:rsidRPr="0018299D" w:rsidRDefault="0018299D" w:rsidP="00CA142D">
      <w:pPr>
        <w:numPr>
          <w:ilvl w:val="1"/>
          <w:numId w:val="17"/>
        </w:numPr>
        <w:spacing w:line="280" w:lineRule="atLeast"/>
        <w:ind w:left="567" w:hanging="567"/>
        <w:jc w:val="left"/>
        <w:rPr>
          <w:rFonts w:ascii="Tahoma" w:hAnsi="Tahoma" w:cs="Tahoma"/>
          <w:color w:val="000080"/>
          <w:sz w:val="20"/>
          <w:szCs w:val="20"/>
        </w:rPr>
      </w:pPr>
      <w:r w:rsidRPr="0018299D">
        <w:rPr>
          <w:rFonts w:ascii="Tahoma" w:hAnsi="Tahoma" w:cs="Tahoma"/>
          <w:color w:val="000080"/>
          <w:sz w:val="20"/>
          <w:szCs w:val="20"/>
        </w:rPr>
        <w:t xml:space="preserve">Link distances modelled are the following: </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Up to 60m – in the building link</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 xml:space="preserve">From 60m up to 2km </w:t>
      </w:r>
    </w:p>
    <w:p w:rsidR="0018299D" w:rsidRP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From 2km up to 10km in increments of 1km</w:t>
      </w:r>
    </w:p>
    <w:p w:rsidR="0018299D" w:rsidRDefault="0018299D" w:rsidP="00CA142D">
      <w:pPr>
        <w:numPr>
          <w:ilvl w:val="0"/>
          <w:numId w:val="19"/>
        </w:numPr>
        <w:spacing w:line="280" w:lineRule="atLeast"/>
        <w:ind w:left="993" w:hanging="284"/>
        <w:jc w:val="left"/>
        <w:rPr>
          <w:rFonts w:ascii="Tahoma" w:hAnsi="Tahoma" w:cs="Tahoma"/>
          <w:color w:val="000080"/>
          <w:sz w:val="20"/>
          <w:szCs w:val="20"/>
        </w:rPr>
      </w:pPr>
      <w:r w:rsidRPr="0018299D">
        <w:rPr>
          <w:rFonts w:ascii="Tahoma" w:hAnsi="Tahoma" w:cs="Tahoma"/>
          <w:color w:val="000080"/>
          <w:sz w:val="20"/>
          <w:szCs w:val="20"/>
        </w:rPr>
        <w:t xml:space="preserve">From 10km to </w:t>
      </w:r>
      <w:r w:rsidR="00F15B5B">
        <w:rPr>
          <w:rFonts w:ascii="Tahoma" w:hAnsi="Tahoma" w:cs="Tahoma"/>
          <w:color w:val="000080"/>
          <w:sz w:val="20"/>
          <w:szCs w:val="20"/>
        </w:rPr>
        <w:t>15</w:t>
      </w:r>
      <w:r w:rsidRPr="0018299D">
        <w:rPr>
          <w:rFonts w:ascii="Tahoma" w:hAnsi="Tahoma" w:cs="Tahoma"/>
          <w:color w:val="000080"/>
          <w:sz w:val="20"/>
          <w:szCs w:val="20"/>
        </w:rPr>
        <w:t>0km in increments of 10km</w:t>
      </w:r>
    </w:p>
    <w:p w:rsidR="0018299D" w:rsidRPr="0018299D" w:rsidRDefault="0018299D" w:rsidP="0018299D">
      <w:pPr>
        <w:spacing w:line="280" w:lineRule="atLeast"/>
        <w:ind w:left="540"/>
        <w:jc w:val="left"/>
        <w:rPr>
          <w:rFonts w:ascii="Tahoma" w:hAnsi="Tahoma" w:cs="Tahoma"/>
          <w:color w:val="000080"/>
          <w:sz w:val="20"/>
          <w:szCs w:val="20"/>
        </w:rPr>
      </w:pPr>
    </w:p>
    <w:p w:rsidR="003F1BD7" w:rsidRDefault="003F1BD7"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Tables below present the results of modelling for bitstream access links for various speeds and distances and levels of access.</w:t>
      </w:r>
    </w:p>
    <w:p w:rsidR="003052CA" w:rsidRDefault="003052CA" w:rsidP="00857CB5">
      <w:pPr>
        <w:spacing w:line="280" w:lineRule="atLeast"/>
        <w:ind w:left="360"/>
        <w:rPr>
          <w:rFonts w:ascii="Tahoma" w:hAnsi="Tahoma" w:cs="Tahoma"/>
          <w:color w:val="000080"/>
          <w:sz w:val="20"/>
          <w:szCs w:val="20"/>
        </w:rPr>
      </w:pPr>
    </w:p>
    <w:p w:rsidR="0011244B" w:rsidRDefault="0011244B" w:rsidP="00FB2D02">
      <w:pPr>
        <w:spacing w:line="280" w:lineRule="atLeast"/>
        <w:ind w:left="360"/>
        <w:jc w:val="left"/>
        <w:rPr>
          <w:rFonts w:ascii="Tahoma" w:hAnsi="Tahoma" w:cs="Tahoma"/>
          <w:color w:val="000080"/>
          <w:sz w:val="20"/>
          <w:szCs w:val="20"/>
        </w:rPr>
      </w:pPr>
    </w:p>
    <w:tbl>
      <w:tblPr>
        <w:tblW w:w="89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928"/>
        <w:gridCol w:w="1757"/>
        <w:gridCol w:w="1757"/>
        <w:gridCol w:w="1757"/>
        <w:gridCol w:w="1757"/>
        <w:tblGridChange w:id="12">
          <w:tblGrid>
            <w:gridCol w:w="1928"/>
            <w:gridCol w:w="1757"/>
            <w:gridCol w:w="1757"/>
            <w:gridCol w:w="1757"/>
            <w:gridCol w:w="1757"/>
          </w:tblGrid>
        </w:tblGridChange>
      </w:tblGrid>
      <w:tr w:rsidR="00446DF7" w:rsidRPr="00FB2D02" w:rsidTr="004E0458">
        <w:trPr>
          <w:trHeight w:val="315"/>
        </w:trPr>
        <w:tc>
          <w:tcPr>
            <w:tcW w:w="1928" w:type="dxa"/>
            <w:shd w:val="solid" w:color="000080" w:fill="FFFFFF"/>
            <w:noWrap/>
            <w:hideMark/>
          </w:tcPr>
          <w:p w:rsidR="003052CA" w:rsidRPr="00FB2D02" w:rsidRDefault="003052CA" w:rsidP="004E0458">
            <w:pPr>
              <w:jc w:val="left"/>
              <w:rPr>
                <w:rFonts w:ascii="Arial Narrow" w:hAnsi="Arial Narrow" w:cs="Tahoma"/>
                <w:b/>
                <w:bCs/>
                <w:color w:val="FFFFFF"/>
                <w:sz w:val="20"/>
                <w:szCs w:val="20"/>
                <w:lang w:val="en-US" w:eastAsia="en-US"/>
              </w:rPr>
            </w:pPr>
            <w:r w:rsidRPr="00FB2D02">
              <w:rPr>
                <w:rFonts w:ascii="Arial Narrow" w:hAnsi="Arial Narrow" w:cs="Tahoma"/>
                <w:b/>
                <w:bCs/>
                <w:color w:val="FFFFFF"/>
                <w:sz w:val="20"/>
                <w:szCs w:val="20"/>
                <w:lang w:val="en-US" w:eastAsia="en-US"/>
              </w:rPr>
              <w:t> </w:t>
            </w:r>
          </w:p>
        </w:tc>
        <w:tc>
          <w:tcPr>
            <w:tcW w:w="1757" w:type="dxa"/>
            <w:shd w:val="solid" w:color="000080" w:fill="FFFFFF"/>
            <w:noWrap/>
            <w:hideMark/>
          </w:tcPr>
          <w:p w:rsidR="003052CA" w:rsidRPr="00FB2D02" w:rsidRDefault="003052CA" w:rsidP="004E0458">
            <w:pPr>
              <w:jc w:val="left"/>
              <w:rPr>
                <w:rFonts w:ascii="Arial Narrow" w:hAnsi="Arial Narrow" w:cs="Tahoma"/>
                <w:b/>
                <w:bCs/>
                <w:color w:val="FFFFFF"/>
                <w:sz w:val="20"/>
                <w:szCs w:val="20"/>
                <w:lang w:val="en-US" w:eastAsia="en-US"/>
              </w:rPr>
            </w:pPr>
            <w:r w:rsidRPr="00FB2D02">
              <w:rPr>
                <w:rFonts w:ascii="Arial Narrow" w:hAnsi="Arial Narrow" w:cs="Tahoma"/>
                <w:b/>
                <w:bCs/>
                <w:color w:val="FFFFFF"/>
                <w:sz w:val="20"/>
                <w:szCs w:val="20"/>
                <w:lang w:val="en-US" w:eastAsia="en-US"/>
              </w:rPr>
              <w:t>L2 - 1Gb</w:t>
            </w:r>
          </w:p>
        </w:tc>
        <w:tc>
          <w:tcPr>
            <w:tcW w:w="1757" w:type="dxa"/>
            <w:shd w:val="solid" w:color="000080" w:fill="FFFFFF"/>
            <w:noWrap/>
            <w:hideMark/>
          </w:tcPr>
          <w:p w:rsidR="003052CA" w:rsidRPr="00FB2D02" w:rsidRDefault="003052CA" w:rsidP="004E0458">
            <w:pPr>
              <w:jc w:val="left"/>
              <w:rPr>
                <w:rFonts w:ascii="Arial Narrow" w:hAnsi="Arial Narrow" w:cs="Tahoma"/>
                <w:b/>
                <w:bCs/>
                <w:color w:val="FFFFFF"/>
                <w:sz w:val="20"/>
                <w:szCs w:val="20"/>
                <w:lang w:val="en-US" w:eastAsia="en-US"/>
              </w:rPr>
            </w:pPr>
            <w:r w:rsidRPr="00FB2D02">
              <w:rPr>
                <w:rFonts w:ascii="Arial Narrow" w:hAnsi="Arial Narrow" w:cs="Tahoma"/>
                <w:b/>
                <w:bCs/>
                <w:color w:val="FFFFFF"/>
                <w:sz w:val="20"/>
                <w:szCs w:val="20"/>
                <w:lang w:val="en-US" w:eastAsia="en-US"/>
              </w:rPr>
              <w:t>L2 - 10Gb</w:t>
            </w:r>
          </w:p>
        </w:tc>
        <w:tc>
          <w:tcPr>
            <w:tcW w:w="1757" w:type="dxa"/>
            <w:shd w:val="solid" w:color="000080" w:fill="FFFFFF"/>
            <w:noWrap/>
            <w:hideMark/>
          </w:tcPr>
          <w:p w:rsidR="003052CA" w:rsidRPr="00FB2D02" w:rsidRDefault="003052CA" w:rsidP="004E0458">
            <w:pPr>
              <w:jc w:val="left"/>
              <w:rPr>
                <w:rFonts w:ascii="Arial Narrow" w:hAnsi="Arial Narrow" w:cs="Tahoma"/>
                <w:b/>
                <w:bCs/>
                <w:color w:val="FFFFFF"/>
                <w:sz w:val="20"/>
                <w:szCs w:val="20"/>
                <w:lang w:val="en-US" w:eastAsia="en-US"/>
              </w:rPr>
            </w:pPr>
            <w:r w:rsidRPr="00FB2D02">
              <w:rPr>
                <w:rFonts w:ascii="Arial Narrow" w:hAnsi="Arial Narrow" w:cs="Tahoma"/>
                <w:b/>
                <w:bCs/>
                <w:color w:val="FFFFFF"/>
                <w:sz w:val="20"/>
                <w:szCs w:val="20"/>
                <w:lang w:val="en-US" w:eastAsia="en-US"/>
              </w:rPr>
              <w:t>L3 - 1Gb</w:t>
            </w:r>
          </w:p>
        </w:tc>
        <w:tc>
          <w:tcPr>
            <w:tcW w:w="1757" w:type="dxa"/>
            <w:shd w:val="solid" w:color="000080" w:fill="FFFFFF"/>
            <w:noWrap/>
            <w:hideMark/>
          </w:tcPr>
          <w:p w:rsidR="003052CA" w:rsidRPr="00FB2D02" w:rsidRDefault="003052CA" w:rsidP="004E0458">
            <w:pPr>
              <w:jc w:val="left"/>
              <w:rPr>
                <w:rFonts w:ascii="Arial Narrow" w:hAnsi="Arial Narrow" w:cs="Tahoma"/>
                <w:b/>
                <w:bCs/>
                <w:color w:val="FFFFFF"/>
                <w:sz w:val="20"/>
                <w:szCs w:val="20"/>
                <w:lang w:val="en-US" w:eastAsia="en-US"/>
              </w:rPr>
            </w:pPr>
            <w:r w:rsidRPr="00FB2D02">
              <w:rPr>
                <w:rFonts w:ascii="Arial Narrow" w:hAnsi="Arial Narrow" w:cs="Tahoma"/>
                <w:b/>
                <w:bCs/>
                <w:color w:val="FFFFFF"/>
                <w:sz w:val="20"/>
                <w:szCs w:val="20"/>
                <w:lang w:val="en-US" w:eastAsia="en-US"/>
              </w:rPr>
              <w:t>L3 - 10Gb</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In building - up to 60m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1.841,73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43.405,00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8.921,66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28.524,96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2km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6.132,79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47.696,05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13.212,71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32.816,01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3km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8.278,31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49.841,58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15.358,24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34.961,54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4km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10.423,84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51.987,10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17.503,76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37.107,06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5km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12.569,37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54.132,63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19.649,29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39.252,59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6km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14.714,89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56.278,15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21.794,81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41.398,11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7km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16.860,42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58.423,68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23.940,34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43.543,64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8km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19.005,94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60.569,21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26.085,87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45.689,17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9km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21.151,47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62.714,73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28.231,39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47.834,69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23.297,00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64.860,26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30.376,92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49.980,22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20km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44.752,26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86.315,52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51.832,18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71.435,48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30km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66.207,52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107.770,78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73.287,44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92.890,74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40km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87.662,78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129.226,04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94.742,70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114.346,00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50km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112.801,51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223.907,78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134.041,28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186.696,70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60km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134.256,77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245.363,04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155.496,54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208.151,97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70km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155.712,03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266.818,30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176.951,80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229.607,23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80km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177.167,29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288.273,56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198.407,06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251.062,49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90km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202.306,02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309.728,82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237.705,64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272.517,75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100km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223.761,29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331.184,08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259.160,90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293.973,01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110km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245.216,55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352.639,34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280.616,16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315.428,27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lastRenderedPageBreak/>
              <w:t>Up to 120km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266.671,81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374.094,60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302.071,42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336.883,53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130km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291.810,54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395.549,86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341.370,00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358.338,79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140km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313.265,80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417.005,13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362.825,26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379.794,05 MKD</w:t>
            </w:r>
          </w:p>
        </w:tc>
      </w:tr>
      <w:tr w:rsidR="00446DF7" w:rsidRPr="00FB2D02" w:rsidTr="004E0458">
        <w:trPr>
          <w:trHeight w:val="315"/>
        </w:trPr>
        <w:tc>
          <w:tcPr>
            <w:tcW w:w="1928" w:type="dxa"/>
            <w:shd w:val="clear" w:color="auto" w:fill="auto"/>
            <w:noWrap/>
            <w:hideMark/>
          </w:tcPr>
          <w:p w:rsidR="003052CA" w:rsidRPr="00FB2D02" w:rsidRDefault="003052CA" w:rsidP="004E0458">
            <w:pPr>
              <w:jc w:val="right"/>
              <w:rPr>
                <w:rFonts w:ascii="Arial Narrow" w:hAnsi="Arial Narrow" w:cs="Tahoma"/>
                <w:color w:val="000080"/>
                <w:sz w:val="20"/>
                <w:szCs w:val="20"/>
                <w:lang w:val="en-US" w:eastAsia="en-US"/>
              </w:rPr>
            </w:pPr>
            <w:r w:rsidRPr="00FB2D02">
              <w:rPr>
                <w:rFonts w:ascii="Arial Narrow" w:hAnsi="Arial Narrow" w:cs="Tahoma"/>
                <w:color w:val="000080"/>
                <w:sz w:val="20"/>
                <w:szCs w:val="20"/>
                <w:lang w:val="en-US" w:eastAsia="en-US"/>
              </w:rPr>
              <w:t>Up to 150km</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334.721,06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438.460,39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384.280,52 MKD</w:t>
            </w:r>
          </w:p>
        </w:tc>
        <w:tc>
          <w:tcPr>
            <w:tcW w:w="1757" w:type="dxa"/>
            <w:shd w:val="clear" w:color="auto" w:fill="auto"/>
            <w:noWrap/>
            <w:hideMark/>
          </w:tcPr>
          <w:p w:rsidR="003052CA" w:rsidRPr="00FB2D02" w:rsidRDefault="003052CA" w:rsidP="004E0458">
            <w:pPr>
              <w:jc w:val="right"/>
              <w:rPr>
                <w:rFonts w:ascii="Arial Narrow" w:hAnsi="Arial Narrow" w:cs="Tahoma"/>
                <w:b/>
                <w:bCs/>
                <w:color w:val="000080"/>
                <w:sz w:val="20"/>
                <w:szCs w:val="20"/>
                <w:lang w:val="en-US" w:eastAsia="en-US"/>
              </w:rPr>
            </w:pPr>
            <w:r w:rsidRPr="00FB2D02">
              <w:rPr>
                <w:rFonts w:ascii="Arial Narrow" w:hAnsi="Arial Narrow" w:cs="Tahoma"/>
                <w:b/>
                <w:bCs/>
                <w:color w:val="000080"/>
                <w:sz w:val="20"/>
                <w:szCs w:val="20"/>
                <w:lang w:val="en-US" w:eastAsia="en-US"/>
              </w:rPr>
              <w:t>401.249,31 MKD</w:t>
            </w:r>
          </w:p>
        </w:tc>
      </w:tr>
    </w:tbl>
    <w:p w:rsidR="003052CA" w:rsidRDefault="003052CA" w:rsidP="00FB2D02">
      <w:pPr>
        <w:spacing w:line="280" w:lineRule="atLeast"/>
        <w:ind w:left="360"/>
        <w:jc w:val="left"/>
        <w:rPr>
          <w:rFonts w:ascii="Tahoma" w:hAnsi="Tahoma" w:cs="Tahoma"/>
          <w:color w:val="000080"/>
          <w:sz w:val="20"/>
          <w:szCs w:val="20"/>
        </w:rPr>
      </w:pPr>
    </w:p>
    <w:p w:rsidR="006B4A34" w:rsidRDefault="006B4A34" w:rsidP="00F05316">
      <w:pPr>
        <w:spacing w:line="280" w:lineRule="atLeast"/>
        <w:jc w:val="left"/>
        <w:rPr>
          <w:rFonts w:ascii="Tahoma" w:hAnsi="Tahoma" w:cs="Tahoma"/>
          <w:color w:val="000080"/>
          <w:sz w:val="20"/>
          <w:szCs w:val="20"/>
        </w:rPr>
      </w:pPr>
    </w:p>
    <w:p w:rsidR="006B4A34" w:rsidRDefault="006B4A34"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As noted before, none of the charges above include CPE equipment. However, as requested by interested parties, Home Gateway</w:t>
      </w:r>
      <w:r w:rsidR="00F05316">
        <w:rPr>
          <w:rFonts w:ascii="Tahoma" w:hAnsi="Tahoma" w:cs="Tahoma"/>
          <w:color w:val="000080"/>
          <w:sz w:val="20"/>
          <w:szCs w:val="20"/>
        </w:rPr>
        <w:t xml:space="preserve"> (HGW)</w:t>
      </w:r>
      <w:r>
        <w:rPr>
          <w:rFonts w:ascii="Tahoma" w:hAnsi="Tahoma" w:cs="Tahoma"/>
          <w:color w:val="000080"/>
          <w:sz w:val="20"/>
          <w:szCs w:val="20"/>
        </w:rPr>
        <w:t xml:space="preserve"> device monthly rental charges were modelled as an addition to the above services. </w:t>
      </w:r>
    </w:p>
    <w:p w:rsidR="006B4A34" w:rsidRDefault="006B4A34" w:rsidP="00857CB5">
      <w:pPr>
        <w:spacing w:line="280" w:lineRule="atLeast"/>
        <w:ind w:left="567"/>
        <w:rPr>
          <w:rFonts w:ascii="Tahoma" w:hAnsi="Tahoma" w:cs="Tahoma"/>
          <w:color w:val="000080"/>
          <w:sz w:val="20"/>
          <w:szCs w:val="20"/>
        </w:rPr>
      </w:pPr>
    </w:p>
    <w:p w:rsidR="006B4A34" w:rsidRDefault="006B4A34" w:rsidP="00857CB5">
      <w:pPr>
        <w:numPr>
          <w:ilvl w:val="1"/>
          <w:numId w:val="17"/>
        </w:numPr>
        <w:spacing w:line="280" w:lineRule="atLeast"/>
        <w:ind w:left="567" w:hanging="567"/>
        <w:rPr>
          <w:rFonts w:ascii="Tahoma" w:hAnsi="Tahoma" w:cs="Tahoma"/>
          <w:color w:val="000080"/>
          <w:sz w:val="20"/>
          <w:szCs w:val="20"/>
        </w:rPr>
      </w:pPr>
      <w:r>
        <w:rPr>
          <w:rFonts w:ascii="Tahoma" w:hAnsi="Tahoma" w:cs="Tahoma"/>
          <w:color w:val="000080"/>
          <w:sz w:val="20"/>
          <w:szCs w:val="20"/>
        </w:rPr>
        <w:t>Calculated monthly rental charge for HGW device, including operation, maintenance and fault repairs is presented in the table below.</w:t>
      </w:r>
    </w:p>
    <w:p w:rsidR="006B4A34" w:rsidRDefault="006B4A34" w:rsidP="00857CB5">
      <w:pPr>
        <w:pStyle w:val="ListParagraph"/>
        <w:rPr>
          <w:rFonts w:ascii="Tahoma" w:hAnsi="Tahoma" w:cs="Tahoma"/>
          <w:color w:val="00008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380"/>
        <w:tblGridChange w:id="13">
          <w:tblGrid>
            <w:gridCol w:w="2160"/>
            <w:gridCol w:w="2380"/>
          </w:tblGrid>
        </w:tblGridChange>
      </w:tblGrid>
      <w:tr w:rsidR="006B4A34" w:rsidRPr="00B22CC1" w:rsidTr="00B22CC1">
        <w:trPr>
          <w:trHeight w:val="315"/>
        </w:trPr>
        <w:tc>
          <w:tcPr>
            <w:tcW w:w="2160" w:type="dxa"/>
            <w:shd w:val="clear" w:color="auto" w:fill="auto"/>
            <w:noWrap/>
            <w:hideMark/>
          </w:tcPr>
          <w:p w:rsidR="006B4A34" w:rsidRPr="00B22CC1" w:rsidRDefault="006B4A34" w:rsidP="00B22CC1">
            <w:pPr>
              <w:spacing w:line="280" w:lineRule="atLeast"/>
              <w:jc w:val="left"/>
              <w:rPr>
                <w:rFonts w:ascii="Tahoma" w:hAnsi="Tahoma" w:cs="Tahoma"/>
                <w:color w:val="000080"/>
                <w:sz w:val="20"/>
                <w:szCs w:val="20"/>
              </w:rPr>
            </w:pPr>
            <w:r w:rsidRPr="00B22CC1">
              <w:rPr>
                <w:rFonts w:ascii="Tahoma" w:hAnsi="Tahoma" w:cs="Tahoma"/>
                <w:color w:val="000080"/>
                <w:sz w:val="20"/>
                <w:szCs w:val="20"/>
              </w:rPr>
              <w:t>HGW</w:t>
            </w:r>
          </w:p>
        </w:tc>
        <w:tc>
          <w:tcPr>
            <w:tcW w:w="2380" w:type="dxa"/>
            <w:shd w:val="clear" w:color="auto" w:fill="auto"/>
            <w:noWrap/>
            <w:hideMark/>
          </w:tcPr>
          <w:p w:rsidR="006B4A34" w:rsidRPr="00B22CC1" w:rsidRDefault="006B4A34" w:rsidP="00B22CC1">
            <w:pPr>
              <w:spacing w:line="280" w:lineRule="atLeast"/>
              <w:jc w:val="right"/>
              <w:rPr>
                <w:rFonts w:ascii="Tahoma" w:hAnsi="Tahoma" w:cs="Tahoma"/>
                <w:b/>
                <w:bCs/>
                <w:color w:val="000080"/>
                <w:sz w:val="20"/>
                <w:szCs w:val="20"/>
              </w:rPr>
            </w:pPr>
            <w:r w:rsidRPr="00B22CC1">
              <w:rPr>
                <w:rFonts w:ascii="Tahoma" w:hAnsi="Tahoma" w:cs="Tahoma"/>
                <w:b/>
                <w:bCs/>
                <w:color w:val="000080"/>
                <w:sz w:val="20"/>
                <w:szCs w:val="20"/>
              </w:rPr>
              <w:t>105,</w:t>
            </w:r>
            <w:r w:rsidR="00560B52">
              <w:rPr>
                <w:rFonts w:ascii="Tahoma" w:hAnsi="Tahoma" w:cs="Tahoma"/>
                <w:b/>
                <w:bCs/>
                <w:color w:val="000080"/>
                <w:sz w:val="20"/>
                <w:szCs w:val="20"/>
              </w:rPr>
              <w:t>39</w:t>
            </w:r>
            <w:r w:rsidRPr="00B22CC1">
              <w:rPr>
                <w:rFonts w:ascii="Tahoma" w:hAnsi="Tahoma" w:cs="Tahoma"/>
                <w:b/>
                <w:bCs/>
                <w:color w:val="000080"/>
                <w:sz w:val="20"/>
                <w:szCs w:val="20"/>
              </w:rPr>
              <w:t xml:space="preserve"> MKD</w:t>
            </w:r>
          </w:p>
        </w:tc>
      </w:tr>
    </w:tbl>
    <w:p w:rsidR="00C90A98" w:rsidRDefault="00C90A98" w:rsidP="00EB0EEF">
      <w:pPr>
        <w:spacing w:line="280" w:lineRule="atLeast"/>
        <w:jc w:val="left"/>
        <w:rPr>
          <w:rFonts w:ascii="Tahoma" w:hAnsi="Tahoma" w:cs="Tahoma"/>
          <w:color w:val="000080"/>
          <w:sz w:val="20"/>
          <w:szCs w:val="20"/>
        </w:rPr>
      </w:pPr>
    </w:p>
    <w:p w:rsidR="00C90A98" w:rsidRPr="00D3317E" w:rsidRDefault="00C90A98" w:rsidP="00C90A98">
      <w:pPr>
        <w:jc w:val="left"/>
        <w:rPr>
          <w:rFonts w:ascii="StobiSerif Regular" w:hAnsi="StobiSerif Regular" w:cs="Tahoma"/>
          <w:bCs/>
          <w:sz w:val="22"/>
          <w:szCs w:val="22"/>
        </w:rPr>
      </w:pPr>
      <w:r>
        <w:rPr>
          <w:rFonts w:ascii="Tahoma" w:hAnsi="Tahoma" w:cs="Tahoma"/>
          <w:color w:val="000080"/>
          <w:sz w:val="20"/>
          <w:szCs w:val="20"/>
        </w:rPr>
        <w:br w:type="page"/>
      </w:r>
      <w:r w:rsidRPr="00D3317E">
        <w:rPr>
          <w:rFonts w:ascii="StobiSerif Regular" w:hAnsi="StobiSerif Regular" w:cs="Tahoma"/>
          <w:bCs/>
          <w:sz w:val="22"/>
          <w:szCs w:val="22"/>
        </w:rPr>
        <w:lastRenderedPageBreak/>
        <w:t xml:space="preserve">   AEC team:</w:t>
      </w:r>
    </w:p>
    <w:p w:rsidR="00C90A98" w:rsidRPr="00D3317E" w:rsidRDefault="00C90A98" w:rsidP="00C90A98">
      <w:pPr>
        <w:jc w:val="left"/>
        <w:rPr>
          <w:rFonts w:ascii="StobiSerif Regular" w:hAnsi="StobiSerif Regular" w:cs="Tahoma"/>
          <w:bCs/>
          <w:sz w:val="22"/>
          <w:szCs w:val="22"/>
        </w:rPr>
      </w:pP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Mirjana Bolinovska – Team leader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Sinisa Apostoloski – member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Igor Angelovski – member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Marjan Pejovski – member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Petar Tasev – member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 xml:space="preserve">Kristina </w:t>
      </w:r>
      <w:r w:rsidR="00C93973" w:rsidRPr="00D3317E">
        <w:rPr>
          <w:rFonts w:ascii="StobiSerif Regular" w:hAnsi="StobiSerif Regular" w:cs="Tahoma"/>
          <w:bCs/>
          <w:sz w:val="22"/>
          <w:szCs w:val="22"/>
          <w:lang w:val="en-US"/>
        </w:rPr>
        <w:t>Bozinovska</w:t>
      </w:r>
      <w:r w:rsidRPr="00D3317E">
        <w:rPr>
          <w:rFonts w:ascii="StobiSerif Regular" w:hAnsi="StobiSerif Regular" w:cs="Tahoma"/>
          <w:bCs/>
          <w:sz w:val="22"/>
          <w:szCs w:val="22"/>
          <w:lang w:val="en-US"/>
        </w:rPr>
        <w:t xml:space="preserve"> – member</w:t>
      </w:r>
    </w:p>
    <w:p w:rsidR="00C90A98" w:rsidRPr="00D3317E" w:rsidRDefault="00C90A98" w:rsidP="00C90A98">
      <w:pPr>
        <w:pStyle w:val="ListParagraph"/>
        <w:numPr>
          <w:ilvl w:val="0"/>
          <w:numId w:val="23"/>
        </w:numPr>
        <w:contextualSpacing/>
        <w:jc w:val="left"/>
        <w:rPr>
          <w:rFonts w:ascii="StobiSerif Regular" w:hAnsi="StobiSerif Regular" w:cs="Tahoma"/>
          <w:bCs/>
          <w:sz w:val="22"/>
          <w:szCs w:val="22"/>
        </w:rPr>
      </w:pPr>
      <w:r w:rsidRPr="00D3317E">
        <w:rPr>
          <w:rFonts w:ascii="StobiSerif Regular" w:hAnsi="StobiSerif Regular" w:cs="Tahoma"/>
          <w:bCs/>
          <w:sz w:val="22"/>
          <w:szCs w:val="22"/>
          <w:lang w:val="en-US"/>
        </w:rPr>
        <w:t>Bojana Stefanovska – member</w:t>
      </w:r>
    </w:p>
    <w:p w:rsidR="00C90A98" w:rsidRPr="00D3317E" w:rsidRDefault="00C90A98" w:rsidP="00C90A98">
      <w:pPr>
        <w:pStyle w:val="ListParagraph"/>
        <w:jc w:val="left"/>
        <w:rPr>
          <w:rFonts w:ascii="StobiSerif Regular" w:hAnsi="StobiSerif Regular" w:cs="Tahoma"/>
          <w:bCs/>
          <w:sz w:val="22"/>
          <w:szCs w:val="22"/>
        </w:rPr>
      </w:pPr>
    </w:p>
    <w:p w:rsidR="00C90A98" w:rsidRPr="00D3317E" w:rsidRDefault="00C90A98" w:rsidP="00C90A98">
      <w:pPr>
        <w:tabs>
          <w:tab w:val="left" w:pos="6135"/>
          <w:tab w:val="left" w:pos="6885"/>
        </w:tabs>
        <w:jc w:val="left"/>
        <w:rPr>
          <w:rFonts w:ascii="StobiSerif Regular" w:hAnsi="StobiSerif Regular" w:cs="Tahoma"/>
          <w:bCs/>
          <w:sz w:val="22"/>
          <w:szCs w:val="22"/>
        </w:rPr>
      </w:pPr>
      <w:r w:rsidRPr="00D3317E">
        <w:rPr>
          <w:rFonts w:ascii="StobiSerif Regular" w:hAnsi="StobiSerif Regular" w:cs="Tahoma"/>
          <w:bCs/>
          <w:sz w:val="22"/>
          <w:szCs w:val="22"/>
        </w:rPr>
        <w:tab/>
      </w:r>
      <w:r w:rsidRPr="00D3317E">
        <w:rPr>
          <w:rFonts w:ascii="StobiSerif Regular" w:hAnsi="StobiSerif Regular" w:cs="Tahoma"/>
          <w:bCs/>
          <w:sz w:val="22"/>
          <w:szCs w:val="22"/>
        </w:rPr>
        <w:tab/>
      </w:r>
    </w:p>
    <w:p w:rsidR="00C90A98" w:rsidRPr="00D3317E" w:rsidRDefault="00C90A98" w:rsidP="00C90A98">
      <w:pPr>
        <w:jc w:val="left"/>
        <w:rPr>
          <w:rFonts w:ascii="StobiSerif Regular" w:hAnsi="StobiSerif Regular" w:cs="Tahoma"/>
          <w:bCs/>
          <w:sz w:val="22"/>
          <w:szCs w:val="22"/>
        </w:rPr>
      </w:pPr>
      <w:r w:rsidRPr="00D3317E">
        <w:rPr>
          <w:rFonts w:ascii="StobiSerif Regular" w:hAnsi="StobiSerif Regular" w:cs="Tahoma"/>
          <w:bCs/>
          <w:sz w:val="22"/>
          <w:szCs w:val="22"/>
        </w:rPr>
        <w:t>Head of the Market Analysis Department</w:t>
      </w:r>
    </w:p>
    <w:p w:rsidR="00C90A98" w:rsidRPr="00D3317E" w:rsidRDefault="00C90A98" w:rsidP="00C90A98">
      <w:pPr>
        <w:jc w:val="left"/>
        <w:rPr>
          <w:rFonts w:ascii="StobiSerif Regular" w:hAnsi="StobiSerif Regular" w:cs="Tahoma"/>
          <w:bCs/>
          <w:sz w:val="22"/>
          <w:szCs w:val="22"/>
        </w:rPr>
      </w:pPr>
      <w:r w:rsidRPr="00D3317E">
        <w:rPr>
          <w:rFonts w:ascii="StobiSerif Regular" w:hAnsi="StobiSerif Regular" w:cs="Tahoma"/>
          <w:bCs/>
          <w:sz w:val="22"/>
          <w:szCs w:val="22"/>
        </w:rPr>
        <w:t>Vaska Petrovic</w:t>
      </w:r>
    </w:p>
    <w:p w:rsidR="00C90A98" w:rsidRPr="00D3317E" w:rsidRDefault="00C90A98" w:rsidP="00C90A98">
      <w:pPr>
        <w:jc w:val="left"/>
        <w:rPr>
          <w:rFonts w:ascii="StobiSerif Regular" w:hAnsi="StobiSerif Regular" w:cs="Tahoma"/>
          <w:bCs/>
          <w:sz w:val="22"/>
          <w:szCs w:val="22"/>
        </w:rPr>
      </w:pPr>
    </w:p>
    <w:p w:rsidR="00C90A98" w:rsidRPr="00D3317E" w:rsidRDefault="00C90A98" w:rsidP="00C90A98">
      <w:pPr>
        <w:jc w:val="left"/>
        <w:rPr>
          <w:rFonts w:ascii="StobiSerif Regular" w:hAnsi="StobiSerif Regular" w:cs="Tahoma"/>
          <w:bCs/>
          <w:sz w:val="22"/>
          <w:szCs w:val="22"/>
        </w:rPr>
      </w:pPr>
    </w:p>
    <w:p w:rsidR="00C90A98" w:rsidRPr="00D3317E" w:rsidRDefault="00C90A98" w:rsidP="00C90A98">
      <w:pPr>
        <w:jc w:val="left"/>
        <w:rPr>
          <w:rFonts w:ascii="StobiSerif Regular" w:hAnsi="StobiSerif Regular" w:cs="Tahoma"/>
          <w:bCs/>
          <w:sz w:val="22"/>
          <w:szCs w:val="22"/>
        </w:rPr>
      </w:pPr>
    </w:p>
    <w:p w:rsidR="00C90A98" w:rsidRPr="00D3317E" w:rsidRDefault="00C90A98" w:rsidP="00C90A98">
      <w:pPr>
        <w:jc w:val="left"/>
        <w:rPr>
          <w:rFonts w:ascii="StobiSerif Regular" w:hAnsi="StobiSerif Regular" w:cs="Tahoma"/>
          <w:bCs/>
          <w:sz w:val="22"/>
          <w:szCs w:val="22"/>
          <w:lang w:val="en-US"/>
        </w:rPr>
      </w:pPr>
      <w:r w:rsidRPr="00D3317E">
        <w:rPr>
          <w:rFonts w:ascii="StobiSerif Regular" w:hAnsi="StobiSerif Regular" w:cs="Tahoma"/>
          <w:bCs/>
          <w:sz w:val="22"/>
          <w:szCs w:val="22"/>
          <w:lang w:val="en-US"/>
        </w:rPr>
        <w:t>Approved:</w:t>
      </w:r>
    </w:p>
    <w:p w:rsidR="00C90A98" w:rsidRPr="00D3317E" w:rsidRDefault="00C90A98" w:rsidP="00C90A98">
      <w:pPr>
        <w:jc w:val="left"/>
        <w:rPr>
          <w:rFonts w:ascii="StobiSerif Regular" w:hAnsi="StobiSerif Regular" w:cs="Tahoma"/>
          <w:bCs/>
          <w:sz w:val="22"/>
          <w:szCs w:val="22"/>
          <w:lang w:val="en-US"/>
        </w:rPr>
      </w:pPr>
      <w:r w:rsidRPr="00D3317E">
        <w:rPr>
          <w:rFonts w:ascii="StobiSerif Regular" w:hAnsi="StobiSerif Regular" w:cs="Tahoma"/>
          <w:bCs/>
          <w:sz w:val="22"/>
          <w:szCs w:val="22"/>
          <w:lang w:val="en-US"/>
        </w:rPr>
        <w:t xml:space="preserve">Head of the Cabinet </w:t>
      </w:r>
    </w:p>
    <w:p w:rsidR="00C90A98" w:rsidRPr="00D3317E" w:rsidRDefault="00C90A98" w:rsidP="00C90A98">
      <w:pPr>
        <w:tabs>
          <w:tab w:val="left" w:pos="5760"/>
        </w:tabs>
        <w:jc w:val="left"/>
        <w:rPr>
          <w:rFonts w:ascii="StobiSerif Regular" w:hAnsi="StobiSerif Regular" w:cs="Tahoma"/>
          <w:bCs/>
          <w:sz w:val="22"/>
          <w:szCs w:val="22"/>
          <w:lang w:val="en-US"/>
        </w:rPr>
      </w:pPr>
      <w:r w:rsidRPr="00D3317E">
        <w:rPr>
          <w:rFonts w:ascii="StobiSerif Regular" w:hAnsi="StobiSerif Regular" w:cs="Tahoma"/>
          <w:bCs/>
          <w:sz w:val="22"/>
          <w:szCs w:val="22"/>
          <w:lang w:val="en-US"/>
        </w:rPr>
        <w:t>Vladimir Riste</w:t>
      </w:r>
      <w:r w:rsidR="00706316" w:rsidRPr="00D3317E">
        <w:rPr>
          <w:rFonts w:ascii="StobiSerif Regular" w:hAnsi="StobiSerif Regular" w:cs="Tahoma"/>
          <w:bCs/>
          <w:sz w:val="22"/>
          <w:szCs w:val="22"/>
          <w:lang w:val="en-US"/>
        </w:rPr>
        <w:t>v</w:t>
      </w:r>
      <w:r w:rsidRPr="00D3317E">
        <w:rPr>
          <w:rFonts w:ascii="StobiSerif Regular" w:hAnsi="StobiSerif Regular" w:cs="Tahoma"/>
          <w:bCs/>
          <w:sz w:val="22"/>
          <w:szCs w:val="22"/>
          <w:lang w:val="en-US"/>
        </w:rPr>
        <w:t xml:space="preserve">ski </w:t>
      </w:r>
      <w:r w:rsidRPr="00D3317E">
        <w:rPr>
          <w:rFonts w:ascii="StobiSerif Regular" w:hAnsi="StobiSerif Regular" w:cs="Tahoma"/>
          <w:bCs/>
          <w:sz w:val="22"/>
          <w:szCs w:val="22"/>
          <w:lang w:val="en-US"/>
        </w:rPr>
        <w:tab/>
      </w:r>
    </w:p>
    <w:p w:rsidR="00C90A98" w:rsidRPr="00D3317E" w:rsidRDefault="00C90A98" w:rsidP="00C90A98">
      <w:pPr>
        <w:jc w:val="left"/>
        <w:rPr>
          <w:rFonts w:ascii="StobiSerif Regular" w:hAnsi="StobiSerif Regular" w:cs="Tahoma"/>
          <w:bCs/>
          <w:sz w:val="22"/>
          <w:szCs w:val="22"/>
          <w:lang w:val="en-US"/>
        </w:rPr>
      </w:pPr>
    </w:p>
    <w:p w:rsidR="00C90A98" w:rsidRPr="00D3317E" w:rsidRDefault="00C90A98" w:rsidP="00C90A98">
      <w:pPr>
        <w:jc w:val="left"/>
        <w:rPr>
          <w:rFonts w:ascii="StobiSerif Regular" w:hAnsi="StobiSerif Regular" w:cs="Tahoma"/>
          <w:bCs/>
          <w:sz w:val="22"/>
          <w:szCs w:val="22"/>
          <w:lang w:val="mk-MK"/>
        </w:rPr>
      </w:pPr>
    </w:p>
    <w:p w:rsidR="00C90A98" w:rsidRPr="00D3317E" w:rsidRDefault="00C90A98" w:rsidP="00C90A98">
      <w:pPr>
        <w:jc w:val="left"/>
        <w:rPr>
          <w:rFonts w:ascii="StobiSerif Regular" w:hAnsi="StobiSerif Regular" w:cs="Tahoma"/>
          <w:bCs/>
          <w:sz w:val="22"/>
          <w:szCs w:val="22"/>
          <w:lang w:val="en-US"/>
        </w:rPr>
      </w:pP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t xml:space="preserve">      </w:t>
      </w:r>
      <w:r w:rsidRPr="00D3317E">
        <w:rPr>
          <w:rFonts w:ascii="StobiSerif Regular" w:hAnsi="StobiSerif Regular" w:cs="Tahoma"/>
          <w:bCs/>
          <w:sz w:val="22"/>
          <w:szCs w:val="22"/>
          <w:lang w:val="en-US"/>
        </w:rPr>
        <w:t>Director</w:t>
      </w:r>
    </w:p>
    <w:p w:rsidR="00C90A98" w:rsidRPr="00D3317E" w:rsidRDefault="00C90A98" w:rsidP="00C90A98">
      <w:pPr>
        <w:jc w:val="left"/>
        <w:rPr>
          <w:rFonts w:ascii="StobiSerif Regular" w:hAnsi="StobiSerif Regular" w:cs="Tahoma"/>
          <w:bCs/>
          <w:sz w:val="22"/>
          <w:szCs w:val="22"/>
          <w:lang w:val="mk-MK"/>
        </w:rPr>
      </w:pP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mk-MK"/>
        </w:rPr>
        <w:tab/>
      </w:r>
      <w:r w:rsidRPr="00D3317E">
        <w:rPr>
          <w:rFonts w:ascii="StobiSerif Regular" w:hAnsi="StobiSerif Regular" w:cs="Tahoma"/>
          <w:bCs/>
          <w:sz w:val="22"/>
          <w:szCs w:val="22"/>
          <w:lang w:val="en-US"/>
        </w:rPr>
        <w:t xml:space="preserve">Robert Ordanoski </w:t>
      </w:r>
      <w:r w:rsidRPr="00D3317E">
        <w:rPr>
          <w:rFonts w:ascii="StobiSerif Regular" w:hAnsi="StobiSerif Regular" w:cs="Tahoma"/>
          <w:bCs/>
          <w:sz w:val="22"/>
          <w:szCs w:val="22"/>
          <w:lang w:val="mk-MK"/>
        </w:rPr>
        <w:t xml:space="preserve"> </w:t>
      </w:r>
    </w:p>
    <w:p w:rsidR="00C90A98" w:rsidRPr="00D3317E" w:rsidRDefault="00C90A98" w:rsidP="00C90A98">
      <w:pPr>
        <w:jc w:val="left"/>
        <w:rPr>
          <w:rFonts w:ascii="StobiSerif Regular" w:hAnsi="StobiSerif Regular" w:cs="Tahoma"/>
          <w:bCs/>
          <w:sz w:val="22"/>
          <w:szCs w:val="22"/>
          <w:lang w:val="mk-MK"/>
        </w:rPr>
      </w:pPr>
    </w:p>
    <w:p w:rsidR="00C90A98" w:rsidRPr="00D3317E" w:rsidRDefault="00C90A98" w:rsidP="00C90A98">
      <w:pPr>
        <w:jc w:val="left"/>
        <w:rPr>
          <w:rFonts w:ascii="StobiSerif Regular" w:hAnsi="StobiSerif Regular" w:cs="Tahoma"/>
          <w:bCs/>
          <w:sz w:val="22"/>
          <w:szCs w:val="22"/>
          <w:lang w:val="en-US"/>
        </w:rPr>
      </w:pPr>
    </w:p>
    <w:p w:rsidR="00C90A98" w:rsidRPr="00D3317E" w:rsidRDefault="00C90A98" w:rsidP="00C90A98">
      <w:pPr>
        <w:jc w:val="left"/>
        <w:rPr>
          <w:rFonts w:ascii="StobiSerif Regular" w:hAnsi="StobiSerif Regular" w:cs="Tahoma"/>
          <w:bCs/>
          <w:sz w:val="22"/>
          <w:szCs w:val="22"/>
          <w:lang w:val="en-US"/>
        </w:rPr>
      </w:pPr>
    </w:p>
    <w:p w:rsidR="00C90A98" w:rsidRPr="00D3317E" w:rsidRDefault="00C90A98" w:rsidP="00C90A98">
      <w:pPr>
        <w:jc w:val="left"/>
        <w:rPr>
          <w:rFonts w:ascii="StobiSerif Regular" w:hAnsi="StobiSerif Regular" w:cs="Tahoma"/>
          <w:bCs/>
          <w:sz w:val="22"/>
          <w:szCs w:val="22"/>
          <w:lang w:val="en-US"/>
        </w:rPr>
      </w:pPr>
    </w:p>
    <w:p w:rsidR="00C90A98" w:rsidRPr="00D3317E" w:rsidRDefault="00C90A98" w:rsidP="00C90A98">
      <w:pPr>
        <w:tabs>
          <w:tab w:val="left" w:pos="3465"/>
        </w:tabs>
        <w:jc w:val="left"/>
        <w:rPr>
          <w:rFonts w:ascii="StobiSerif Regular" w:hAnsi="StobiSerif Regular" w:cs="Tahoma"/>
          <w:bCs/>
          <w:sz w:val="22"/>
          <w:szCs w:val="22"/>
          <w:lang w:val="en-US"/>
        </w:rPr>
      </w:pPr>
      <w:r w:rsidRPr="00D3317E">
        <w:rPr>
          <w:rFonts w:ascii="StobiSerif Regular" w:hAnsi="StobiSerif Regular" w:cs="Tahoma"/>
          <w:bCs/>
          <w:sz w:val="22"/>
          <w:szCs w:val="22"/>
          <w:lang w:val="en-US"/>
        </w:rPr>
        <w:tab/>
      </w:r>
    </w:p>
    <w:p w:rsidR="00C90A98" w:rsidRPr="00D3317E" w:rsidRDefault="00C90A98" w:rsidP="00C90A98">
      <w:pPr>
        <w:jc w:val="left"/>
        <w:rPr>
          <w:rFonts w:ascii="StobiSerif Regular" w:hAnsi="StobiSerif Regular" w:cs="Tahoma"/>
          <w:bCs/>
          <w:sz w:val="22"/>
          <w:szCs w:val="22"/>
          <w:lang w:val="en-US"/>
        </w:rPr>
      </w:pPr>
    </w:p>
    <w:p w:rsidR="00C90A98" w:rsidRPr="00D3317E" w:rsidRDefault="00C90A98" w:rsidP="00C90A98">
      <w:pPr>
        <w:jc w:val="left"/>
        <w:rPr>
          <w:rFonts w:ascii="StobiSerif Regular" w:hAnsi="StobiSerif Regular" w:cs="Tahoma"/>
          <w:bCs/>
          <w:sz w:val="22"/>
          <w:szCs w:val="22"/>
          <w:lang w:val="mk-MK"/>
        </w:rPr>
      </w:pPr>
      <w:r w:rsidRPr="00D3317E">
        <w:rPr>
          <w:rFonts w:ascii="StobiSerif Regular" w:hAnsi="StobiSerif Regular" w:cs="Tahoma"/>
          <w:bCs/>
          <w:sz w:val="22"/>
          <w:szCs w:val="22"/>
          <w:lang w:val="en-US"/>
        </w:rPr>
        <w:t>Our Ref.</w:t>
      </w:r>
      <w:r w:rsidRPr="00D3317E">
        <w:rPr>
          <w:rFonts w:ascii="StobiSerif Regular" w:hAnsi="StobiSerif Regular" w:cs="Tahoma"/>
          <w:bCs/>
          <w:sz w:val="22"/>
          <w:szCs w:val="22"/>
          <w:lang w:val="mk-MK"/>
        </w:rPr>
        <w:t xml:space="preserve"> ________________</w:t>
      </w:r>
    </w:p>
    <w:p w:rsidR="00C90A98" w:rsidRPr="00D3317E" w:rsidRDefault="00C90A98" w:rsidP="00C90A98">
      <w:pPr>
        <w:jc w:val="left"/>
        <w:rPr>
          <w:rFonts w:ascii="StobiSerif Regular" w:hAnsi="StobiSerif Regular" w:cs="Tahoma"/>
          <w:bCs/>
          <w:sz w:val="22"/>
          <w:szCs w:val="22"/>
          <w:lang w:val="en-US"/>
        </w:rPr>
      </w:pPr>
      <w:r w:rsidRPr="00D3317E">
        <w:rPr>
          <w:rFonts w:ascii="StobiSerif Regular" w:hAnsi="StobiSerif Regular" w:cs="Tahoma"/>
          <w:bCs/>
          <w:sz w:val="22"/>
          <w:szCs w:val="22"/>
          <w:lang w:val="en-US"/>
        </w:rPr>
        <w:t xml:space="preserve">Skopje </w:t>
      </w:r>
    </w:p>
    <w:p w:rsidR="00C90A98" w:rsidRPr="00D3317E" w:rsidRDefault="00C90A98" w:rsidP="00C90A98">
      <w:pPr>
        <w:jc w:val="left"/>
        <w:rPr>
          <w:rFonts w:ascii="StobiSerif Regular" w:hAnsi="StobiSerif Regular" w:cs="Tahoma"/>
          <w:bCs/>
          <w:sz w:val="22"/>
          <w:szCs w:val="22"/>
          <w:lang w:val="mk-MK"/>
        </w:rPr>
      </w:pPr>
    </w:p>
    <w:p w:rsidR="00C90A98" w:rsidRPr="00D3317E" w:rsidRDefault="00C90A98" w:rsidP="00C90A98">
      <w:pPr>
        <w:jc w:val="left"/>
        <w:rPr>
          <w:rFonts w:ascii="StobiSerif Regular" w:hAnsi="StobiSerif Regular" w:cs="Tahoma"/>
          <w:bCs/>
          <w:sz w:val="22"/>
          <w:szCs w:val="22"/>
        </w:rPr>
      </w:pPr>
    </w:p>
    <w:p w:rsidR="006B4A34" w:rsidRPr="00EB0EEF" w:rsidRDefault="000C7866" w:rsidP="00EB0EEF">
      <w:pPr>
        <w:spacing w:line="280" w:lineRule="atLeast"/>
        <w:jc w:val="left"/>
        <w:rPr>
          <w:rFonts w:ascii="Tahoma" w:hAnsi="Tahoma" w:cs="Tahoma"/>
          <w:color w:val="000080"/>
          <w:sz w:val="20"/>
          <w:szCs w:val="20"/>
        </w:rPr>
      </w:pPr>
      <w:r>
        <w:rPr>
          <w:rFonts w:ascii="Tahoma" w:hAnsi="Tahoma" w:cs="Tahoma"/>
          <w:color w:val="000080"/>
          <w:sz w:val="20"/>
          <w:szCs w:val="20"/>
        </w:rPr>
        <w:t xml:space="preserve">  </w:t>
      </w:r>
    </w:p>
    <w:sectPr w:rsidR="006B4A34" w:rsidRPr="00EB0EEF" w:rsidSect="00857CB5">
      <w:headerReference w:type="default" r:id="rId11"/>
      <w:footerReference w:type="default" r:id="rId12"/>
      <w:pgSz w:w="11907" w:h="16840" w:code="9"/>
      <w:pgMar w:top="2268" w:right="1287" w:bottom="1701" w:left="1440"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AA" w:rsidRDefault="005D7EAA">
      <w:r>
        <w:separator/>
      </w:r>
    </w:p>
  </w:endnote>
  <w:endnote w:type="continuationSeparator" w:id="0">
    <w:p w:rsidR="005D7EAA" w:rsidRDefault="005D7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20A5904" w:usb1="00000008" w:usb2="020A5904" w:usb3="00000008" w:csb0="0000003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74" w:rsidRPr="001548E5" w:rsidRDefault="00CB3574" w:rsidP="00B60DDB">
    <w:pPr>
      <w:pStyle w:val="Footer"/>
      <w:tabs>
        <w:tab w:val="right" w:pos="9020"/>
      </w:tabs>
      <w:rPr>
        <w:sz w:val="16"/>
      </w:rPr>
    </w:pPr>
    <w:r w:rsidRPr="001548E5">
      <w:rPr>
        <w:noProof/>
        <w:sz w:val="16"/>
      </w:rPr>
      <w:pict>
        <v:line id="_x0000_s2051" style="position:absolute;left:0;text-align:left;z-index:3;mso-position-horizontal:center;mso-position-horizontal-relative:page" from="0,-1.95pt" to="450.7pt,-1.95pt" o:allowincell="f" strokecolor="#339" strokeweight="3pt">
          <v:stroke linestyle="thinThin"/>
          <w10:wrap anchorx="page"/>
        </v:line>
      </w:pict>
    </w:r>
    <w:r w:rsidRPr="001548E5">
      <w:rPr>
        <w:snapToGrid w:val="0"/>
        <w:sz w:val="16"/>
      </w:rPr>
      <w:t>Copyright © by Deloitte, 20</w:t>
    </w:r>
    <w:r>
      <w:rPr>
        <w:snapToGrid w:val="0"/>
        <w:sz w:val="16"/>
      </w:rPr>
      <w:t>12</w:t>
    </w:r>
    <w:r w:rsidRPr="001548E5">
      <w:rPr>
        <w:snapToGrid w:val="0"/>
        <w:sz w:val="16"/>
      </w:rPr>
      <w:tab/>
    </w:r>
    <w:r w:rsidRPr="001548E5">
      <w:rPr>
        <w:snapToGrid w:val="0"/>
        <w:sz w:val="16"/>
      </w:rPr>
      <w:tab/>
    </w:r>
    <w:r w:rsidRPr="001548E5">
      <w:rPr>
        <w:sz w:val="16"/>
      </w:rPr>
      <w:t xml:space="preserve">Page </w:t>
    </w:r>
    <w:r w:rsidRPr="001548E5">
      <w:rPr>
        <w:sz w:val="16"/>
      </w:rPr>
      <w:fldChar w:fldCharType="begin"/>
    </w:r>
    <w:r w:rsidRPr="001548E5">
      <w:rPr>
        <w:sz w:val="16"/>
      </w:rPr>
      <w:instrText xml:space="preserve"> PAGE </w:instrText>
    </w:r>
    <w:r w:rsidRPr="001548E5">
      <w:rPr>
        <w:sz w:val="16"/>
      </w:rPr>
      <w:fldChar w:fldCharType="separate"/>
    </w:r>
    <w:r w:rsidR="007F54A7">
      <w:rPr>
        <w:noProof/>
        <w:sz w:val="16"/>
      </w:rPr>
      <w:t>- 1 -</w:t>
    </w:r>
    <w:r w:rsidRPr="001548E5">
      <w:rPr>
        <w:sz w:val="16"/>
      </w:rPr>
      <w:fldChar w:fldCharType="end"/>
    </w:r>
    <w:r w:rsidRPr="001548E5">
      <w:rPr>
        <w:sz w:val="16"/>
      </w:rPr>
      <w:t xml:space="preserve"> of </w:t>
    </w:r>
    <w:r w:rsidRPr="001548E5">
      <w:rPr>
        <w:sz w:val="16"/>
      </w:rPr>
      <w:fldChar w:fldCharType="begin"/>
    </w:r>
    <w:r w:rsidRPr="001548E5">
      <w:rPr>
        <w:sz w:val="16"/>
      </w:rPr>
      <w:instrText xml:space="preserve"> NUMPAGES </w:instrText>
    </w:r>
    <w:r w:rsidRPr="001548E5">
      <w:rPr>
        <w:sz w:val="16"/>
      </w:rPr>
      <w:fldChar w:fldCharType="separate"/>
    </w:r>
    <w:r w:rsidR="007F54A7">
      <w:rPr>
        <w:noProof/>
        <w:sz w:val="16"/>
      </w:rPr>
      <w:t>16</w:t>
    </w:r>
    <w:r w:rsidRPr="001548E5">
      <w:rPr>
        <w:sz w:val="16"/>
      </w:rPr>
      <w:fldChar w:fldCharType="end"/>
    </w:r>
  </w:p>
  <w:p w:rsidR="00CB3574" w:rsidRPr="00B60DDB" w:rsidRDefault="00CB3574" w:rsidP="00B60DDB">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AA" w:rsidRDefault="005D7EAA">
      <w:r>
        <w:separator/>
      </w:r>
    </w:p>
  </w:footnote>
  <w:footnote w:type="continuationSeparator" w:id="0">
    <w:p w:rsidR="005D7EAA" w:rsidRDefault="005D7EAA">
      <w:r>
        <w:continuationSeparator/>
      </w:r>
    </w:p>
  </w:footnote>
  <w:footnote w:id="1">
    <w:p w:rsidR="0018299D" w:rsidRPr="003011E1" w:rsidRDefault="0018299D" w:rsidP="0018299D">
      <w:pPr>
        <w:pStyle w:val="FootnoteText"/>
        <w:rPr>
          <w:lang w:val="hr-HR"/>
        </w:rPr>
      </w:pPr>
      <w:r>
        <w:rPr>
          <w:rStyle w:val="FootnoteReference"/>
        </w:rPr>
        <w:footnoteRef/>
      </w:r>
      <w:r>
        <w:t xml:space="preserve"> Although the access node can also be an MSAN, for simplicity on DSLAM is used throughout this chapter.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74" w:rsidRPr="00701C85" w:rsidRDefault="003052CA" w:rsidP="0012690E">
    <w:pPr>
      <w:pStyle w:val="Header"/>
      <w:jc w:val="right"/>
    </w:pPr>
    <w:r w:rsidRPr="003052C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zanasAEK.jpg" style="width:131.25pt;height:41.25pt;visibility:visible">
          <v:imagedata r:id="rId1" o:title="zanasAEK"/>
        </v:shape>
      </w:pict>
    </w:r>
    <w:r w:rsidR="00CB3574">
      <w:rPr>
        <w:noProof/>
        <w:lang w:val="en-US" w:eastAsia="en-US"/>
      </w:rPr>
      <w:pict>
        <v:line id="_x0000_s2050" style="position:absolute;left:0;text-align:left;z-index:2;mso-position-horizontal:center;mso-position-horizontal-relative:page;mso-position-vertical-relative:text" from="0,55.9pt" to="450.7pt,55.9pt" o:allowincell="f" strokecolor="#339" strokeweight="3pt">
          <v:stroke linestyle="thinThin"/>
          <w10:wrap anchorx="page"/>
        </v:line>
      </w:pict>
    </w:r>
    <w:r w:rsidR="00CB3574">
      <w:rPr>
        <w:noProof/>
        <w:lang w:val="en-US" w:eastAsia="en-US"/>
      </w:rPr>
      <w:pict>
        <v:shape id="_x0000_s2049" type="#_x0000_t75" style="position:absolute;left:0;text-align:left;margin-left:0;margin-top:9.8pt;width:91.1pt;height:17.05pt;z-index:1;mso-position-horizontal-relative:text;mso-position-vertical-relative:text" o:allowincell="f" o:userdrawn="t">
          <v:imagedata r:id="rId2" o:title="DEL_CO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843"/>
    <w:multiLevelType w:val="multilevel"/>
    <w:tmpl w:val="3FFC0D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65AF8"/>
    <w:multiLevelType w:val="multilevel"/>
    <w:tmpl w:val="5148A5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3B37AA"/>
    <w:multiLevelType w:val="hybridMultilevel"/>
    <w:tmpl w:val="5A1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2C89"/>
    <w:multiLevelType w:val="multilevel"/>
    <w:tmpl w:val="052A6C30"/>
    <w:lvl w:ilvl="0">
      <w:start w:val="1"/>
      <w:numFmt w:val="decimal"/>
      <w:pStyle w:val="AppendixHeader"/>
      <w:lvlText w:val="%1"/>
      <w:lvlJc w:val="left"/>
      <w:pPr>
        <w:tabs>
          <w:tab w:val="num" w:pos="-118"/>
        </w:tabs>
        <w:ind w:left="1300" w:firstLine="0"/>
      </w:pPr>
      <w:rPr>
        <w:rFonts w:hint="default"/>
      </w:rPr>
    </w:lvl>
    <w:lvl w:ilvl="1">
      <w:start w:val="1"/>
      <w:numFmt w:val="decimal"/>
      <w:pStyle w:val="Normalparanumbers"/>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4">
    <w:nsid w:val="19C0160E"/>
    <w:multiLevelType w:val="hybridMultilevel"/>
    <w:tmpl w:val="D0A858A2"/>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5">
    <w:nsid w:val="24080AC2"/>
    <w:multiLevelType w:val="multilevel"/>
    <w:tmpl w:val="CBC8410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8B42F3"/>
    <w:multiLevelType w:val="hybridMultilevel"/>
    <w:tmpl w:val="6A84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A7CD8"/>
    <w:multiLevelType w:val="multilevel"/>
    <w:tmpl w:val="CBC8410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AB1F07"/>
    <w:multiLevelType w:val="hybridMultilevel"/>
    <w:tmpl w:val="544AF666"/>
    <w:lvl w:ilvl="0" w:tplc="AB6AA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B73FBB"/>
    <w:multiLevelType w:val="hybridMultilevel"/>
    <w:tmpl w:val="97C6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0B9B"/>
    <w:multiLevelType w:val="multilevel"/>
    <w:tmpl w:val="E1DE7BA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BB242E"/>
    <w:multiLevelType w:val="multilevel"/>
    <w:tmpl w:val="CBC8410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810B22"/>
    <w:multiLevelType w:val="multilevel"/>
    <w:tmpl w:val="8182F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4E2AF5"/>
    <w:multiLevelType w:val="multilevel"/>
    <w:tmpl w:val="3FFC0D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EB7974"/>
    <w:multiLevelType w:val="multilevel"/>
    <w:tmpl w:val="16D2E0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F17910"/>
    <w:multiLevelType w:val="multilevel"/>
    <w:tmpl w:val="2A8ED44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C93088"/>
    <w:multiLevelType w:val="multilevel"/>
    <w:tmpl w:val="2A8ED44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0F5AF1"/>
    <w:multiLevelType w:val="multilevel"/>
    <w:tmpl w:val="5854048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F176D0"/>
    <w:multiLevelType w:val="multilevel"/>
    <w:tmpl w:val="A54E16E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2BF585A"/>
    <w:multiLevelType w:val="multilevel"/>
    <w:tmpl w:val="8182F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38B6465"/>
    <w:multiLevelType w:val="multilevel"/>
    <w:tmpl w:val="2A8ED44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92672F"/>
    <w:multiLevelType w:val="multilevel"/>
    <w:tmpl w:val="2A8ED44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4A02BC"/>
    <w:multiLevelType w:val="multilevel"/>
    <w:tmpl w:val="2A8ED44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10"/>
  </w:num>
  <w:num w:numId="4">
    <w:abstractNumId w:val="14"/>
  </w:num>
  <w:num w:numId="5">
    <w:abstractNumId w:val="18"/>
  </w:num>
  <w:num w:numId="6">
    <w:abstractNumId w:val="19"/>
  </w:num>
  <w:num w:numId="7">
    <w:abstractNumId w:val="12"/>
  </w:num>
  <w:num w:numId="8">
    <w:abstractNumId w:val="5"/>
  </w:num>
  <w:num w:numId="9">
    <w:abstractNumId w:val="7"/>
  </w:num>
  <w:num w:numId="10">
    <w:abstractNumId w:val="11"/>
  </w:num>
  <w:num w:numId="11">
    <w:abstractNumId w:val="22"/>
  </w:num>
  <w:num w:numId="12">
    <w:abstractNumId w:val="21"/>
  </w:num>
  <w:num w:numId="13">
    <w:abstractNumId w:val="17"/>
  </w:num>
  <w:num w:numId="14">
    <w:abstractNumId w:val="20"/>
  </w:num>
  <w:num w:numId="15">
    <w:abstractNumId w:val="16"/>
  </w:num>
  <w:num w:numId="16">
    <w:abstractNumId w:val="15"/>
  </w:num>
  <w:num w:numId="17">
    <w:abstractNumId w:val="13"/>
  </w:num>
  <w:num w:numId="18">
    <w:abstractNumId w:val="8"/>
  </w:num>
  <w:num w:numId="19">
    <w:abstractNumId w:val="6"/>
  </w:num>
  <w:num w:numId="20">
    <w:abstractNumId w:val="4"/>
  </w:num>
  <w:num w:numId="21">
    <w:abstractNumId w:val="0"/>
  </w:num>
  <w:num w:numId="22">
    <w:abstractNumId w:val="2"/>
  </w:num>
  <w:num w:numId="23">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C50"/>
    <w:rsid w:val="000003B4"/>
    <w:rsid w:val="000012A8"/>
    <w:rsid w:val="00003145"/>
    <w:rsid w:val="000041D1"/>
    <w:rsid w:val="000073EF"/>
    <w:rsid w:val="0000793A"/>
    <w:rsid w:val="0001017F"/>
    <w:rsid w:val="0001466F"/>
    <w:rsid w:val="00015403"/>
    <w:rsid w:val="000162E4"/>
    <w:rsid w:val="00016ADB"/>
    <w:rsid w:val="00021CBB"/>
    <w:rsid w:val="0002213D"/>
    <w:rsid w:val="00022C48"/>
    <w:rsid w:val="00027AB5"/>
    <w:rsid w:val="00035A6A"/>
    <w:rsid w:val="00036D1E"/>
    <w:rsid w:val="000400F3"/>
    <w:rsid w:val="00040232"/>
    <w:rsid w:val="00041000"/>
    <w:rsid w:val="00045988"/>
    <w:rsid w:val="00047389"/>
    <w:rsid w:val="00047D16"/>
    <w:rsid w:val="0005109D"/>
    <w:rsid w:val="00062F27"/>
    <w:rsid w:val="000642AC"/>
    <w:rsid w:val="00065ABC"/>
    <w:rsid w:val="00067C59"/>
    <w:rsid w:val="000708A3"/>
    <w:rsid w:val="000712D3"/>
    <w:rsid w:val="00072100"/>
    <w:rsid w:val="000723FA"/>
    <w:rsid w:val="000726DA"/>
    <w:rsid w:val="00080ABB"/>
    <w:rsid w:val="000822B0"/>
    <w:rsid w:val="00084B93"/>
    <w:rsid w:val="00087D74"/>
    <w:rsid w:val="000909A8"/>
    <w:rsid w:val="000925AF"/>
    <w:rsid w:val="000946D9"/>
    <w:rsid w:val="000A0A7F"/>
    <w:rsid w:val="000A160D"/>
    <w:rsid w:val="000A2334"/>
    <w:rsid w:val="000A2F8B"/>
    <w:rsid w:val="000A3A78"/>
    <w:rsid w:val="000A3C26"/>
    <w:rsid w:val="000A3DF9"/>
    <w:rsid w:val="000A63D3"/>
    <w:rsid w:val="000B56AB"/>
    <w:rsid w:val="000B734F"/>
    <w:rsid w:val="000C2B33"/>
    <w:rsid w:val="000C3540"/>
    <w:rsid w:val="000C6818"/>
    <w:rsid w:val="000C7815"/>
    <w:rsid w:val="000C7866"/>
    <w:rsid w:val="000C78D5"/>
    <w:rsid w:val="000D0A82"/>
    <w:rsid w:val="000D1DA3"/>
    <w:rsid w:val="000D5995"/>
    <w:rsid w:val="000E162D"/>
    <w:rsid w:val="000E1D1A"/>
    <w:rsid w:val="000E428C"/>
    <w:rsid w:val="000E473D"/>
    <w:rsid w:val="000E5DF6"/>
    <w:rsid w:val="000F19C5"/>
    <w:rsid w:val="000F3DDC"/>
    <w:rsid w:val="000F6875"/>
    <w:rsid w:val="000F7750"/>
    <w:rsid w:val="000F7C8D"/>
    <w:rsid w:val="001025FC"/>
    <w:rsid w:val="00110AA0"/>
    <w:rsid w:val="00111EF8"/>
    <w:rsid w:val="0011244B"/>
    <w:rsid w:val="00112702"/>
    <w:rsid w:val="00112F68"/>
    <w:rsid w:val="001142E6"/>
    <w:rsid w:val="00114406"/>
    <w:rsid w:val="001155EC"/>
    <w:rsid w:val="001156B9"/>
    <w:rsid w:val="00116B01"/>
    <w:rsid w:val="00117D75"/>
    <w:rsid w:val="001208F0"/>
    <w:rsid w:val="00120D10"/>
    <w:rsid w:val="00123379"/>
    <w:rsid w:val="00123A2B"/>
    <w:rsid w:val="00124536"/>
    <w:rsid w:val="00125955"/>
    <w:rsid w:val="00126237"/>
    <w:rsid w:val="0012690E"/>
    <w:rsid w:val="0012719A"/>
    <w:rsid w:val="00132A24"/>
    <w:rsid w:val="00132F92"/>
    <w:rsid w:val="001357B3"/>
    <w:rsid w:val="001371C3"/>
    <w:rsid w:val="00137AFF"/>
    <w:rsid w:val="00141358"/>
    <w:rsid w:val="001418E5"/>
    <w:rsid w:val="00141DD7"/>
    <w:rsid w:val="0014217D"/>
    <w:rsid w:val="00143B17"/>
    <w:rsid w:val="00145162"/>
    <w:rsid w:val="00150A07"/>
    <w:rsid w:val="001548E5"/>
    <w:rsid w:val="00154C4F"/>
    <w:rsid w:val="00155B68"/>
    <w:rsid w:val="00155EFA"/>
    <w:rsid w:val="001563A2"/>
    <w:rsid w:val="00160F97"/>
    <w:rsid w:val="001621A5"/>
    <w:rsid w:val="00162A7C"/>
    <w:rsid w:val="00163055"/>
    <w:rsid w:val="0016509F"/>
    <w:rsid w:val="001660BD"/>
    <w:rsid w:val="001671E7"/>
    <w:rsid w:val="0016782F"/>
    <w:rsid w:val="00170843"/>
    <w:rsid w:val="00180580"/>
    <w:rsid w:val="00180EAE"/>
    <w:rsid w:val="0018169C"/>
    <w:rsid w:val="00182731"/>
    <w:rsid w:val="0018299D"/>
    <w:rsid w:val="00182B9E"/>
    <w:rsid w:val="00183153"/>
    <w:rsid w:val="001834C1"/>
    <w:rsid w:val="00185970"/>
    <w:rsid w:val="00191016"/>
    <w:rsid w:val="00191ADD"/>
    <w:rsid w:val="00193800"/>
    <w:rsid w:val="00194F7E"/>
    <w:rsid w:val="001966E0"/>
    <w:rsid w:val="00196CAC"/>
    <w:rsid w:val="00197407"/>
    <w:rsid w:val="001A0AC4"/>
    <w:rsid w:val="001A1E9F"/>
    <w:rsid w:val="001A430E"/>
    <w:rsid w:val="001A5376"/>
    <w:rsid w:val="001A73CC"/>
    <w:rsid w:val="001A7489"/>
    <w:rsid w:val="001B05D6"/>
    <w:rsid w:val="001B0647"/>
    <w:rsid w:val="001B099C"/>
    <w:rsid w:val="001B0C83"/>
    <w:rsid w:val="001B1D93"/>
    <w:rsid w:val="001C2763"/>
    <w:rsid w:val="001C2BB3"/>
    <w:rsid w:val="001C59A8"/>
    <w:rsid w:val="001C62ED"/>
    <w:rsid w:val="001C69F9"/>
    <w:rsid w:val="001D0500"/>
    <w:rsid w:val="001D088A"/>
    <w:rsid w:val="001D1607"/>
    <w:rsid w:val="001D2161"/>
    <w:rsid w:val="001D2486"/>
    <w:rsid w:val="001D4D7A"/>
    <w:rsid w:val="001D5B07"/>
    <w:rsid w:val="001D6E31"/>
    <w:rsid w:val="001D73C9"/>
    <w:rsid w:val="001D7CE6"/>
    <w:rsid w:val="001E2645"/>
    <w:rsid w:val="001E2819"/>
    <w:rsid w:val="001E5536"/>
    <w:rsid w:val="001E576E"/>
    <w:rsid w:val="001E5DF1"/>
    <w:rsid w:val="001E6F65"/>
    <w:rsid w:val="001E704B"/>
    <w:rsid w:val="001E7294"/>
    <w:rsid w:val="001F0FF4"/>
    <w:rsid w:val="001F4229"/>
    <w:rsid w:val="001F43DC"/>
    <w:rsid w:val="001F49F0"/>
    <w:rsid w:val="001F5744"/>
    <w:rsid w:val="001F7B8D"/>
    <w:rsid w:val="00201551"/>
    <w:rsid w:val="00201DE5"/>
    <w:rsid w:val="00203102"/>
    <w:rsid w:val="00205936"/>
    <w:rsid w:val="00207EC4"/>
    <w:rsid w:val="00214377"/>
    <w:rsid w:val="002168A7"/>
    <w:rsid w:val="00220C2F"/>
    <w:rsid w:val="00222627"/>
    <w:rsid w:val="0022737D"/>
    <w:rsid w:val="0022778D"/>
    <w:rsid w:val="002278CE"/>
    <w:rsid w:val="00230248"/>
    <w:rsid w:val="002302C0"/>
    <w:rsid w:val="00233FB3"/>
    <w:rsid w:val="00236AB4"/>
    <w:rsid w:val="00236C74"/>
    <w:rsid w:val="00237827"/>
    <w:rsid w:val="0023785F"/>
    <w:rsid w:val="00237985"/>
    <w:rsid w:val="002401BC"/>
    <w:rsid w:val="00244163"/>
    <w:rsid w:val="002462C3"/>
    <w:rsid w:val="00247E18"/>
    <w:rsid w:val="00252259"/>
    <w:rsid w:val="002522E6"/>
    <w:rsid w:val="002522F6"/>
    <w:rsid w:val="002530EC"/>
    <w:rsid w:val="00254159"/>
    <w:rsid w:val="002555F6"/>
    <w:rsid w:val="002561EF"/>
    <w:rsid w:val="002570D2"/>
    <w:rsid w:val="0025794D"/>
    <w:rsid w:val="00260634"/>
    <w:rsid w:val="002615E3"/>
    <w:rsid w:val="00261B03"/>
    <w:rsid w:val="002647F9"/>
    <w:rsid w:val="002653FA"/>
    <w:rsid w:val="0026644F"/>
    <w:rsid w:val="00266D0F"/>
    <w:rsid w:val="00270624"/>
    <w:rsid w:val="002708C4"/>
    <w:rsid w:val="00272A10"/>
    <w:rsid w:val="002730E9"/>
    <w:rsid w:val="00274669"/>
    <w:rsid w:val="00274F2A"/>
    <w:rsid w:val="00275152"/>
    <w:rsid w:val="002759B9"/>
    <w:rsid w:val="00277127"/>
    <w:rsid w:val="0027722D"/>
    <w:rsid w:val="00277FCE"/>
    <w:rsid w:val="00280DBC"/>
    <w:rsid w:val="00282729"/>
    <w:rsid w:val="00283E68"/>
    <w:rsid w:val="00284A75"/>
    <w:rsid w:val="00291342"/>
    <w:rsid w:val="00292AB8"/>
    <w:rsid w:val="00294F92"/>
    <w:rsid w:val="002A0F54"/>
    <w:rsid w:val="002A33BB"/>
    <w:rsid w:val="002A543E"/>
    <w:rsid w:val="002B00A4"/>
    <w:rsid w:val="002B0D0A"/>
    <w:rsid w:val="002B2994"/>
    <w:rsid w:val="002B7AFF"/>
    <w:rsid w:val="002C0C8D"/>
    <w:rsid w:val="002C3730"/>
    <w:rsid w:val="002C3B8C"/>
    <w:rsid w:val="002C6021"/>
    <w:rsid w:val="002C7229"/>
    <w:rsid w:val="002D04F4"/>
    <w:rsid w:val="002D0622"/>
    <w:rsid w:val="002D0EA5"/>
    <w:rsid w:val="002D18A4"/>
    <w:rsid w:val="002D5F95"/>
    <w:rsid w:val="002E01FA"/>
    <w:rsid w:val="002E3A26"/>
    <w:rsid w:val="002E3A9D"/>
    <w:rsid w:val="002E78C3"/>
    <w:rsid w:val="002F2245"/>
    <w:rsid w:val="002F6AD3"/>
    <w:rsid w:val="002F6C15"/>
    <w:rsid w:val="002F6CC9"/>
    <w:rsid w:val="003052CA"/>
    <w:rsid w:val="003069E7"/>
    <w:rsid w:val="00311253"/>
    <w:rsid w:val="00314B9C"/>
    <w:rsid w:val="00317581"/>
    <w:rsid w:val="00317B78"/>
    <w:rsid w:val="00320675"/>
    <w:rsid w:val="00320E96"/>
    <w:rsid w:val="00322159"/>
    <w:rsid w:val="003271D2"/>
    <w:rsid w:val="0033026F"/>
    <w:rsid w:val="00333B5B"/>
    <w:rsid w:val="003422B8"/>
    <w:rsid w:val="00344DAC"/>
    <w:rsid w:val="00353E43"/>
    <w:rsid w:val="00357338"/>
    <w:rsid w:val="003614F6"/>
    <w:rsid w:val="00361563"/>
    <w:rsid w:val="00361B1B"/>
    <w:rsid w:val="00363DA9"/>
    <w:rsid w:val="003640BB"/>
    <w:rsid w:val="00364CEA"/>
    <w:rsid w:val="00366E00"/>
    <w:rsid w:val="0037010E"/>
    <w:rsid w:val="00371CDA"/>
    <w:rsid w:val="00372E0C"/>
    <w:rsid w:val="0037672A"/>
    <w:rsid w:val="00385C07"/>
    <w:rsid w:val="0039029E"/>
    <w:rsid w:val="003907C6"/>
    <w:rsid w:val="0039268B"/>
    <w:rsid w:val="00392A06"/>
    <w:rsid w:val="00392A5E"/>
    <w:rsid w:val="003931AC"/>
    <w:rsid w:val="00393C9A"/>
    <w:rsid w:val="003965AD"/>
    <w:rsid w:val="003A2130"/>
    <w:rsid w:val="003A4AA3"/>
    <w:rsid w:val="003B1C2A"/>
    <w:rsid w:val="003B40DB"/>
    <w:rsid w:val="003B4470"/>
    <w:rsid w:val="003B4867"/>
    <w:rsid w:val="003B51F6"/>
    <w:rsid w:val="003B5316"/>
    <w:rsid w:val="003B54D7"/>
    <w:rsid w:val="003C7AAF"/>
    <w:rsid w:val="003D5915"/>
    <w:rsid w:val="003D5AAB"/>
    <w:rsid w:val="003D733B"/>
    <w:rsid w:val="003D751C"/>
    <w:rsid w:val="003E1299"/>
    <w:rsid w:val="003E3495"/>
    <w:rsid w:val="003E3B54"/>
    <w:rsid w:val="003F0DF6"/>
    <w:rsid w:val="003F14F7"/>
    <w:rsid w:val="003F1BD7"/>
    <w:rsid w:val="003F6CF1"/>
    <w:rsid w:val="0040136E"/>
    <w:rsid w:val="00401D33"/>
    <w:rsid w:val="004042A5"/>
    <w:rsid w:val="00404538"/>
    <w:rsid w:val="00404593"/>
    <w:rsid w:val="00404CAE"/>
    <w:rsid w:val="004052AB"/>
    <w:rsid w:val="0040573E"/>
    <w:rsid w:val="00407572"/>
    <w:rsid w:val="00411782"/>
    <w:rsid w:val="0041193D"/>
    <w:rsid w:val="00413B87"/>
    <w:rsid w:val="004143AF"/>
    <w:rsid w:val="00421420"/>
    <w:rsid w:val="00424E1A"/>
    <w:rsid w:val="004338B4"/>
    <w:rsid w:val="00434470"/>
    <w:rsid w:val="00434477"/>
    <w:rsid w:val="00436DDC"/>
    <w:rsid w:val="00437078"/>
    <w:rsid w:val="00437FEF"/>
    <w:rsid w:val="0044162B"/>
    <w:rsid w:val="00442700"/>
    <w:rsid w:val="00442E3C"/>
    <w:rsid w:val="0044328B"/>
    <w:rsid w:val="00443B3C"/>
    <w:rsid w:val="0044660E"/>
    <w:rsid w:val="00446D15"/>
    <w:rsid w:val="00446D25"/>
    <w:rsid w:val="00446DF7"/>
    <w:rsid w:val="00447A8E"/>
    <w:rsid w:val="004518D0"/>
    <w:rsid w:val="00455BDD"/>
    <w:rsid w:val="00456810"/>
    <w:rsid w:val="0045728D"/>
    <w:rsid w:val="004610B5"/>
    <w:rsid w:val="0046146F"/>
    <w:rsid w:val="004623F2"/>
    <w:rsid w:val="00465BAB"/>
    <w:rsid w:val="004714AA"/>
    <w:rsid w:val="00471EB0"/>
    <w:rsid w:val="00475D4A"/>
    <w:rsid w:val="00480F75"/>
    <w:rsid w:val="00483B44"/>
    <w:rsid w:val="0048464F"/>
    <w:rsid w:val="00484F0A"/>
    <w:rsid w:val="00486414"/>
    <w:rsid w:val="00490718"/>
    <w:rsid w:val="004931D8"/>
    <w:rsid w:val="00493699"/>
    <w:rsid w:val="00494949"/>
    <w:rsid w:val="00495476"/>
    <w:rsid w:val="004A5B3D"/>
    <w:rsid w:val="004B0472"/>
    <w:rsid w:val="004B1B47"/>
    <w:rsid w:val="004B3275"/>
    <w:rsid w:val="004B7D15"/>
    <w:rsid w:val="004C1218"/>
    <w:rsid w:val="004C21AA"/>
    <w:rsid w:val="004D1BE2"/>
    <w:rsid w:val="004D4B44"/>
    <w:rsid w:val="004D7FA2"/>
    <w:rsid w:val="004E0458"/>
    <w:rsid w:val="004E1356"/>
    <w:rsid w:val="004E5833"/>
    <w:rsid w:val="004E5B3B"/>
    <w:rsid w:val="004E6F59"/>
    <w:rsid w:val="004F023C"/>
    <w:rsid w:val="004F2FB7"/>
    <w:rsid w:val="004F618B"/>
    <w:rsid w:val="00502D99"/>
    <w:rsid w:val="0050306C"/>
    <w:rsid w:val="00504D23"/>
    <w:rsid w:val="00505C11"/>
    <w:rsid w:val="005062AE"/>
    <w:rsid w:val="0050776D"/>
    <w:rsid w:val="00512ADE"/>
    <w:rsid w:val="005223AE"/>
    <w:rsid w:val="0052672E"/>
    <w:rsid w:val="00527083"/>
    <w:rsid w:val="005272D4"/>
    <w:rsid w:val="0053091B"/>
    <w:rsid w:val="0053096C"/>
    <w:rsid w:val="00531802"/>
    <w:rsid w:val="0053394B"/>
    <w:rsid w:val="00536A71"/>
    <w:rsid w:val="005408C2"/>
    <w:rsid w:val="005408E8"/>
    <w:rsid w:val="00540B3B"/>
    <w:rsid w:val="005413DA"/>
    <w:rsid w:val="00542EBF"/>
    <w:rsid w:val="0054459F"/>
    <w:rsid w:val="00544823"/>
    <w:rsid w:val="00546158"/>
    <w:rsid w:val="00546536"/>
    <w:rsid w:val="00546D39"/>
    <w:rsid w:val="005474A6"/>
    <w:rsid w:val="00550CBD"/>
    <w:rsid w:val="005517DA"/>
    <w:rsid w:val="00551AF0"/>
    <w:rsid w:val="005530C5"/>
    <w:rsid w:val="00554B19"/>
    <w:rsid w:val="0055569D"/>
    <w:rsid w:val="00555CCF"/>
    <w:rsid w:val="00556533"/>
    <w:rsid w:val="005577C1"/>
    <w:rsid w:val="00560B52"/>
    <w:rsid w:val="005618CD"/>
    <w:rsid w:val="00562B0B"/>
    <w:rsid w:val="00563098"/>
    <w:rsid w:val="00563F7C"/>
    <w:rsid w:val="0056407B"/>
    <w:rsid w:val="005663D0"/>
    <w:rsid w:val="00567336"/>
    <w:rsid w:val="00570DF2"/>
    <w:rsid w:val="005736A4"/>
    <w:rsid w:val="00573A8F"/>
    <w:rsid w:val="00576815"/>
    <w:rsid w:val="005768DF"/>
    <w:rsid w:val="00577F81"/>
    <w:rsid w:val="00583F60"/>
    <w:rsid w:val="00584070"/>
    <w:rsid w:val="00584212"/>
    <w:rsid w:val="00585471"/>
    <w:rsid w:val="00585822"/>
    <w:rsid w:val="00585A3A"/>
    <w:rsid w:val="00585F6E"/>
    <w:rsid w:val="00587E5E"/>
    <w:rsid w:val="005903DF"/>
    <w:rsid w:val="00592FCD"/>
    <w:rsid w:val="00594529"/>
    <w:rsid w:val="0059464F"/>
    <w:rsid w:val="00594C49"/>
    <w:rsid w:val="00597DE1"/>
    <w:rsid w:val="005A3260"/>
    <w:rsid w:val="005A6159"/>
    <w:rsid w:val="005A7DD2"/>
    <w:rsid w:val="005B3477"/>
    <w:rsid w:val="005B72FE"/>
    <w:rsid w:val="005C09C4"/>
    <w:rsid w:val="005C0BDB"/>
    <w:rsid w:val="005C16D5"/>
    <w:rsid w:val="005C23B6"/>
    <w:rsid w:val="005C23E5"/>
    <w:rsid w:val="005C5CB1"/>
    <w:rsid w:val="005C69DA"/>
    <w:rsid w:val="005C7B15"/>
    <w:rsid w:val="005D308F"/>
    <w:rsid w:val="005D30C2"/>
    <w:rsid w:val="005D4327"/>
    <w:rsid w:val="005D7B0E"/>
    <w:rsid w:val="005D7EAA"/>
    <w:rsid w:val="005E05B8"/>
    <w:rsid w:val="005E2378"/>
    <w:rsid w:val="005E24CD"/>
    <w:rsid w:val="005E44B9"/>
    <w:rsid w:val="005E7B0B"/>
    <w:rsid w:val="005E7FCF"/>
    <w:rsid w:val="005F07FD"/>
    <w:rsid w:val="005F0D4E"/>
    <w:rsid w:val="005F122B"/>
    <w:rsid w:val="005F18E4"/>
    <w:rsid w:val="005F1E7E"/>
    <w:rsid w:val="005F5C31"/>
    <w:rsid w:val="00600893"/>
    <w:rsid w:val="0060237C"/>
    <w:rsid w:val="006026E2"/>
    <w:rsid w:val="006129F1"/>
    <w:rsid w:val="0061719B"/>
    <w:rsid w:val="00617943"/>
    <w:rsid w:val="00621CC3"/>
    <w:rsid w:val="00621ED9"/>
    <w:rsid w:val="006231D8"/>
    <w:rsid w:val="00627C17"/>
    <w:rsid w:val="00633EB5"/>
    <w:rsid w:val="0063426B"/>
    <w:rsid w:val="0064061E"/>
    <w:rsid w:val="0064496A"/>
    <w:rsid w:val="00646716"/>
    <w:rsid w:val="00646C6F"/>
    <w:rsid w:val="00650A7E"/>
    <w:rsid w:val="00652B37"/>
    <w:rsid w:val="006542CC"/>
    <w:rsid w:val="00654314"/>
    <w:rsid w:val="006548DA"/>
    <w:rsid w:val="006565B3"/>
    <w:rsid w:val="00657A45"/>
    <w:rsid w:val="00657A79"/>
    <w:rsid w:val="00660395"/>
    <w:rsid w:val="00663CA4"/>
    <w:rsid w:val="0066694E"/>
    <w:rsid w:val="00667D79"/>
    <w:rsid w:val="00671EC5"/>
    <w:rsid w:val="00673226"/>
    <w:rsid w:val="00674214"/>
    <w:rsid w:val="00674511"/>
    <w:rsid w:val="00675937"/>
    <w:rsid w:val="00675FFB"/>
    <w:rsid w:val="00680219"/>
    <w:rsid w:val="00682B94"/>
    <w:rsid w:val="00685AAB"/>
    <w:rsid w:val="00690A55"/>
    <w:rsid w:val="00695573"/>
    <w:rsid w:val="006959D0"/>
    <w:rsid w:val="006A1AA4"/>
    <w:rsid w:val="006A1CDA"/>
    <w:rsid w:val="006A58C4"/>
    <w:rsid w:val="006B3120"/>
    <w:rsid w:val="006B4A34"/>
    <w:rsid w:val="006B60A3"/>
    <w:rsid w:val="006C0138"/>
    <w:rsid w:val="006C227F"/>
    <w:rsid w:val="006C2986"/>
    <w:rsid w:val="006C5894"/>
    <w:rsid w:val="006C7348"/>
    <w:rsid w:val="006C77C5"/>
    <w:rsid w:val="006D167A"/>
    <w:rsid w:val="006D4D7B"/>
    <w:rsid w:val="006D6D42"/>
    <w:rsid w:val="006E164F"/>
    <w:rsid w:val="006E17A8"/>
    <w:rsid w:val="006E2944"/>
    <w:rsid w:val="006E3D64"/>
    <w:rsid w:val="006E64FD"/>
    <w:rsid w:val="006F00F7"/>
    <w:rsid w:val="006F1CB8"/>
    <w:rsid w:val="006F1EEC"/>
    <w:rsid w:val="006F3366"/>
    <w:rsid w:val="006F4EBB"/>
    <w:rsid w:val="006F6BE8"/>
    <w:rsid w:val="00701C85"/>
    <w:rsid w:val="007040A0"/>
    <w:rsid w:val="00706316"/>
    <w:rsid w:val="00707FB2"/>
    <w:rsid w:val="0071099D"/>
    <w:rsid w:val="00710F6B"/>
    <w:rsid w:val="00711D0B"/>
    <w:rsid w:val="007141BF"/>
    <w:rsid w:val="0071452F"/>
    <w:rsid w:val="00714537"/>
    <w:rsid w:val="00717876"/>
    <w:rsid w:val="007249F0"/>
    <w:rsid w:val="00724EE0"/>
    <w:rsid w:val="00724F79"/>
    <w:rsid w:val="0072611A"/>
    <w:rsid w:val="007272F4"/>
    <w:rsid w:val="00732832"/>
    <w:rsid w:val="00733700"/>
    <w:rsid w:val="007358CA"/>
    <w:rsid w:val="007410A9"/>
    <w:rsid w:val="00741310"/>
    <w:rsid w:val="00743589"/>
    <w:rsid w:val="00743B40"/>
    <w:rsid w:val="00744594"/>
    <w:rsid w:val="00745969"/>
    <w:rsid w:val="00745DCA"/>
    <w:rsid w:val="00747BF5"/>
    <w:rsid w:val="00751CAB"/>
    <w:rsid w:val="0075365F"/>
    <w:rsid w:val="00753FB5"/>
    <w:rsid w:val="00755125"/>
    <w:rsid w:val="007551F1"/>
    <w:rsid w:val="007657C9"/>
    <w:rsid w:val="0077189A"/>
    <w:rsid w:val="007729CF"/>
    <w:rsid w:val="00772F4D"/>
    <w:rsid w:val="0077724B"/>
    <w:rsid w:val="0077733F"/>
    <w:rsid w:val="00780915"/>
    <w:rsid w:val="00780B1E"/>
    <w:rsid w:val="00780F6D"/>
    <w:rsid w:val="00782449"/>
    <w:rsid w:val="00783521"/>
    <w:rsid w:val="00783744"/>
    <w:rsid w:val="00783999"/>
    <w:rsid w:val="00783A2A"/>
    <w:rsid w:val="0078448B"/>
    <w:rsid w:val="0078497A"/>
    <w:rsid w:val="0078648C"/>
    <w:rsid w:val="0078737C"/>
    <w:rsid w:val="007875B2"/>
    <w:rsid w:val="007956D9"/>
    <w:rsid w:val="0079790B"/>
    <w:rsid w:val="0079794D"/>
    <w:rsid w:val="007A0BBA"/>
    <w:rsid w:val="007A1E5E"/>
    <w:rsid w:val="007A3425"/>
    <w:rsid w:val="007A470C"/>
    <w:rsid w:val="007A6F07"/>
    <w:rsid w:val="007B0B05"/>
    <w:rsid w:val="007B1CDB"/>
    <w:rsid w:val="007B33C2"/>
    <w:rsid w:val="007B40BD"/>
    <w:rsid w:val="007C0189"/>
    <w:rsid w:val="007C25DA"/>
    <w:rsid w:val="007C3ADB"/>
    <w:rsid w:val="007C61D7"/>
    <w:rsid w:val="007D01FC"/>
    <w:rsid w:val="007D52F3"/>
    <w:rsid w:val="007D5CC3"/>
    <w:rsid w:val="007E0475"/>
    <w:rsid w:val="007E2003"/>
    <w:rsid w:val="007E527B"/>
    <w:rsid w:val="007E6FB0"/>
    <w:rsid w:val="007F0EFC"/>
    <w:rsid w:val="007F1530"/>
    <w:rsid w:val="007F301B"/>
    <w:rsid w:val="007F437A"/>
    <w:rsid w:val="007F54A7"/>
    <w:rsid w:val="007F653A"/>
    <w:rsid w:val="007F7C13"/>
    <w:rsid w:val="008009E8"/>
    <w:rsid w:val="00801F3F"/>
    <w:rsid w:val="00802FD1"/>
    <w:rsid w:val="008049E6"/>
    <w:rsid w:val="0080688E"/>
    <w:rsid w:val="00810CD1"/>
    <w:rsid w:val="008114E1"/>
    <w:rsid w:val="008125BA"/>
    <w:rsid w:val="00812EB6"/>
    <w:rsid w:val="008137B4"/>
    <w:rsid w:val="00813D61"/>
    <w:rsid w:val="00816372"/>
    <w:rsid w:val="00817BBC"/>
    <w:rsid w:val="008200FF"/>
    <w:rsid w:val="00824CC1"/>
    <w:rsid w:val="00825B8F"/>
    <w:rsid w:val="00827686"/>
    <w:rsid w:val="00827D99"/>
    <w:rsid w:val="00830A3D"/>
    <w:rsid w:val="0083170B"/>
    <w:rsid w:val="00833661"/>
    <w:rsid w:val="00833EAE"/>
    <w:rsid w:val="00837B34"/>
    <w:rsid w:val="00837BB3"/>
    <w:rsid w:val="0084560C"/>
    <w:rsid w:val="00847C77"/>
    <w:rsid w:val="00847CE3"/>
    <w:rsid w:val="00857CB5"/>
    <w:rsid w:val="00863125"/>
    <w:rsid w:val="008651B3"/>
    <w:rsid w:val="008653FF"/>
    <w:rsid w:val="00865D7F"/>
    <w:rsid w:val="00866BD2"/>
    <w:rsid w:val="00866DAA"/>
    <w:rsid w:val="00867E76"/>
    <w:rsid w:val="0087029B"/>
    <w:rsid w:val="00870BA4"/>
    <w:rsid w:val="008748B8"/>
    <w:rsid w:val="00875CA2"/>
    <w:rsid w:val="00877762"/>
    <w:rsid w:val="00877B9E"/>
    <w:rsid w:val="00880614"/>
    <w:rsid w:val="00880ABC"/>
    <w:rsid w:val="00881A1B"/>
    <w:rsid w:val="0088484E"/>
    <w:rsid w:val="008851AD"/>
    <w:rsid w:val="008858C7"/>
    <w:rsid w:val="00885C71"/>
    <w:rsid w:val="0088688D"/>
    <w:rsid w:val="00887343"/>
    <w:rsid w:val="00887C4C"/>
    <w:rsid w:val="00891C4C"/>
    <w:rsid w:val="008940D1"/>
    <w:rsid w:val="0089474F"/>
    <w:rsid w:val="00894B06"/>
    <w:rsid w:val="00896741"/>
    <w:rsid w:val="008A0B81"/>
    <w:rsid w:val="008A2772"/>
    <w:rsid w:val="008A2859"/>
    <w:rsid w:val="008A3ECF"/>
    <w:rsid w:val="008A40FA"/>
    <w:rsid w:val="008A56BC"/>
    <w:rsid w:val="008A59C5"/>
    <w:rsid w:val="008A6BB1"/>
    <w:rsid w:val="008A7956"/>
    <w:rsid w:val="008B2319"/>
    <w:rsid w:val="008B2701"/>
    <w:rsid w:val="008B39B0"/>
    <w:rsid w:val="008B4A45"/>
    <w:rsid w:val="008B4C34"/>
    <w:rsid w:val="008C000F"/>
    <w:rsid w:val="008C0D3F"/>
    <w:rsid w:val="008C52CF"/>
    <w:rsid w:val="008C69F6"/>
    <w:rsid w:val="008D006E"/>
    <w:rsid w:val="008D27DC"/>
    <w:rsid w:val="008D4B05"/>
    <w:rsid w:val="008D5385"/>
    <w:rsid w:val="008E184B"/>
    <w:rsid w:val="008E23B8"/>
    <w:rsid w:val="008E2F64"/>
    <w:rsid w:val="008E3284"/>
    <w:rsid w:val="008E33A5"/>
    <w:rsid w:val="008E41DE"/>
    <w:rsid w:val="008E4D96"/>
    <w:rsid w:val="008F1298"/>
    <w:rsid w:val="008F3752"/>
    <w:rsid w:val="008F48BE"/>
    <w:rsid w:val="008F5C3F"/>
    <w:rsid w:val="0090129D"/>
    <w:rsid w:val="00904EA3"/>
    <w:rsid w:val="00906F6C"/>
    <w:rsid w:val="00911AB3"/>
    <w:rsid w:val="00911B5D"/>
    <w:rsid w:val="0091762F"/>
    <w:rsid w:val="00920A15"/>
    <w:rsid w:val="00921BF9"/>
    <w:rsid w:val="00925D5C"/>
    <w:rsid w:val="00926259"/>
    <w:rsid w:val="009274FF"/>
    <w:rsid w:val="00927979"/>
    <w:rsid w:val="00930B0F"/>
    <w:rsid w:val="009315D5"/>
    <w:rsid w:val="00935332"/>
    <w:rsid w:val="009402C4"/>
    <w:rsid w:val="009404FA"/>
    <w:rsid w:val="0094130F"/>
    <w:rsid w:val="00941D62"/>
    <w:rsid w:val="00942082"/>
    <w:rsid w:val="009424A1"/>
    <w:rsid w:val="00942DC6"/>
    <w:rsid w:val="00943DBD"/>
    <w:rsid w:val="00944314"/>
    <w:rsid w:val="00944B2E"/>
    <w:rsid w:val="0094546F"/>
    <w:rsid w:val="00946299"/>
    <w:rsid w:val="00946A31"/>
    <w:rsid w:val="009512A3"/>
    <w:rsid w:val="00954B57"/>
    <w:rsid w:val="00955974"/>
    <w:rsid w:val="009568FA"/>
    <w:rsid w:val="00961294"/>
    <w:rsid w:val="0096175F"/>
    <w:rsid w:val="009647EF"/>
    <w:rsid w:val="009667C1"/>
    <w:rsid w:val="00966DE9"/>
    <w:rsid w:val="0097148A"/>
    <w:rsid w:val="00973A49"/>
    <w:rsid w:val="0098320D"/>
    <w:rsid w:val="009859F3"/>
    <w:rsid w:val="00986432"/>
    <w:rsid w:val="00987BC7"/>
    <w:rsid w:val="0099203F"/>
    <w:rsid w:val="009948C1"/>
    <w:rsid w:val="00996263"/>
    <w:rsid w:val="00997E96"/>
    <w:rsid w:val="009A1107"/>
    <w:rsid w:val="009A3A24"/>
    <w:rsid w:val="009A4F34"/>
    <w:rsid w:val="009A5CF1"/>
    <w:rsid w:val="009A6C73"/>
    <w:rsid w:val="009A761F"/>
    <w:rsid w:val="009A7994"/>
    <w:rsid w:val="009B215F"/>
    <w:rsid w:val="009B2F43"/>
    <w:rsid w:val="009B6536"/>
    <w:rsid w:val="009B687C"/>
    <w:rsid w:val="009C32ED"/>
    <w:rsid w:val="009C47F7"/>
    <w:rsid w:val="009C6AC9"/>
    <w:rsid w:val="009C73B4"/>
    <w:rsid w:val="009D056E"/>
    <w:rsid w:val="009D07E4"/>
    <w:rsid w:val="009E1198"/>
    <w:rsid w:val="009E123F"/>
    <w:rsid w:val="009E175C"/>
    <w:rsid w:val="009E3798"/>
    <w:rsid w:val="009E74CE"/>
    <w:rsid w:val="009F07B9"/>
    <w:rsid w:val="009F22BD"/>
    <w:rsid w:val="009F3094"/>
    <w:rsid w:val="009F3CEF"/>
    <w:rsid w:val="009F5A4B"/>
    <w:rsid w:val="009F5FCA"/>
    <w:rsid w:val="009F7DDC"/>
    <w:rsid w:val="00A0023F"/>
    <w:rsid w:val="00A01BC4"/>
    <w:rsid w:val="00A020FD"/>
    <w:rsid w:val="00A044F7"/>
    <w:rsid w:val="00A04B2E"/>
    <w:rsid w:val="00A117AE"/>
    <w:rsid w:val="00A11801"/>
    <w:rsid w:val="00A12D00"/>
    <w:rsid w:val="00A143C3"/>
    <w:rsid w:val="00A1769B"/>
    <w:rsid w:val="00A216F3"/>
    <w:rsid w:val="00A24478"/>
    <w:rsid w:val="00A255CB"/>
    <w:rsid w:val="00A27676"/>
    <w:rsid w:val="00A279AB"/>
    <w:rsid w:val="00A3114F"/>
    <w:rsid w:val="00A33B47"/>
    <w:rsid w:val="00A34115"/>
    <w:rsid w:val="00A34745"/>
    <w:rsid w:val="00A36120"/>
    <w:rsid w:val="00A403AA"/>
    <w:rsid w:val="00A40C67"/>
    <w:rsid w:val="00A40F8D"/>
    <w:rsid w:val="00A42428"/>
    <w:rsid w:val="00A436D8"/>
    <w:rsid w:val="00A4401E"/>
    <w:rsid w:val="00A45832"/>
    <w:rsid w:val="00A51CC1"/>
    <w:rsid w:val="00A52549"/>
    <w:rsid w:val="00A54CC9"/>
    <w:rsid w:val="00A5518B"/>
    <w:rsid w:val="00A554D2"/>
    <w:rsid w:val="00A5564F"/>
    <w:rsid w:val="00A558FD"/>
    <w:rsid w:val="00A611F5"/>
    <w:rsid w:val="00A6210F"/>
    <w:rsid w:val="00A6387B"/>
    <w:rsid w:val="00A63D30"/>
    <w:rsid w:val="00A64380"/>
    <w:rsid w:val="00A65E56"/>
    <w:rsid w:val="00A71AC3"/>
    <w:rsid w:val="00A7203A"/>
    <w:rsid w:val="00A7207D"/>
    <w:rsid w:val="00A772FD"/>
    <w:rsid w:val="00A80677"/>
    <w:rsid w:val="00A80FB7"/>
    <w:rsid w:val="00A838E8"/>
    <w:rsid w:val="00A84086"/>
    <w:rsid w:val="00A855F4"/>
    <w:rsid w:val="00A85E64"/>
    <w:rsid w:val="00A87AF8"/>
    <w:rsid w:val="00A9261E"/>
    <w:rsid w:val="00A96A9C"/>
    <w:rsid w:val="00A97248"/>
    <w:rsid w:val="00AA0B3E"/>
    <w:rsid w:val="00AA1857"/>
    <w:rsid w:val="00AA19BC"/>
    <w:rsid w:val="00AA1B21"/>
    <w:rsid w:val="00AA25B5"/>
    <w:rsid w:val="00AA2E53"/>
    <w:rsid w:val="00AA3255"/>
    <w:rsid w:val="00AA3B61"/>
    <w:rsid w:val="00AA3D6D"/>
    <w:rsid w:val="00AA3F30"/>
    <w:rsid w:val="00AA7778"/>
    <w:rsid w:val="00AA7F00"/>
    <w:rsid w:val="00AB1867"/>
    <w:rsid w:val="00AB34BE"/>
    <w:rsid w:val="00AB4352"/>
    <w:rsid w:val="00AB4E1D"/>
    <w:rsid w:val="00AB76E4"/>
    <w:rsid w:val="00AB7BC6"/>
    <w:rsid w:val="00AC014A"/>
    <w:rsid w:val="00AC0EB8"/>
    <w:rsid w:val="00AC1CF5"/>
    <w:rsid w:val="00AC37BB"/>
    <w:rsid w:val="00AC3FC3"/>
    <w:rsid w:val="00AC52EB"/>
    <w:rsid w:val="00AC6448"/>
    <w:rsid w:val="00AC67DD"/>
    <w:rsid w:val="00AC7BC4"/>
    <w:rsid w:val="00AD08AB"/>
    <w:rsid w:val="00AD0EC3"/>
    <w:rsid w:val="00AD29FE"/>
    <w:rsid w:val="00AD2EBF"/>
    <w:rsid w:val="00AD342F"/>
    <w:rsid w:val="00AD3B0A"/>
    <w:rsid w:val="00AE042F"/>
    <w:rsid w:val="00AE1FE9"/>
    <w:rsid w:val="00AE2620"/>
    <w:rsid w:val="00AE2A2D"/>
    <w:rsid w:val="00AE2A84"/>
    <w:rsid w:val="00AE308D"/>
    <w:rsid w:val="00AE389A"/>
    <w:rsid w:val="00AE4120"/>
    <w:rsid w:val="00AE539F"/>
    <w:rsid w:val="00AE66D3"/>
    <w:rsid w:val="00AF43B2"/>
    <w:rsid w:val="00AF56F0"/>
    <w:rsid w:val="00B00A46"/>
    <w:rsid w:val="00B017F6"/>
    <w:rsid w:val="00B021FF"/>
    <w:rsid w:val="00B04BFE"/>
    <w:rsid w:val="00B0783B"/>
    <w:rsid w:val="00B136EB"/>
    <w:rsid w:val="00B1378E"/>
    <w:rsid w:val="00B2139F"/>
    <w:rsid w:val="00B22CC1"/>
    <w:rsid w:val="00B22FC4"/>
    <w:rsid w:val="00B25B27"/>
    <w:rsid w:val="00B274A5"/>
    <w:rsid w:val="00B352F5"/>
    <w:rsid w:val="00B35CD8"/>
    <w:rsid w:val="00B370C9"/>
    <w:rsid w:val="00B37CE9"/>
    <w:rsid w:val="00B42716"/>
    <w:rsid w:val="00B4473D"/>
    <w:rsid w:val="00B457C1"/>
    <w:rsid w:val="00B45C15"/>
    <w:rsid w:val="00B45E61"/>
    <w:rsid w:val="00B47910"/>
    <w:rsid w:val="00B5087F"/>
    <w:rsid w:val="00B5342C"/>
    <w:rsid w:val="00B5520B"/>
    <w:rsid w:val="00B5547B"/>
    <w:rsid w:val="00B56539"/>
    <w:rsid w:val="00B57AFB"/>
    <w:rsid w:val="00B60185"/>
    <w:rsid w:val="00B60DDB"/>
    <w:rsid w:val="00B63B9F"/>
    <w:rsid w:val="00B63D6B"/>
    <w:rsid w:val="00B65E5E"/>
    <w:rsid w:val="00B66EA9"/>
    <w:rsid w:val="00B70449"/>
    <w:rsid w:val="00B71483"/>
    <w:rsid w:val="00B754FD"/>
    <w:rsid w:val="00B761DD"/>
    <w:rsid w:val="00B80359"/>
    <w:rsid w:val="00B8091B"/>
    <w:rsid w:val="00B8216A"/>
    <w:rsid w:val="00B8521E"/>
    <w:rsid w:val="00B868C9"/>
    <w:rsid w:val="00B86BB9"/>
    <w:rsid w:val="00B9164C"/>
    <w:rsid w:val="00B92856"/>
    <w:rsid w:val="00B92CDC"/>
    <w:rsid w:val="00B94325"/>
    <w:rsid w:val="00B96635"/>
    <w:rsid w:val="00BA04E4"/>
    <w:rsid w:val="00BA2B98"/>
    <w:rsid w:val="00BA43BC"/>
    <w:rsid w:val="00BA62B3"/>
    <w:rsid w:val="00BA6F8B"/>
    <w:rsid w:val="00BB1A8C"/>
    <w:rsid w:val="00BD0405"/>
    <w:rsid w:val="00BD3EE6"/>
    <w:rsid w:val="00BD3FDC"/>
    <w:rsid w:val="00BD5558"/>
    <w:rsid w:val="00BD6BF2"/>
    <w:rsid w:val="00BE1D0B"/>
    <w:rsid w:val="00BE28EC"/>
    <w:rsid w:val="00BE477A"/>
    <w:rsid w:val="00BF0735"/>
    <w:rsid w:val="00BF0772"/>
    <w:rsid w:val="00BF1752"/>
    <w:rsid w:val="00BF1817"/>
    <w:rsid w:val="00BF2442"/>
    <w:rsid w:val="00BF4B15"/>
    <w:rsid w:val="00BF6683"/>
    <w:rsid w:val="00BF6C0C"/>
    <w:rsid w:val="00C011DA"/>
    <w:rsid w:val="00C06274"/>
    <w:rsid w:val="00C06AFB"/>
    <w:rsid w:val="00C10D9A"/>
    <w:rsid w:val="00C10F76"/>
    <w:rsid w:val="00C1211B"/>
    <w:rsid w:val="00C152AC"/>
    <w:rsid w:val="00C1697C"/>
    <w:rsid w:val="00C23EB9"/>
    <w:rsid w:val="00C24E67"/>
    <w:rsid w:val="00C25270"/>
    <w:rsid w:val="00C25354"/>
    <w:rsid w:val="00C25917"/>
    <w:rsid w:val="00C25F88"/>
    <w:rsid w:val="00C31095"/>
    <w:rsid w:val="00C31672"/>
    <w:rsid w:val="00C331DA"/>
    <w:rsid w:val="00C33EB3"/>
    <w:rsid w:val="00C361AB"/>
    <w:rsid w:val="00C36FAF"/>
    <w:rsid w:val="00C41142"/>
    <w:rsid w:val="00C41D7B"/>
    <w:rsid w:val="00C4527C"/>
    <w:rsid w:val="00C51090"/>
    <w:rsid w:val="00C54723"/>
    <w:rsid w:val="00C62663"/>
    <w:rsid w:val="00C65049"/>
    <w:rsid w:val="00C676DE"/>
    <w:rsid w:val="00C67A84"/>
    <w:rsid w:val="00C70827"/>
    <w:rsid w:val="00C73152"/>
    <w:rsid w:val="00C7686B"/>
    <w:rsid w:val="00C8281C"/>
    <w:rsid w:val="00C83B3B"/>
    <w:rsid w:val="00C84B8E"/>
    <w:rsid w:val="00C85235"/>
    <w:rsid w:val="00C86D68"/>
    <w:rsid w:val="00C87876"/>
    <w:rsid w:val="00C90A98"/>
    <w:rsid w:val="00C91C22"/>
    <w:rsid w:val="00C93973"/>
    <w:rsid w:val="00CA014E"/>
    <w:rsid w:val="00CA142D"/>
    <w:rsid w:val="00CA32D3"/>
    <w:rsid w:val="00CA54C6"/>
    <w:rsid w:val="00CA6AE8"/>
    <w:rsid w:val="00CB008D"/>
    <w:rsid w:val="00CB3574"/>
    <w:rsid w:val="00CB53C3"/>
    <w:rsid w:val="00CB6716"/>
    <w:rsid w:val="00CC0C50"/>
    <w:rsid w:val="00CC198C"/>
    <w:rsid w:val="00CC2395"/>
    <w:rsid w:val="00CC51F0"/>
    <w:rsid w:val="00CD22F7"/>
    <w:rsid w:val="00CD3593"/>
    <w:rsid w:val="00CD669B"/>
    <w:rsid w:val="00CD7554"/>
    <w:rsid w:val="00CD7E86"/>
    <w:rsid w:val="00CE25FB"/>
    <w:rsid w:val="00CE2CA5"/>
    <w:rsid w:val="00CE648E"/>
    <w:rsid w:val="00CF15C3"/>
    <w:rsid w:val="00CF3E99"/>
    <w:rsid w:val="00CF6378"/>
    <w:rsid w:val="00CF7713"/>
    <w:rsid w:val="00D011C0"/>
    <w:rsid w:val="00D019ED"/>
    <w:rsid w:val="00D0254F"/>
    <w:rsid w:val="00D055F4"/>
    <w:rsid w:val="00D05A7F"/>
    <w:rsid w:val="00D07834"/>
    <w:rsid w:val="00D12670"/>
    <w:rsid w:val="00D134E6"/>
    <w:rsid w:val="00D135AC"/>
    <w:rsid w:val="00D158D6"/>
    <w:rsid w:val="00D2098E"/>
    <w:rsid w:val="00D20F89"/>
    <w:rsid w:val="00D22D07"/>
    <w:rsid w:val="00D23495"/>
    <w:rsid w:val="00D25ADB"/>
    <w:rsid w:val="00D26D77"/>
    <w:rsid w:val="00D2740C"/>
    <w:rsid w:val="00D319C8"/>
    <w:rsid w:val="00D32DC0"/>
    <w:rsid w:val="00D3317E"/>
    <w:rsid w:val="00D361D1"/>
    <w:rsid w:val="00D4228C"/>
    <w:rsid w:val="00D44010"/>
    <w:rsid w:val="00D44616"/>
    <w:rsid w:val="00D44C2B"/>
    <w:rsid w:val="00D46D66"/>
    <w:rsid w:val="00D506D2"/>
    <w:rsid w:val="00D512DF"/>
    <w:rsid w:val="00D51380"/>
    <w:rsid w:val="00D52CA5"/>
    <w:rsid w:val="00D538E7"/>
    <w:rsid w:val="00D572A9"/>
    <w:rsid w:val="00D61647"/>
    <w:rsid w:val="00D61A16"/>
    <w:rsid w:val="00D62B0C"/>
    <w:rsid w:val="00D655EF"/>
    <w:rsid w:val="00D704F4"/>
    <w:rsid w:val="00D72792"/>
    <w:rsid w:val="00D73659"/>
    <w:rsid w:val="00D738CD"/>
    <w:rsid w:val="00D73A6E"/>
    <w:rsid w:val="00D820E6"/>
    <w:rsid w:val="00D841F3"/>
    <w:rsid w:val="00D86196"/>
    <w:rsid w:val="00D873C9"/>
    <w:rsid w:val="00D90448"/>
    <w:rsid w:val="00D910FB"/>
    <w:rsid w:val="00D919C1"/>
    <w:rsid w:val="00D9213F"/>
    <w:rsid w:val="00D924E6"/>
    <w:rsid w:val="00D925AD"/>
    <w:rsid w:val="00D95DAF"/>
    <w:rsid w:val="00D9664A"/>
    <w:rsid w:val="00DA3706"/>
    <w:rsid w:val="00DA3EB4"/>
    <w:rsid w:val="00DA4820"/>
    <w:rsid w:val="00DA5263"/>
    <w:rsid w:val="00DB01AE"/>
    <w:rsid w:val="00DB33FB"/>
    <w:rsid w:val="00DB7D04"/>
    <w:rsid w:val="00DC4F6F"/>
    <w:rsid w:val="00DC5ABE"/>
    <w:rsid w:val="00DC5D54"/>
    <w:rsid w:val="00DC711E"/>
    <w:rsid w:val="00DC7E8C"/>
    <w:rsid w:val="00DD248B"/>
    <w:rsid w:val="00DD3C3B"/>
    <w:rsid w:val="00DD5C77"/>
    <w:rsid w:val="00DD5C7C"/>
    <w:rsid w:val="00DD7B0B"/>
    <w:rsid w:val="00DD7C06"/>
    <w:rsid w:val="00DE18A4"/>
    <w:rsid w:val="00DE22A4"/>
    <w:rsid w:val="00DE3F25"/>
    <w:rsid w:val="00DE4C5F"/>
    <w:rsid w:val="00DE4E08"/>
    <w:rsid w:val="00DE6C68"/>
    <w:rsid w:val="00DF0F80"/>
    <w:rsid w:val="00DF130D"/>
    <w:rsid w:val="00DF243B"/>
    <w:rsid w:val="00DF27B9"/>
    <w:rsid w:val="00DF351A"/>
    <w:rsid w:val="00DF6551"/>
    <w:rsid w:val="00DF7851"/>
    <w:rsid w:val="00DF7EE2"/>
    <w:rsid w:val="00E00B17"/>
    <w:rsid w:val="00E01E27"/>
    <w:rsid w:val="00E0397B"/>
    <w:rsid w:val="00E04520"/>
    <w:rsid w:val="00E04642"/>
    <w:rsid w:val="00E05174"/>
    <w:rsid w:val="00E07FC8"/>
    <w:rsid w:val="00E17372"/>
    <w:rsid w:val="00E1781D"/>
    <w:rsid w:val="00E22057"/>
    <w:rsid w:val="00E24A1D"/>
    <w:rsid w:val="00E2720C"/>
    <w:rsid w:val="00E276BE"/>
    <w:rsid w:val="00E304D2"/>
    <w:rsid w:val="00E30906"/>
    <w:rsid w:val="00E30EB8"/>
    <w:rsid w:val="00E31B4F"/>
    <w:rsid w:val="00E32B6E"/>
    <w:rsid w:val="00E376CB"/>
    <w:rsid w:val="00E400C8"/>
    <w:rsid w:val="00E41453"/>
    <w:rsid w:val="00E430AF"/>
    <w:rsid w:val="00E4546D"/>
    <w:rsid w:val="00E45AA0"/>
    <w:rsid w:val="00E4671D"/>
    <w:rsid w:val="00E470C4"/>
    <w:rsid w:val="00E5298D"/>
    <w:rsid w:val="00E5438D"/>
    <w:rsid w:val="00E54BD2"/>
    <w:rsid w:val="00E676DE"/>
    <w:rsid w:val="00E67B24"/>
    <w:rsid w:val="00E70249"/>
    <w:rsid w:val="00E733AF"/>
    <w:rsid w:val="00E754E6"/>
    <w:rsid w:val="00E7550D"/>
    <w:rsid w:val="00E82500"/>
    <w:rsid w:val="00E8368A"/>
    <w:rsid w:val="00E86455"/>
    <w:rsid w:val="00E91574"/>
    <w:rsid w:val="00E91A5F"/>
    <w:rsid w:val="00E91BD0"/>
    <w:rsid w:val="00E921F0"/>
    <w:rsid w:val="00E92AE2"/>
    <w:rsid w:val="00E9450D"/>
    <w:rsid w:val="00E95540"/>
    <w:rsid w:val="00E965A0"/>
    <w:rsid w:val="00EA04CF"/>
    <w:rsid w:val="00EA094F"/>
    <w:rsid w:val="00EA0ECA"/>
    <w:rsid w:val="00EA1AB8"/>
    <w:rsid w:val="00EA1C92"/>
    <w:rsid w:val="00EA28F2"/>
    <w:rsid w:val="00EA4066"/>
    <w:rsid w:val="00EA472C"/>
    <w:rsid w:val="00EA56B7"/>
    <w:rsid w:val="00EB0EEF"/>
    <w:rsid w:val="00EB193D"/>
    <w:rsid w:val="00EB20FC"/>
    <w:rsid w:val="00EB39B2"/>
    <w:rsid w:val="00EB3F0B"/>
    <w:rsid w:val="00EB613C"/>
    <w:rsid w:val="00EC3625"/>
    <w:rsid w:val="00EC4E88"/>
    <w:rsid w:val="00EC6A31"/>
    <w:rsid w:val="00EC6EFB"/>
    <w:rsid w:val="00EC7DEB"/>
    <w:rsid w:val="00ED30C2"/>
    <w:rsid w:val="00ED33C5"/>
    <w:rsid w:val="00ED4CF6"/>
    <w:rsid w:val="00EE3E18"/>
    <w:rsid w:val="00EE6E14"/>
    <w:rsid w:val="00EE7F1E"/>
    <w:rsid w:val="00EF12FD"/>
    <w:rsid w:val="00EF1328"/>
    <w:rsid w:val="00EF1B33"/>
    <w:rsid w:val="00EF2DE8"/>
    <w:rsid w:val="00EF3FD8"/>
    <w:rsid w:val="00EF499F"/>
    <w:rsid w:val="00F00B7D"/>
    <w:rsid w:val="00F01819"/>
    <w:rsid w:val="00F02C37"/>
    <w:rsid w:val="00F04A1A"/>
    <w:rsid w:val="00F05316"/>
    <w:rsid w:val="00F054D0"/>
    <w:rsid w:val="00F067A8"/>
    <w:rsid w:val="00F073C0"/>
    <w:rsid w:val="00F107C1"/>
    <w:rsid w:val="00F119BB"/>
    <w:rsid w:val="00F11F59"/>
    <w:rsid w:val="00F11F76"/>
    <w:rsid w:val="00F12C05"/>
    <w:rsid w:val="00F146A3"/>
    <w:rsid w:val="00F1476C"/>
    <w:rsid w:val="00F15B5B"/>
    <w:rsid w:val="00F17B62"/>
    <w:rsid w:val="00F2002A"/>
    <w:rsid w:val="00F22188"/>
    <w:rsid w:val="00F22F79"/>
    <w:rsid w:val="00F251C4"/>
    <w:rsid w:val="00F25D61"/>
    <w:rsid w:val="00F32A35"/>
    <w:rsid w:val="00F32DA7"/>
    <w:rsid w:val="00F33B48"/>
    <w:rsid w:val="00F34233"/>
    <w:rsid w:val="00F37259"/>
    <w:rsid w:val="00F37A27"/>
    <w:rsid w:val="00F425FF"/>
    <w:rsid w:val="00F42708"/>
    <w:rsid w:val="00F42EC6"/>
    <w:rsid w:val="00F44D93"/>
    <w:rsid w:val="00F451B5"/>
    <w:rsid w:val="00F45FCD"/>
    <w:rsid w:val="00F46C41"/>
    <w:rsid w:val="00F47270"/>
    <w:rsid w:val="00F50395"/>
    <w:rsid w:val="00F50BFD"/>
    <w:rsid w:val="00F52FB5"/>
    <w:rsid w:val="00F536C4"/>
    <w:rsid w:val="00F542C7"/>
    <w:rsid w:val="00F56067"/>
    <w:rsid w:val="00F609F8"/>
    <w:rsid w:val="00F63640"/>
    <w:rsid w:val="00F6791A"/>
    <w:rsid w:val="00F70907"/>
    <w:rsid w:val="00F71CF5"/>
    <w:rsid w:val="00F75F29"/>
    <w:rsid w:val="00F7691D"/>
    <w:rsid w:val="00F771F7"/>
    <w:rsid w:val="00F8106C"/>
    <w:rsid w:val="00F83CA7"/>
    <w:rsid w:val="00F86179"/>
    <w:rsid w:val="00F907F9"/>
    <w:rsid w:val="00F91846"/>
    <w:rsid w:val="00F91DDF"/>
    <w:rsid w:val="00F94419"/>
    <w:rsid w:val="00F94A16"/>
    <w:rsid w:val="00F976A5"/>
    <w:rsid w:val="00F97971"/>
    <w:rsid w:val="00F97B14"/>
    <w:rsid w:val="00FA3AF7"/>
    <w:rsid w:val="00FA5929"/>
    <w:rsid w:val="00FA7385"/>
    <w:rsid w:val="00FB0E0A"/>
    <w:rsid w:val="00FB2D02"/>
    <w:rsid w:val="00FB3B96"/>
    <w:rsid w:val="00FB4B8B"/>
    <w:rsid w:val="00FB4D2B"/>
    <w:rsid w:val="00FB5B5D"/>
    <w:rsid w:val="00FC1929"/>
    <w:rsid w:val="00FC1D5A"/>
    <w:rsid w:val="00FC23EA"/>
    <w:rsid w:val="00FD1A68"/>
    <w:rsid w:val="00FD5555"/>
    <w:rsid w:val="00FD77C7"/>
    <w:rsid w:val="00FE007C"/>
    <w:rsid w:val="00FE07FB"/>
    <w:rsid w:val="00FE3F6B"/>
    <w:rsid w:val="00FE7EB5"/>
    <w:rsid w:val="00FF1685"/>
    <w:rsid w:val="00FF272F"/>
    <w:rsid w:val="00FF27CF"/>
    <w:rsid w:val="00FF2B80"/>
    <w:rsid w:val="00FF3376"/>
    <w:rsid w:val="00FF4858"/>
    <w:rsid w:val="00FF67BB"/>
    <w:rsid w:val="00FF6EB9"/>
    <w:rsid w:val="00FF7420"/>
    <w:rsid w:val="00FF74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DF1"/>
    <w:pPr>
      <w:jc w:val="both"/>
    </w:pPr>
    <w:rPr>
      <w:sz w:val="24"/>
      <w:szCs w:val="24"/>
      <w:lang w:val="en-GB" w:eastAsia="en-GB"/>
    </w:rPr>
  </w:style>
  <w:style w:type="paragraph" w:styleId="Heading1">
    <w:name w:val="heading 1"/>
    <w:aliases w:val="Main Section,Main Secti"/>
    <w:basedOn w:val="Normal"/>
    <w:next w:val="Normal"/>
    <w:qFormat/>
    <w:rsid w:val="003D5A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25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1380"/>
    <w:pPr>
      <w:keepNext/>
      <w:spacing w:before="240" w:after="60"/>
      <w:outlineLvl w:val="2"/>
    </w:pPr>
    <w:rPr>
      <w:rFonts w:ascii="Arial" w:hAnsi="Arial" w:cs="Arial"/>
      <w:b/>
      <w:bCs/>
      <w:sz w:val="26"/>
      <w:szCs w:val="26"/>
    </w:rPr>
  </w:style>
  <w:style w:type="paragraph" w:styleId="Heading4">
    <w:name w:val="heading 4"/>
    <w:basedOn w:val="Normal"/>
    <w:next w:val="NormalIndent"/>
    <w:qFormat/>
    <w:rsid w:val="000F6875"/>
    <w:pPr>
      <w:keepNext/>
      <w:spacing w:after="120"/>
      <w:outlineLvl w:val="3"/>
    </w:pPr>
    <w:rPr>
      <w:b/>
      <w:i/>
      <w:szCs w:val="20"/>
      <w:lang w:eastAsia="en-US"/>
    </w:rPr>
  </w:style>
  <w:style w:type="paragraph" w:styleId="Heading5">
    <w:name w:val="heading 5"/>
    <w:basedOn w:val="Normal"/>
    <w:next w:val="Normal"/>
    <w:qFormat/>
    <w:rsid w:val="000F6875"/>
    <w:pPr>
      <w:keepNext/>
      <w:outlineLvl w:val="4"/>
    </w:pPr>
    <w:rPr>
      <w:i/>
      <w:szCs w:val="20"/>
      <w:lang w:eastAsia="en-US"/>
    </w:rPr>
  </w:style>
  <w:style w:type="paragraph" w:styleId="Heading6">
    <w:name w:val="heading 6"/>
    <w:basedOn w:val="Normal"/>
    <w:next w:val="NormalIndent"/>
    <w:qFormat/>
    <w:rsid w:val="000F6875"/>
    <w:pPr>
      <w:outlineLvl w:val="5"/>
    </w:pPr>
    <w:rPr>
      <w:szCs w:val="20"/>
      <w:u w:val="single"/>
      <w:lang w:eastAsia="en-US"/>
    </w:rPr>
  </w:style>
  <w:style w:type="paragraph" w:styleId="Heading7">
    <w:name w:val="heading 7"/>
    <w:basedOn w:val="Normal"/>
    <w:next w:val="NormalIndent"/>
    <w:qFormat/>
    <w:rsid w:val="000F6875"/>
    <w:pPr>
      <w:outlineLvl w:val="6"/>
    </w:pPr>
    <w:rPr>
      <w:i/>
      <w:szCs w:val="20"/>
      <w:lang w:eastAsia="en-US"/>
    </w:rPr>
  </w:style>
  <w:style w:type="paragraph" w:styleId="Heading8">
    <w:name w:val="heading 8"/>
    <w:basedOn w:val="Normal"/>
    <w:next w:val="Normal"/>
    <w:qFormat/>
    <w:rsid w:val="000F6875"/>
    <w:pPr>
      <w:spacing w:before="240" w:after="60"/>
      <w:outlineLvl w:val="7"/>
    </w:pPr>
    <w:rPr>
      <w:i/>
      <w:szCs w:val="20"/>
      <w:lang w:eastAsia="en-US"/>
    </w:rPr>
  </w:style>
  <w:style w:type="paragraph" w:styleId="Heading9">
    <w:name w:val="heading 9"/>
    <w:basedOn w:val="Normal"/>
    <w:next w:val="NormalIndent"/>
    <w:qFormat/>
    <w:rsid w:val="000F6875"/>
    <w:pPr>
      <w:outlineLvl w:val="8"/>
    </w:pPr>
    <w:rPr>
      <w:i/>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0C50"/>
    <w:pPr>
      <w:tabs>
        <w:tab w:val="center" w:pos="4320"/>
        <w:tab w:val="right" w:pos="8640"/>
      </w:tabs>
    </w:pPr>
  </w:style>
  <w:style w:type="paragraph" w:styleId="Footer">
    <w:name w:val="footer"/>
    <w:basedOn w:val="Normal"/>
    <w:rsid w:val="00CC0C50"/>
    <w:pPr>
      <w:tabs>
        <w:tab w:val="center" w:pos="4320"/>
        <w:tab w:val="right" w:pos="8640"/>
      </w:tabs>
    </w:pPr>
  </w:style>
  <w:style w:type="table" w:styleId="TableGrid">
    <w:name w:val="Table Grid"/>
    <w:basedOn w:val="TableNormal"/>
    <w:rsid w:val="00C23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
    <w:basedOn w:val="Normal"/>
    <w:link w:val="FootnoteTextChar"/>
    <w:semiHidden/>
    <w:rsid w:val="001E5DF1"/>
    <w:rPr>
      <w:sz w:val="20"/>
      <w:szCs w:val="20"/>
    </w:rPr>
  </w:style>
  <w:style w:type="character" w:styleId="FootnoteReference">
    <w:name w:val="footnote reference"/>
    <w:semiHidden/>
    <w:rsid w:val="001E5DF1"/>
    <w:rPr>
      <w:vertAlign w:val="superscript"/>
    </w:rPr>
  </w:style>
  <w:style w:type="paragraph" w:customStyle="1" w:styleId="Address">
    <w:name w:val="Address"/>
    <w:basedOn w:val="Normal"/>
    <w:rsid w:val="001E5DF1"/>
  </w:style>
  <w:style w:type="paragraph" w:styleId="TOC1">
    <w:name w:val="toc 1"/>
    <w:basedOn w:val="Normal"/>
    <w:next w:val="Normal"/>
    <w:autoRedefine/>
    <w:uiPriority w:val="39"/>
    <w:rsid w:val="003D5AAB"/>
  </w:style>
  <w:style w:type="character" w:styleId="Hyperlink">
    <w:name w:val="Hyperlink"/>
    <w:uiPriority w:val="99"/>
    <w:rsid w:val="003D5AAB"/>
    <w:rPr>
      <w:color w:val="0000FF"/>
      <w:u w:val="single"/>
    </w:rPr>
  </w:style>
  <w:style w:type="character" w:styleId="PageNumber">
    <w:name w:val="page number"/>
    <w:basedOn w:val="DefaultParagraphFont"/>
    <w:rsid w:val="00EC3625"/>
  </w:style>
  <w:style w:type="paragraph" w:customStyle="1" w:styleId="Normalparanumbers">
    <w:name w:val="Normal para numbers"/>
    <w:basedOn w:val="Normal"/>
    <w:rsid w:val="00A42428"/>
    <w:pPr>
      <w:numPr>
        <w:ilvl w:val="1"/>
        <w:numId w:val="1"/>
      </w:numPr>
      <w:spacing w:after="240" w:line="280" w:lineRule="atLeast"/>
      <w:jc w:val="left"/>
    </w:pPr>
    <w:rPr>
      <w:color w:val="000080"/>
      <w:sz w:val="20"/>
      <w:szCs w:val="20"/>
    </w:rPr>
  </w:style>
  <w:style w:type="paragraph" w:customStyle="1" w:styleId="AppendixHeader">
    <w:name w:val="Appendix Header"/>
    <w:basedOn w:val="Heading1"/>
    <w:rsid w:val="00A42428"/>
    <w:pPr>
      <w:keepNext w:val="0"/>
      <w:pageBreakBefore/>
      <w:numPr>
        <w:numId w:val="1"/>
      </w:numPr>
      <w:spacing w:before="0" w:after="280" w:line="280" w:lineRule="atLeast"/>
      <w:jc w:val="left"/>
    </w:pPr>
    <w:rPr>
      <w:rFonts w:ascii="Time New Roman" w:hAnsi="Time New Roman" w:cs="Times New Roman"/>
      <w:bCs w:val="0"/>
      <w:color w:val="000080"/>
      <w:kern w:val="0"/>
      <w:sz w:val="28"/>
      <w:szCs w:val="20"/>
    </w:rPr>
  </w:style>
  <w:style w:type="paragraph" w:styleId="TOC2">
    <w:name w:val="toc 2"/>
    <w:basedOn w:val="Normal"/>
    <w:next w:val="Normal"/>
    <w:autoRedefine/>
    <w:uiPriority w:val="39"/>
    <w:rsid w:val="00471EB0"/>
    <w:pPr>
      <w:ind w:left="240"/>
    </w:pPr>
  </w:style>
  <w:style w:type="paragraph" w:customStyle="1" w:styleId="paragraph">
    <w:name w:val="paragraph"/>
    <w:basedOn w:val="BodyText"/>
    <w:rsid w:val="00AB4E1D"/>
    <w:pPr>
      <w:ind w:left="1701"/>
      <w:jc w:val="left"/>
    </w:pPr>
    <w:rPr>
      <w:color w:val="0000FF"/>
      <w:sz w:val="20"/>
      <w:szCs w:val="20"/>
    </w:rPr>
  </w:style>
  <w:style w:type="paragraph" w:styleId="BodyText">
    <w:name w:val="Body Text"/>
    <w:basedOn w:val="Normal"/>
    <w:rsid w:val="00AB4E1D"/>
    <w:pPr>
      <w:spacing w:after="120"/>
    </w:pPr>
  </w:style>
  <w:style w:type="paragraph" w:customStyle="1" w:styleId="xl24">
    <w:name w:val="xl24"/>
    <w:basedOn w:val="Normal"/>
    <w:rsid w:val="002522E6"/>
    <w:pPr>
      <w:spacing w:before="100" w:beforeAutospacing="1" w:after="100" w:afterAutospacing="1"/>
      <w:jc w:val="left"/>
    </w:pPr>
    <w:rPr>
      <w:rFonts w:ascii="Arial" w:eastAsia="Arial Unicode MS" w:hAnsi="Arial" w:cs="Arial"/>
      <w:b/>
      <w:bCs/>
      <w:sz w:val="20"/>
      <w:lang w:val="en-US" w:eastAsia="en-US"/>
    </w:rPr>
  </w:style>
  <w:style w:type="paragraph" w:styleId="BalloonText">
    <w:name w:val="Balloon Text"/>
    <w:basedOn w:val="Normal"/>
    <w:semiHidden/>
    <w:rsid w:val="009667C1"/>
    <w:rPr>
      <w:rFonts w:ascii="Tahoma" w:hAnsi="Tahoma" w:cs="Tahoma"/>
      <w:sz w:val="16"/>
      <w:szCs w:val="16"/>
    </w:rPr>
  </w:style>
  <w:style w:type="character" w:styleId="Strong">
    <w:name w:val="Strong"/>
    <w:qFormat/>
    <w:rsid w:val="005D4327"/>
    <w:rPr>
      <w:b/>
      <w:bCs/>
    </w:rPr>
  </w:style>
  <w:style w:type="paragraph" w:styleId="BodyTextIndent3">
    <w:name w:val="Body Text Indent 3"/>
    <w:basedOn w:val="Normal"/>
    <w:rsid w:val="00D51380"/>
    <w:pPr>
      <w:spacing w:after="120"/>
      <w:ind w:left="283"/>
    </w:pPr>
    <w:rPr>
      <w:sz w:val="16"/>
      <w:szCs w:val="16"/>
    </w:rPr>
  </w:style>
  <w:style w:type="paragraph" w:styleId="NormalIndent">
    <w:name w:val="Normal Indent"/>
    <w:basedOn w:val="Normal"/>
    <w:rsid w:val="00D51380"/>
    <w:pPr>
      <w:ind w:left="720"/>
    </w:pPr>
  </w:style>
  <w:style w:type="paragraph" w:customStyle="1" w:styleId="NormalLatinArial">
    <w:name w:val="Normal + (Latin) Arial"/>
    <w:aliases w:val="(Latin) Bold,Before:  0,95 cm,Before:  18 pt,After... ..."/>
    <w:basedOn w:val="Normal"/>
    <w:link w:val="NormalLatinArialChar"/>
    <w:rsid w:val="00D51380"/>
    <w:pPr>
      <w:jc w:val="left"/>
    </w:pPr>
    <w:rPr>
      <w:rFonts w:ascii="Arial" w:hAnsi="Arial" w:cs="Arial"/>
      <w:lang w:eastAsia="sl-SI"/>
    </w:rPr>
  </w:style>
  <w:style w:type="character" w:customStyle="1" w:styleId="NormalLatinArialChar">
    <w:name w:val="Normal + (Latin) Arial Char"/>
    <w:aliases w:val="(Latin) Bold Char,Before:  0 Char,95 cm Char,Before:  18 pt Char,After... ... Char"/>
    <w:link w:val="NormalLatinArial"/>
    <w:locked/>
    <w:rsid w:val="00D51380"/>
    <w:rPr>
      <w:rFonts w:ascii="Arial" w:hAnsi="Arial" w:cs="Arial"/>
      <w:sz w:val="24"/>
      <w:szCs w:val="24"/>
      <w:lang w:val="en-GB" w:eastAsia="sl-SI" w:bidi="ar-SA"/>
    </w:rPr>
  </w:style>
  <w:style w:type="paragraph" w:customStyle="1" w:styleId="AIOCNORMALBOLD">
    <w:name w:val="AIOC NORMAL BOLD"/>
    <w:basedOn w:val="Normal"/>
    <w:rsid w:val="00617943"/>
    <w:pPr>
      <w:tabs>
        <w:tab w:val="left" w:pos="1134"/>
        <w:tab w:val="left" w:pos="1440"/>
      </w:tabs>
      <w:spacing w:line="280" w:lineRule="atLeast"/>
      <w:jc w:val="left"/>
    </w:pPr>
    <w:rPr>
      <w:b/>
      <w:sz w:val="22"/>
      <w:szCs w:val="20"/>
      <w:lang w:eastAsia="en-US"/>
    </w:rPr>
  </w:style>
  <w:style w:type="paragraph" w:customStyle="1" w:styleId="Header-Contents">
    <w:name w:val="Header - Contents"/>
    <w:basedOn w:val="Normal"/>
    <w:rsid w:val="002E3A9D"/>
    <w:pPr>
      <w:tabs>
        <w:tab w:val="right" w:pos="8789"/>
      </w:tabs>
      <w:spacing w:line="240" w:lineRule="exact"/>
      <w:jc w:val="left"/>
    </w:pPr>
    <w:rPr>
      <w:rFonts w:ascii="Arial" w:hAnsi="Arial"/>
      <w:kern w:val="48"/>
      <w:sz w:val="20"/>
      <w:szCs w:val="20"/>
      <w:lang w:eastAsia="en-US"/>
    </w:rPr>
  </w:style>
  <w:style w:type="character" w:styleId="CommentReference">
    <w:name w:val="annotation reference"/>
    <w:semiHidden/>
    <w:rsid w:val="00946299"/>
    <w:rPr>
      <w:sz w:val="16"/>
      <w:szCs w:val="16"/>
    </w:rPr>
  </w:style>
  <w:style w:type="paragraph" w:styleId="CommentText">
    <w:name w:val="annotation text"/>
    <w:basedOn w:val="Normal"/>
    <w:semiHidden/>
    <w:rsid w:val="00946299"/>
    <w:rPr>
      <w:sz w:val="20"/>
      <w:szCs w:val="20"/>
    </w:rPr>
  </w:style>
  <w:style w:type="paragraph" w:styleId="CommentSubject">
    <w:name w:val="annotation subject"/>
    <w:basedOn w:val="CommentText"/>
    <w:next w:val="CommentText"/>
    <w:semiHidden/>
    <w:rsid w:val="00946299"/>
    <w:rPr>
      <w:b/>
      <w:bCs/>
    </w:rPr>
  </w:style>
  <w:style w:type="paragraph" w:styleId="DocumentMap">
    <w:name w:val="Document Map"/>
    <w:basedOn w:val="Normal"/>
    <w:link w:val="DocumentMapChar"/>
    <w:rsid w:val="00745969"/>
    <w:rPr>
      <w:rFonts w:ascii="Tahoma" w:hAnsi="Tahoma"/>
      <w:sz w:val="16"/>
      <w:szCs w:val="16"/>
    </w:rPr>
  </w:style>
  <w:style w:type="character" w:customStyle="1" w:styleId="DocumentMapChar">
    <w:name w:val="Document Map Char"/>
    <w:link w:val="DocumentMap"/>
    <w:rsid w:val="00745969"/>
    <w:rPr>
      <w:rFonts w:ascii="Tahoma" w:hAnsi="Tahoma" w:cs="Tahoma"/>
      <w:sz w:val="16"/>
      <w:szCs w:val="16"/>
      <w:lang w:val="en-GB" w:eastAsia="en-GB"/>
    </w:rPr>
  </w:style>
  <w:style w:type="paragraph" w:styleId="ListParagraph">
    <w:name w:val="List Paragraph"/>
    <w:basedOn w:val="Normal"/>
    <w:uiPriority w:val="34"/>
    <w:qFormat/>
    <w:rsid w:val="00880614"/>
    <w:pPr>
      <w:ind w:left="720"/>
    </w:pPr>
  </w:style>
  <w:style w:type="paragraph" w:styleId="Revision">
    <w:name w:val="Revision"/>
    <w:hidden/>
    <w:uiPriority w:val="99"/>
    <w:semiHidden/>
    <w:rsid w:val="00C85235"/>
    <w:rPr>
      <w:sz w:val="24"/>
      <w:szCs w:val="24"/>
      <w:lang w:val="en-GB" w:eastAsia="en-GB"/>
    </w:rPr>
  </w:style>
  <w:style w:type="table" w:styleId="TableColumns3">
    <w:name w:val="Table Columns 3"/>
    <w:basedOn w:val="TableNormal"/>
    <w:rsid w:val="00BF6C0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E825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rsid w:val="008F48B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920A15"/>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
    <w:name w:val="Footnote Text Char"/>
    <w:aliases w:val="ft Char"/>
    <w:link w:val="FootnoteText"/>
    <w:semiHidden/>
    <w:locked/>
    <w:rsid w:val="0014217D"/>
    <w:rPr>
      <w:lang w:val="en-GB" w:eastAsia="en-GB"/>
    </w:rPr>
  </w:style>
  <w:style w:type="paragraph" w:customStyle="1" w:styleId="Titletype">
    <w:name w:val="Title: type"/>
    <w:next w:val="Normal"/>
    <w:qFormat/>
    <w:rsid w:val="00E91BD0"/>
    <w:pPr>
      <w:spacing w:before="2240" w:after="240" w:line="510" w:lineRule="exact"/>
      <w:ind w:left="5103" w:right="-340"/>
    </w:pPr>
    <w:rPr>
      <w:rFonts w:ascii="Arial" w:hAnsi="Arial"/>
      <w:b/>
      <w:bCs/>
      <w:color w:val="003352"/>
      <w:spacing w:val="8"/>
      <w:sz w:val="24"/>
      <w:szCs w:val="24"/>
      <w:lang w:val="en-GB"/>
    </w:rPr>
  </w:style>
  <w:style w:type="paragraph" w:customStyle="1" w:styleId="Titlemain">
    <w:name w:val="Title: main"/>
    <w:next w:val="Normal"/>
    <w:qFormat/>
    <w:rsid w:val="00E91BD0"/>
    <w:pPr>
      <w:spacing w:after="40" w:line="510" w:lineRule="exact"/>
      <w:ind w:left="5103" w:right="-397"/>
    </w:pPr>
    <w:rPr>
      <w:rFonts w:ascii="Arial" w:hAnsi="Arial"/>
      <w:bCs/>
      <w:spacing w:val="8"/>
      <w:sz w:val="34"/>
      <w:szCs w:val="34"/>
      <w:lang w:val="en-GB"/>
    </w:rPr>
  </w:style>
  <w:style w:type="paragraph" w:customStyle="1" w:styleId="Titleauthor">
    <w:name w:val="Title: author"/>
    <w:basedOn w:val="Titletype"/>
    <w:next w:val="Normal"/>
    <w:qFormat/>
    <w:rsid w:val="00E91BD0"/>
    <w:pPr>
      <w:spacing w:before="0" w:after="40" w:line="280" w:lineRule="exact"/>
    </w:pPr>
    <w:rPr>
      <w:b w:val="0"/>
      <w:sz w:val="19"/>
      <w:szCs w:val="19"/>
    </w:rPr>
  </w:style>
  <w:style w:type="character" w:customStyle="1" w:styleId="WW8Num14z2">
    <w:name w:val="WW8Num14z2"/>
    <w:rsid w:val="008651B3"/>
    <w:rPr>
      <w:rFonts w:ascii="Wingdings" w:hAnsi="Wingdings"/>
    </w:rPr>
  </w:style>
</w:styles>
</file>

<file path=word/webSettings.xml><?xml version="1.0" encoding="utf-8"?>
<w:webSettings xmlns:r="http://schemas.openxmlformats.org/officeDocument/2006/relationships" xmlns:w="http://schemas.openxmlformats.org/wordprocessingml/2006/main">
  <w:divs>
    <w:div w:id="858446">
      <w:bodyDiv w:val="1"/>
      <w:marLeft w:val="0"/>
      <w:marRight w:val="0"/>
      <w:marTop w:val="0"/>
      <w:marBottom w:val="0"/>
      <w:divBdr>
        <w:top w:val="none" w:sz="0" w:space="0" w:color="auto"/>
        <w:left w:val="none" w:sz="0" w:space="0" w:color="auto"/>
        <w:bottom w:val="none" w:sz="0" w:space="0" w:color="auto"/>
        <w:right w:val="none" w:sz="0" w:space="0" w:color="auto"/>
      </w:divBdr>
    </w:div>
    <w:div w:id="47147644">
      <w:bodyDiv w:val="1"/>
      <w:marLeft w:val="0"/>
      <w:marRight w:val="0"/>
      <w:marTop w:val="0"/>
      <w:marBottom w:val="0"/>
      <w:divBdr>
        <w:top w:val="none" w:sz="0" w:space="0" w:color="auto"/>
        <w:left w:val="none" w:sz="0" w:space="0" w:color="auto"/>
        <w:bottom w:val="none" w:sz="0" w:space="0" w:color="auto"/>
        <w:right w:val="none" w:sz="0" w:space="0" w:color="auto"/>
      </w:divBdr>
      <w:divsChild>
        <w:div w:id="410583070">
          <w:marLeft w:val="0"/>
          <w:marRight w:val="0"/>
          <w:marTop w:val="0"/>
          <w:marBottom w:val="0"/>
          <w:divBdr>
            <w:top w:val="none" w:sz="0" w:space="0" w:color="auto"/>
            <w:left w:val="none" w:sz="0" w:space="0" w:color="auto"/>
            <w:bottom w:val="none" w:sz="0" w:space="0" w:color="auto"/>
            <w:right w:val="none" w:sz="0" w:space="0" w:color="auto"/>
          </w:divBdr>
          <w:divsChild>
            <w:div w:id="190145453">
              <w:marLeft w:val="0"/>
              <w:marRight w:val="0"/>
              <w:marTop w:val="0"/>
              <w:marBottom w:val="0"/>
              <w:divBdr>
                <w:top w:val="none" w:sz="0" w:space="0" w:color="auto"/>
                <w:left w:val="none" w:sz="0" w:space="0" w:color="auto"/>
                <w:bottom w:val="none" w:sz="0" w:space="0" w:color="auto"/>
                <w:right w:val="none" w:sz="0" w:space="0" w:color="auto"/>
              </w:divBdr>
            </w:div>
            <w:div w:id="721908613">
              <w:marLeft w:val="0"/>
              <w:marRight w:val="0"/>
              <w:marTop w:val="0"/>
              <w:marBottom w:val="0"/>
              <w:divBdr>
                <w:top w:val="none" w:sz="0" w:space="0" w:color="auto"/>
                <w:left w:val="none" w:sz="0" w:space="0" w:color="auto"/>
                <w:bottom w:val="none" w:sz="0" w:space="0" w:color="auto"/>
                <w:right w:val="none" w:sz="0" w:space="0" w:color="auto"/>
              </w:divBdr>
            </w:div>
            <w:div w:id="17427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0664">
      <w:bodyDiv w:val="1"/>
      <w:marLeft w:val="0"/>
      <w:marRight w:val="0"/>
      <w:marTop w:val="0"/>
      <w:marBottom w:val="0"/>
      <w:divBdr>
        <w:top w:val="none" w:sz="0" w:space="0" w:color="auto"/>
        <w:left w:val="none" w:sz="0" w:space="0" w:color="auto"/>
        <w:bottom w:val="none" w:sz="0" w:space="0" w:color="auto"/>
        <w:right w:val="none" w:sz="0" w:space="0" w:color="auto"/>
      </w:divBdr>
    </w:div>
    <w:div w:id="63726587">
      <w:bodyDiv w:val="1"/>
      <w:marLeft w:val="0"/>
      <w:marRight w:val="0"/>
      <w:marTop w:val="0"/>
      <w:marBottom w:val="0"/>
      <w:divBdr>
        <w:top w:val="none" w:sz="0" w:space="0" w:color="auto"/>
        <w:left w:val="none" w:sz="0" w:space="0" w:color="auto"/>
        <w:bottom w:val="none" w:sz="0" w:space="0" w:color="auto"/>
        <w:right w:val="none" w:sz="0" w:space="0" w:color="auto"/>
      </w:divBdr>
    </w:div>
    <w:div w:id="85809198">
      <w:bodyDiv w:val="1"/>
      <w:marLeft w:val="0"/>
      <w:marRight w:val="0"/>
      <w:marTop w:val="0"/>
      <w:marBottom w:val="0"/>
      <w:divBdr>
        <w:top w:val="none" w:sz="0" w:space="0" w:color="auto"/>
        <w:left w:val="none" w:sz="0" w:space="0" w:color="auto"/>
        <w:bottom w:val="none" w:sz="0" w:space="0" w:color="auto"/>
        <w:right w:val="none" w:sz="0" w:space="0" w:color="auto"/>
      </w:divBdr>
    </w:div>
    <w:div w:id="98647807">
      <w:bodyDiv w:val="1"/>
      <w:marLeft w:val="0"/>
      <w:marRight w:val="0"/>
      <w:marTop w:val="0"/>
      <w:marBottom w:val="0"/>
      <w:divBdr>
        <w:top w:val="none" w:sz="0" w:space="0" w:color="auto"/>
        <w:left w:val="none" w:sz="0" w:space="0" w:color="auto"/>
        <w:bottom w:val="none" w:sz="0" w:space="0" w:color="auto"/>
        <w:right w:val="none" w:sz="0" w:space="0" w:color="auto"/>
      </w:divBdr>
    </w:div>
    <w:div w:id="101725058">
      <w:bodyDiv w:val="1"/>
      <w:marLeft w:val="0"/>
      <w:marRight w:val="0"/>
      <w:marTop w:val="0"/>
      <w:marBottom w:val="0"/>
      <w:divBdr>
        <w:top w:val="none" w:sz="0" w:space="0" w:color="auto"/>
        <w:left w:val="none" w:sz="0" w:space="0" w:color="auto"/>
        <w:bottom w:val="none" w:sz="0" w:space="0" w:color="auto"/>
        <w:right w:val="none" w:sz="0" w:space="0" w:color="auto"/>
      </w:divBdr>
    </w:div>
    <w:div w:id="122232168">
      <w:bodyDiv w:val="1"/>
      <w:marLeft w:val="0"/>
      <w:marRight w:val="0"/>
      <w:marTop w:val="0"/>
      <w:marBottom w:val="0"/>
      <w:divBdr>
        <w:top w:val="none" w:sz="0" w:space="0" w:color="auto"/>
        <w:left w:val="none" w:sz="0" w:space="0" w:color="auto"/>
        <w:bottom w:val="none" w:sz="0" w:space="0" w:color="auto"/>
        <w:right w:val="none" w:sz="0" w:space="0" w:color="auto"/>
      </w:divBdr>
    </w:div>
    <w:div w:id="127936295">
      <w:bodyDiv w:val="1"/>
      <w:marLeft w:val="0"/>
      <w:marRight w:val="0"/>
      <w:marTop w:val="0"/>
      <w:marBottom w:val="0"/>
      <w:divBdr>
        <w:top w:val="none" w:sz="0" w:space="0" w:color="auto"/>
        <w:left w:val="none" w:sz="0" w:space="0" w:color="auto"/>
        <w:bottom w:val="none" w:sz="0" w:space="0" w:color="auto"/>
        <w:right w:val="none" w:sz="0" w:space="0" w:color="auto"/>
      </w:divBdr>
    </w:div>
    <w:div w:id="171072044">
      <w:bodyDiv w:val="1"/>
      <w:marLeft w:val="0"/>
      <w:marRight w:val="0"/>
      <w:marTop w:val="0"/>
      <w:marBottom w:val="0"/>
      <w:divBdr>
        <w:top w:val="none" w:sz="0" w:space="0" w:color="auto"/>
        <w:left w:val="none" w:sz="0" w:space="0" w:color="auto"/>
        <w:bottom w:val="none" w:sz="0" w:space="0" w:color="auto"/>
        <w:right w:val="none" w:sz="0" w:space="0" w:color="auto"/>
      </w:divBdr>
    </w:div>
    <w:div w:id="200358901">
      <w:bodyDiv w:val="1"/>
      <w:marLeft w:val="0"/>
      <w:marRight w:val="0"/>
      <w:marTop w:val="0"/>
      <w:marBottom w:val="0"/>
      <w:divBdr>
        <w:top w:val="none" w:sz="0" w:space="0" w:color="auto"/>
        <w:left w:val="none" w:sz="0" w:space="0" w:color="auto"/>
        <w:bottom w:val="none" w:sz="0" w:space="0" w:color="auto"/>
        <w:right w:val="none" w:sz="0" w:space="0" w:color="auto"/>
      </w:divBdr>
    </w:div>
    <w:div w:id="228421000">
      <w:bodyDiv w:val="1"/>
      <w:marLeft w:val="0"/>
      <w:marRight w:val="0"/>
      <w:marTop w:val="0"/>
      <w:marBottom w:val="0"/>
      <w:divBdr>
        <w:top w:val="none" w:sz="0" w:space="0" w:color="auto"/>
        <w:left w:val="none" w:sz="0" w:space="0" w:color="auto"/>
        <w:bottom w:val="none" w:sz="0" w:space="0" w:color="auto"/>
        <w:right w:val="none" w:sz="0" w:space="0" w:color="auto"/>
      </w:divBdr>
    </w:div>
    <w:div w:id="236016338">
      <w:bodyDiv w:val="1"/>
      <w:marLeft w:val="0"/>
      <w:marRight w:val="0"/>
      <w:marTop w:val="0"/>
      <w:marBottom w:val="0"/>
      <w:divBdr>
        <w:top w:val="none" w:sz="0" w:space="0" w:color="auto"/>
        <w:left w:val="none" w:sz="0" w:space="0" w:color="auto"/>
        <w:bottom w:val="none" w:sz="0" w:space="0" w:color="auto"/>
        <w:right w:val="none" w:sz="0" w:space="0" w:color="auto"/>
      </w:divBdr>
    </w:div>
    <w:div w:id="238252572">
      <w:bodyDiv w:val="1"/>
      <w:marLeft w:val="0"/>
      <w:marRight w:val="0"/>
      <w:marTop w:val="0"/>
      <w:marBottom w:val="0"/>
      <w:divBdr>
        <w:top w:val="none" w:sz="0" w:space="0" w:color="auto"/>
        <w:left w:val="none" w:sz="0" w:space="0" w:color="auto"/>
        <w:bottom w:val="none" w:sz="0" w:space="0" w:color="auto"/>
        <w:right w:val="none" w:sz="0" w:space="0" w:color="auto"/>
      </w:divBdr>
    </w:div>
    <w:div w:id="243496763">
      <w:bodyDiv w:val="1"/>
      <w:marLeft w:val="0"/>
      <w:marRight w:val="0"/>
      <w:marTop w:val="0"/>
      <w:marBottom w:val="0"/>
      <w:divBdr>
        <w:top w:val="none" w:sz="0" w:space="0" w:color="auto"/>
        <w:left w:val="none" w:sz="0" w:space="0" w:color="auto"/>
        <w:bottom w:val="none" w:sz="0" w:space="0" w:color="auto"/>
        <w:right w:val="none" w:sz="0" w:space="0" w:color="auto"/>
      </w:divBdr>
    </w:div>
    <w:div w:id="251352021">
      <w:bodyDiv w:val="1"/>
      <w:marLeft w:val="0"/>
      <w:marRight w:val="0"/>
      <w:marTop w:val="0"/>
      <w:marBottom w:val="0"/>
      <w:divBdr>
        <w:top w:val="none" w:sz="0" w:space="0" w:color="auto"/>
        <w:left w:val="none" w:sz="0" w:space="0" w:color="auto"/>
        <w:bottom w:val="none" w:sz="0" w:space="0" w:color="auto"/>
        <w:right w:val="none" w:sz="0" w:space="0" w:color="auto"/>
      </w:divBdr>
    </w:div>
    <w:div w:id="267781270">
      <w:bodyDiv w:val="1"/>
      <w:marLeft w:val="0"/>
      <w:marRight w:val="0"/>
      <w:marTop w:val="0"/>
      <w:marBottom w:val="0"/>
      <w:divBdr>
        <w:top w:val="none" w:sz="0" w:space="0" w:color="auto"/>
        <w:left w:val="none" w:sz="0" w:space="0" w:color="auto"/>
        <w:bottom w:val="none" w:sz="0" w:space="0" w:color="auto"/>
        <w:right w:val="none" w:sz="0" w:space="0" w:color="auto"/>
      </w:divBdr>
    </w:div>
    <w:div w:id="314602923">
      <w:bodyDiv w:val="1"/>
      <w:marLeft w:val="0"/>
      <w:marRight w:val="0"/>
      <w:marTop w:val="0"/>
      <w:marBottom w:val="0"/>
      <w:divBdr>
        <w:top w:val="none" w:sz="0" w:space="0" w:color="auto"/>
        <w:left w:val="none" w:sz="0" w:space="0" w:color="auto"/>
        <w:bottom w:val="none" w:sz="0" w:space="0" w:color="auto"/>
        <w:right w:val="none" w:sz="0" w:space="0" w:color="auto"/>
      </w:divBdr>
    </w:div>
    <w:div w:id="319702210">
      <w:bodyDiv w:val="1"/>
      <w:marLeft w:val="0"/>
      <w:marRight w:val="0"/>
      <w:marTop w:val="0"/>
      <w:marBottom w:val="0"/>
      <w:divBdr>
        <w:top w:val="none" w:sz="0" w:space="0" w:color="auto"/>
        <w:left w:val="none" w:sz="0" w:space="0" w:color="auto"/>
        <w:bottom w:val="none" w:sz="0" w:space="0" w:color="auto"/>
        <w:right w:val="none" w:sz="0" w:space="0" w:color="auto"/>
      </w:divBdr>
    </w:div>
    <w:div w:id="327172384">
      <w:bodyDiv w:val="1"/>
      <w:marLeft w:val="0"/>
      <w:marRight w:val="0"/>
      <w:marTop w:val="0"/>
      <w:marBottom w:val="0"/>
      <w:divBdr>
        <w:top w:val="none" w:sz="0" w:space="0" w:color="auto"/>
        <w:left w:val="none" w:sz="0" w:space="0" w:color="auto"/>
        <w:bottom w:val="none" w:sz="0" w:space="0" w:color="auto"/>
        <w:right w:val="none" w:sz="0" w:space="0" w:color="auto"/>
      </w:divBdr>
    </w:div>
    <w:div w:id="347219638">
      <w:bodyDiv w:val="1"/>
      <w:marLeft w:val="0"/>
      <w:marRight w:val="0"/>
      <w:marTop w:val="0"/>
      <w:marBottom w:val="0"/>
      <w:divBdr>
        <w:top w:val="none" w:sz="0" w:space="0" w:color="auto"/>
        <w:left w:val="none" w:sz="0" w:space="0" w:color="auto"/>
        <w:bottom w:val="none" w:sz="0" w:space="0" w:color="auto"/>
        <w:right w:val="none" w:sz="0" w:space="0" w:color="auto"/>
      </w:divBdr>
    </w:div>
    <w:div w:id="368457980">
      <w:bodyDiv w:val="1"/>
      <w:marLeft w:val="0"/>
      <w:marRight w:val="0"/>
      <w:marTop w:val="0"/>
      <w:marBottom w:val="0"/>
      <w:divBdr>
        <w:top w:val="none" w:sz="0" w:space="0" w:color="auto"/>
        <w:left w:val="none" w:sz="0" w:space="0" w:color="auto"/>
        <w:bottom w:val="none" w:sz="0" w:space="0" w:color="auto"/>
        <w:right w:val="none" w:sz="0" w:space="0" w:color="auto"/>
      </w:divBdr>
    </w:div>
    <w:div w:id="374816703">
      <w:bodyDiv w:val="1"/>
      <w:marLeft w:val="0"/>
      <w:marRight w:val="0"/>
      <w:marTop w:val="0"/>
      <w:marBottom w:val="0"/>
      <w:divBdr>
        <w:top w:val="none" w:sz="0" w:space="0" w:color="auto"/>
        <w:left w:val="none" w:sz="0" w:space="0" w:color="auto"/>
        <w:bottom w:val="none" w:sz="0" w:space="0" w:color="auto"/>
        <w:right w:val="none" w:sz="0" w:space="0" w:color="auto"/>
      </w:divBdr>
    </w:div>
    <w:div w:id="379137675">
      <w:bodyDiv w:val="1"/>
      <w:marLeft w:val="0"/>
      <w:marRight w:val="0"/>
      <w:marTop w:val="0"/>
      <w:marBottom w:val="0"/>
      <w:divBdr>
        <w:top w:val="none" w:sz="0" w:space="0" w:color="auto"/>
        <w:left w:val="none" w:sz="0" w:space="0" w:color="auto"/>
        <w:bottom w:val="none" w:sz="0" w:space="0" w:color="auto"/>
        <w:right w:val="none" w:sz="0" w:space="0" w:color="auto"/>
      </w:divBdr>
    </w:div>
    <w:div w:id="379476642">
      <w:bodyDiv w:val="1"/>
      <w:marLeft w:val="0"/>
      <w:marRight w:val="0"/>
      <w:marTop w:val="0"/>
      <w:marBottom w:val="0"/>
      <w:divBdr>
        <w:top w:val="none" w:sz="0" w:space="0" w:color="auto"/>
        <w:left w:val="none" w:sz="0" w:space="0" w:color="auto"/>
        <w:bottom w:val="none" w:sz="0" w:space="0" w:color="auto"/>
        <w:right w:val="none" w:sz="0" w:space="0" w:color="auto"/>
      </w:divBdr>
    </w:div>
    <w:div w:id="419177302">
      <w:bodyDiv w:val="1"/>
      <w:marLeft w:val="0"/>
      <w:marRight w:val="0"/>
      <w:marTop w:val="0"/>
      <w:marBottom w:val="0"/>
      <w:divBdr>
        <w:top w:val="none" w:sz="0" w:space="0" w:color="auto"/>
        <w:left w:val="none" w:sz="0" w:space="0" w:color="auto"/>
        <w:bottom w:val="none" w:sz="0" w:space="0" w:color="auto"/>
        <w:right w:val="none" w:sz="0" w:space="0" w:color="auto"/>
      </w:divBdr>
      <w:divsChild>
        <w:div w:id="1539470905">
          <w:marLeft w:val="0"/>
          <w:marRight w:val="0"/>
          <w:marTop w:val="0"/>
          <w:marBottom w:val="0"/>
          <w:divBdr>
            <w:top w:val="none" w:sz="0" w:space="0" w:color="auto"/>
            <w:left w:val="none" w:sz="0" w:space="0" w:color="auto"/>
            <w:bottom w:val="none" w:sz="0" w:space="0" w:color="auto"/>
            <w:right w:val="none" w:sz="0" w:space="0" w:color="auto"/>
          </w:divBdr>
        </w:div>
      </w:divsChild>
    </w:div>
    <w:div w:id="431046200">
      <w:bodyDiv w:val="1"/>
      <w:marLeft w:val="0"/>
      <w:marRight w:val="0"/>
      <w:marTop w:val="0"/>
      <w:marBottom w:val="0"/>
      <w:divBdr>
        <w:top w:val="none" w:sz="0" w:space="0" w:color="auto"/>
        <w:left w:val="none" w:sz="0" w:space="0" w:color="auto"/>
        <w:bottom w:val="none" w:sz="0" w:space="0" w:color="auto"/>
        <w:right w:val="none" w:sz="0" w:space="0" w:color="auto"/>
      </w:divBdr>
    </w:div>
    <w:div w:id="438724279">
      <w:bodyDiv w:val="1"/>
      <w:marLeft w:val="0"/>
      <w:marRight w:val="0"/>
      <w:marTop w:val="0"/>
      <w:marBottom w:val="0"/>
      <w:divBdr>
        <w:top w:val="none" w:sz="0" w:space="0" w:color="auto"/>
        <w:left w:val="none" w:sz="0" w:space="0" w:color="auto"/>
        <w:bottom w:val="none" w:sz="0" w:space="0" w:color="auto"/>
        <w:right w:val="none" w:sz="0" w:space="0" w:color="auto"/>
      </w:divBdr>
      <w:divsChild>
        <w:div w:id="110321414">
          <w:marLeft w:val="0"/>
          <w:marRight w:val="0"/>
          <w:marTop w:val="0"/>
          <w:marBottom w:val="0"/>
          <w:divBdr>
            <w:top w:val="none" w:sz="0" w:space="0" w:color="auto"/>
            <w:left w:val="none" w:sz="0" w:space="0" w:color="auto"/>
            <w:bottom w:val="none" w:sz="0" w:space="0" w:color="auto"/>
            <w:right w:val="none" w:sz="0" w:space="0" w:color="auto"/>
          </w:divBdr>
          <w:divsChild>
            <w:div w:id="1888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7726">
      <w:bodyDiv w:val="1"/>
      <w:marLeft w:val="0"/>
      <w:marRight w:val="0"/>
      <w:marTop w:val="0"/>
      <w:marBottom w:val="0"/>
      <w:divBdr>
        <w:top w:val="none" w:sz="0" w:space="0" w:color="auto"/>
        <w:left w:val="none" w:sz="0" w:space="0" w:color="auto"/>
        <w:bottom w:val="none" w:sz="0" w:space="0" w:color="auto"/>
        <w:right w:val="none" w:sz="0" w:space="0" w:color="auto"/>
      </w:divBdr>
    </w:div>
    <w:div w:id="444428721">
      <w:bodyDiv w:val="1"/>
      <w:marLeft w:val="0"/>
      <w:marRight w:val="0"/>
      <w:marTop w:val="0"/>
      <w:marBottom w:val="0"/>
      <w:divBdr>
        <w:top w:val="none" w:sz="0" w:space="0" w:color="auto"/>
        <w:left w:val="none" w:sz="0" w:space="0" w:color="auto"/>
        <w:bottom w:val="none" w:sz="0" w:space="0" w:color="auto"/>
        <w:right w:val="none" w:sz="0" w:space="0" w:color="auto"/>
      </w:divBdr>
    </w:div>
    <w:div w:id="451748854">
      <w:bodyDiv w:val="1"/>
      <w:marLeft w:val="0"/>
      <w:marRight w:val="0"/>
      <w:marTop w:val="0"/>
      <w:marBottom w:val="0"/>
      <w:divBdr>
        <w:top w:val="none" w:sz="0" w:space="0" w:color="auto"/>
        <w:left w:val="none" w:sz="0" w:space="0" w:color="auto"/>
        <w:bottom w:val="none" w:sz="0" w:space="0" w:color="auto"/>
        <w:right w:val="none" w:sz="0" w:space="0" w:color="auto"/>
      </w:divBdr>
    </w:div>
    <w:div w:id="461776743">
      <w:bodyDiv w:val="1"/>
      <w:marLeft w:val="0"/>
      <w:marRight w:val="0"/>
      <w:marTop w:val="0"/>
      <w:marBottom w:val="0"/>
      <w:divBdr>
        <w:top w:val="none" w:sz="0" w:space="0" w:color="auto"/>
        <w:left w:val="none" w:sz="0" w:space="0" w:color="auto"/>
        <w:bottom w:val="none" w:sz="0" w:space="0" w:color="auto"/>
        <w:right w:val="none" w:sz="0" w:space="0" w:color="auto"/>
      </w:divBdr>
    </w:div>
    <w:div w:id="469906450">
      <w:bodyDiv w:val="1"/>
      <w:marLeft w:val="0"/>
      <w:marRight w:val="0"/>
      <w:marTop w:val="0"/>
      <w:marBottom w:val="0"/>
      <w:divBdr>
        <w:top w:val="none" w:sz="0" w:space="0" w:color="auto"/>
        <w:left w:val="none" w:sz="0" w:space="0" w:color="auto"/>
        <w:bottom w:val="none" w:sz="0" w:space="0" w:color="auto"/>
        <w:right w:val="none" w:sz="0" w:space="0" w:color="auto"/>
      </w:divBdr>
    </w:div>
    <w:div w:id="482084032">
      <w:bodyDiv w:val="1"/>
      <w:marLeft w:val="0"/>
      <w:marRight w:val="0"/>
      <w:marTop w:val="0"/>
      <w:marBottom w:val="0"/>
      <w:divBdr>
        <w:top w:val="none" w:sz="0" w:space="0" w:color="auto"/>
        <w:left w:val="none" w:sz="0" w:space="0" w:color="auto"/>
        <w:bottom w:val="none" w:sz="0" w:space="0" w:color="auto"/>
        <w:right w:val="none" w:sz="0" w:space="0" w:color="auto"/>
      </w:divBdr>
      <w:divsChild>
        <w:div w:id="2105150362">
          <w:marLeft w:val="0"/>
          <w:marRight w:val="0"/>
          <w:marTop w:val="0"/>
          <w:marBottom w:val="0"/>
          <w:divBdr>
            <w:top w:val="none" w:sz="0" w:space="0" w:color="auto"/>
            <w:left w:val="none" w:sz="0" w:space="0" w:color="auto"/>
            <w:bottom w:val="none" w:sz="0" w:space="0" w:color="auto"/>
            <w:right w:val="none" w:sz="0" w:space="0" w:color="auto"/>
          </w:divBdr>
          <w:divsChild>
            <w:div w:id="105849724">
              <w:marLeft w:val="0"/>
              <w:marRight w:val="0"/>
              <w:marTop w:val="0"/>
              <w:marBottom w:val="0"/>
              <w:divBdr>
                <w:top w:val="none" w:sz="0" w:space="0" w:color="auto"/>
                <w:left w:val="none" w:sz="0" w:space="0" w:color="auto"/>
                <w:bottom w:val="none" w:sz="0" w:space="0" w:color="auto"/>
                <w:right w:val="none" w:sz="0" w:space="0" w:color="auto"/>
              </w:divBdr>
            </w:div>
            <w:div w:id="1293096391">
              <w:marLeft w:val="0"/>
              <w:marRight w:val="0"/>
              <w:marTop w:val="0"/>
              <w:marBottom w:val="0"/>
              <w:divBdr>
                <w:top w:val="none" w:sz="0" w:space="0" w:color="auto"/>
                <w:left w:val="none" w:sz="0" w:space="0" w:color="auto"/>
                <w:bottom w:val="none" w:sz="0" w:space="0" w:color="auto"/>
                <w:right w:val="none" w:sz="0" w:space="0" w:color="auto"/>
              </w:divBdr>
            </w:div>
            <w:div w:id="16924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4492">
      <w:bodyDiv w:val="1"/>
      <w:marLeft w:val="0"/>
      <w:marRight w:val="0"/>
      <w:marTop w:val="0"/>
      <w:marBottom w:val="0"/>
      <w:divBdr>
        <w:top w:val="none" w:sz="0" w:space="0" w:color="auto"/>
        <w:left w:val="none" w:sz="0" w:space="0" w:color="auto"/>
        <w:bottom w:val="none" w:sz="0" w:space="0" w:color="auto"/>
        <w:right w:val="none" w:sz="0" w:space="0" w:color="auto"/>
      </w:divBdr>
    </w:div>
    <w:div w:id="506332550">
      <w:bodyDiv w:val="1"/>
      <w:marLeft w:val="0"/>
      <w:marRight w:val="0"/>
      <w:marTop w:val="0"/>
      <w:marBottom w:val="0"/>
      <w:divBdr>
        <w:top w:val="none" w:sz="0" w:space="0" w:color="auto"/>
        <w:left w:val="none" w:sz="0" w:space="0" w:color="auto"/>
        <w:bottom w:val="none" w:sz="0" w:space="0" w:color="auto"/>
        <w:right w:val="none" w:sz="0" w:space="0" w:color="auto"/>
      </w:divBdr>
    </w:div>
    <w:div w:id="513301592">
      <w:bodyDiv w:val="1"/>
      <w:marLeft w:val="0"/>
      <w:marRight w:val="0"/>
      <w:marTop w:val="0"/>
      <w:marBottom w:val="0"/>
      <w:divBdr>
        <w:top w:val="none" w:sz="0" w:space="0" w:color="auto"/>
        <w:left w:val="none" w:sz="0" w:space="0" w:color="auto"/>
        <w:bottom w:val="none" w:sz="0" w:space="0" w:color="auto"/>
        <w:right w:val="none" w:sz="0" w:space="0" w:color="auto"/>
      </w:divBdr>
      <w:divsChild>
        <w:div w:id="678236075">
          <w:marLeft w:val="0"/>
          <w:marRight w:val="0"/>
          <w:marTop w:val="0"/>
          <w:marBottom w:val="0"/>
          <w:divBdr>
            <w:top w:val="none" w:sz="0" w:space="0" w:color="auto"/>
            <w:left w:val="none" w:sz="0" w:space="0" w:color="auto"/>
            <w:bottom w:val="none" w:sz="0" w:space="0" w:color="auto"/>
            <w:right w:val="none" w:sz="0" w:space="0" w:color="auto"/>
          </w:divBdr>
          <w:divsChild>
            <w:div w:id="10282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2653">
      <w:bodyDiv w:val="1"/>
      <w:marLeft w:val="0"/>
      <w:marRight w:val="0"/>
      <w:marTop w:val="0"/>
      <w:marBottom w:val="0"/>
      <w:divBdr>
        <w:top w:val="none" w:sz="0" w:space="0" w:color="auto"/>
        <w:left w:val="none" w:sz="0" w:space="0" w:color="auto"/>
        <w:bottom w:val="none" w:sz="0" w:space="0" w:color="auto"/>
        <w:right w:val="none" w:sz="0" w:space="0" w:color="auto"/>
      </w:divBdr>
    </w:div>
    <w:div w:id="540823978">
      <w:bodyDiv w:val="1"/>
      <w:marLeft w:val="0"/>
      <w:marRight w:val="0"/>
      <w:marTop w:val="0"/>
      <w:marBottom w:val="0"/>
      <w:divBdr>
        <w:top w:val="none" w:sz="0" w:space="0" w:color="auto"/>
        <w:left w:val="none" w:sz="0" w:space="0" w:color="auto"/>
        <w:bottom w:val="none" w:sz="0" w:space="0" w:color="auto"/>
        <w:right w:val="none" w:sz="0" w:space="0" w:color="auto"/>
      </w:divBdr>
    </w:div>
    <w:div w:id="547575190">
      <w:bodyDiv w:val="1"/>
      <w:marLeft w:val="0"/>
      <w:marRight w:val="0"/>
      <w:marTop w:val="0"/>
      <w:marBottom w:val="0"/>
      <w:divBdr>
        <w:top w:val="none" w:sz="0" w:space="0" w:color="auto"/>
        <w:left w:val="none" w:sz="0" w:space="0" w:color="auto"/>
        <w:bottom w:val="none" w:sz="0" w:space="0" w:color="auto"/>
        <w:right w:val="none" w:sz="0" w:space="0" w:color="auto"/>
      </w:divBdr>
    </w:div>
    <w:div w:id="585650044">
      <w:bodyDiv w:val="1"/>
      <w:marLeft w:val="0"/>
      <w:marRight w:val="0"/>
      <w:marTop w:val="0"/>
      <w:marBottom w:val="0"/>
      <w:divBdr>
        <w:top w:val="none" w:sz="0" w:space="0" w:color="auto"/>
        <w:left w:val="none" w:sz="0" w:space="0" w:color="auto"/>
        <w:bottom w:val="none" w:sz="0" w:space="0" w:color="auto"/>
        <w:right w:val="none" w:sz="0" w:space="0" w:color="auto"/>
      </w:divBdr>
    </w:div>
    <w:div w:id="591820305">
      <w:bodyDiv w:val="1"/>
      <w:marLeft w:val="0"/>
      <w:marRight w:val="0"/>
      <w:marTop w:val="0"/>
      <w:marBottom w:val="0"/>
      <w:divBdr>
        <w:top w:val="none" w:sz="0" w:space="0" w:color="auto"/>
        <w:left w:val="none" w:sz="0" w:space="0" w:color="auto"/>
        <w:bottom w:val="none" w:sz="0" w:space="0" w:color="auto"/>
        <w:right w:val="none" w:sz="0" w:space="0" w:color="auto"/>
      </w:divBdr>
    </w:div>
    <w:div w:id="602499665">
      <w:bodyDiv w:val="1"/>
      <w:marLeft w:val="0"/>
      <w:marRight w:val="0"/>
      <w:marTop w:val="0"/>
      <w:marBottom w:val="0"/>
      <w:divBdr>
        <w:top w:val="none" w:sz="0" w:space="0" w:color="auto"/>
        <w:left w:val="none" w:sz="0" w:space="0" w:color="auto"/>
        <w:bottom w:val="none" w:sz="0" w:space="0" w:color="auto"/>
        <w:right w:val="none" w:sz="0" w:space="0" w:color="auto"/>
      </w:divBdr>
    </w:div>
    <w:div w:id="639387179">
      <w:bodyDiv w:val="1"/>
      <w:marLeft w:val="0"/>
      <w:marRight w:val="0"/>
      <w:marTop w:val="0"/>
      <w:marBottom w:val="0"/>
      <w:divBdr>
        <w:top w:val="none" w:sz="0" w:space="0" w:color="auto"/>
        <w:left w:val="none" w:sz="0" w:space="0" w:color="auto"/>
        <w:bottom w:val="none" w:sz="0" w:space="0" w:color="auto"/>
        <w:right w:val="none" w:sz="0" w:space="0" w:color="auto"/>
      </w:divBdr>
    </w:div>
    <w:div w:id="670529645">
      <w:bodyDiv w:val="1"/>
      <w:marLeft w:val="0"/>
      <w:marRight w:val="0"/>
      <w:marTop w:val="0"/>
      <w:marBottom w:val="0"/>
      <w:divBdr>
        <w:top w:val="none" w:sz="0" w:space="0" w:color="auto"/>
        <w:left w:val="none" w:sz="0" w:space="0" w:color="auto"/>
        <w:bottom w:val="none" w:sz="0" w:space="0" w:color="auto"/>
        <w:right w:val="none" w:sz="0" w:space="0" w:color="auto"/>
      </w:divBdr>
    </w:div>
    <w:div w:id="711154443">
      <w:bodyDiv w:val="1"/>
      <w:marLeft w:val="0"/>
      <w:marRight w:val="0"/>
      <w:marTop w:val="0"/>
      <w:marBottom w:val="0"/>
      <w:divBdr>
        <w:top w:val="none" w:sz="0" w:space="0" w:color="auto"/>
        <w:left w:val="none" w:sz="0" w:space="0" w:color="auto"/>
        <w:bottom w:val="none" w:sz="0" w:space="0" w:color="auto"/>
        <w:right w:val="none" w:sz="0" w:space="0" w:color="auto"/>
      </w:divBdr>
    </w:div>
    <w:div w:id="733313968">
      <w:bodyDiv w:val="1"/>
      <w:marLeft w:val="0"/>
      <w:marRight w:val="0"/>
      <w:marTop w:val="0"/>
      <w:marBottom w:val="0"/>
      <w:divBdr>
        <w:top w:val="none" w:sz="0" w:space="0" w:color="auto"/>
        <w:left w:val="none" w:sz="0" w:space="0" w:color="auto"/>
        <w:bottom w:val="none" w:sz="0" w:space="0" w:color="auto"/>
        <w:right w:val="none" w:sz="0" w:space="0" w:color="auto"/>
      </w:divBdr>
    </w:div>
    <w:div w:id="738481303">
      <w:bodyDiv w:val="1"/>
      <w:marLeft w:val="0"/>
      <w:marRight w:val="0"/>
      <w:marTop w:val="0"/>
      <w:marBottom w:val="0"/>
      <w:divBdr>
        <w:top w:val="none" w:sz="0" w:space="0" w:color="auto"/>
        <w:left w:val="none" w:sz="0" w:space="0" w:color="auto"/>
        <w:bottom w:val="none" w:sz="0" w:space="0" w:color="auto"/>
        <w:right w:val="none" w:sz="0" w:space="0" w:color="auto"/>
      </w:divBdr>
    </w:div>
    <w:div w:id="742215192">
      <w:bodyDiv w:val="1"/>
      <w:marLeft w:val="0"/>
      <w:marRight w:val="0"/>
      <w:marTop w:val="0"/>
      <w:marBottom w:val="0"/>
      <w:divBdr>
        <w:top w:val="none" w:sz="0" w:space="0" w:color="auto"/>
        <w:left w:val="none" w:sz="0" w:space="0" w:color="auto"/>
        <w:bottom w:val="none" w:sz="0" w:space="0" w:color="auto"/>
        <w:right w:val="none" w:sz="0" w:space="0" w:color="auto"/>
      </w:divBdr>
    </w:div>
    <w:div w:id="744229011">
      <w:bodyDiv w:val="1"/>
      <w:marLeft w:val="0"/>
      <w:marRight w:val="0"/>
      <w:marTop w:val="0"/>
      <w:marBottom w:val="0"/>
      <w:divBdr>
        <w:top w:val="none" w:sz="0" w:space="0" w:color="auto"/>
        <w:left w:val="none" w:sz="0" w:space="0" w:color="auto"/>
        <w:bottom w:val="none" w:sz="0" w:space="0" w:color="auto"/>
        <w:right w:val="none" w:sz="0" w:space="0" w:color="auto"/>
      </w:divBdr>
    </w:div>
    <w:div w:id="745305430">
      <w:bodyDiv w:val="1"/>
      <w:marLeft w:val="0"/>
      <w:marRight w:val="0"/>
      <w:marTop w:val="0"/>
      <w:marBottom w:val="0"/>
      <w:divBdr>
        <w:top w:val="none" w:sz="0" w:space="0" w:color="auto"/>
        <w:left w:val="none" w:sz="0" w:space="0" w:color="auto"/>
        <w:bottom w:val="none" w:sz="0" w:space="0" w:color="auto"/>
        <w:right w:val="none" w:sz="0" w:space="0" w:color="auto"/>
      </w:divBdr>
    </w:div>
    <w:div w:id="753088233">
      <w:bodyDiv w:val="1"/>
      <w:marLeft w:val="0"/>
      <w:marRight w:val="0"/>
      <w:marTop w:val="0"/>
      <w:marBottom w:val="0"/>
      <w:divBdr>
        <w:top w:val="none" w:sz="0" w:space="0" w:color="auto"/>
        <w:left w:val="none" w:sz="0" w:space="0" w:color="auto"/>
        <w:bottom w:val="none" w:sz="0" w:space="0" w:color="auto"/>
        <w:right w:val="none" w:sz="0" w:space="0" w:color="auto"/>
      </w:divBdr>
    </w:div>
    <w:div w:id="778254807">
      <w:bodyDiv w:val="1"/>
      <w:marLeft w:val="0"/>
      <w:marRight w:val="0"/>
      <w:marTop w:val="0"/>
      <w:marBottom w:val="0"/>
      <w:divBdr>
        <w:top w:val="none" w:sz="0" w:space="0" w:color="auto"/>
        <w:left w:val="none" w:sz="0" w:space="0" w:color="auto"/>
        <w:bottom w:val="none" w:sz="0" w:space="0" w:color="auto"/>
        <w:right w:val="none" w:sz="0" w:space="0" w:color="auto"/>
      </w:divBdr>
    </w:div>
    <w:div w:id="779377088">
      <w:bodyDiv w:val="1"/>
      <w:marLeft w:val="0"/>
      <w:marRight w:val="0"/>
      <w:marTop w:val="0"/>
      <w:marBottom w:val="0"/>
      <w:divBdr>
        <w:top w:val="none" w:sz="0" w:space="0" w:color="auto"/>
        <w:left w:val="none" w:sz="0" w:space="0" w:color="auto"/>
        <w:bottom w:val="none" w:sz="0" w:space="0" w:color="auto"/>
        <w:right w:val="none" w:sz="0" w:space="0" w:color="auto"/>
      </w:divBdr>
    </w:div>
    <w:div w:id="784349367">
      <w:bodyDiv w:val="1"/>
      <w:marLeft w:val="0"/>
      <w:marRight w:val="0"/>
      <w:marTop w:val="0"/>
      <w:marBottom w:val="0"/>
      <w:divBdr>
        <w:top w:val="none" w:sz="0" w:space="0" w:color="auto"/>
        <w:left w:val="none" w:sz="0" w:space="0" w:color="auto"/>
        <w:bottom w:val="none" w:sz="0" w:space="0" w:color="auto"/>
        <w:right w:val="none" w:sz="0" w:space="0" w:color="auto"/>
      </w:divBdr>
      <w:divsChild>
        <w:div w:id="806630255">
          <w:marLeft w:val="0"/>
          <w:marRight w:val="0"/>
          <w:marTop w:val="0"/>
          <w:marBottom w:val="0"/>
          <w:divBdr>
            <w:top w:val="none" w:sz="0" w:space="0" w:color="auto"/>
            <w:left w:val="none" w:sz="0" w:space="0" w:color="auto"/>
            <w:bottom w:val="none" w:sz="0" w:space="0" w:color="auto"/>
            <w:right w:val="none" w:sz="0" w:space="0" w:color="auto"/>
          </w:divBdr>
          <w:divsChild>
            <w:div w:id="1340542282">
              <w:marLeft w:val="0"/>
              <w:marRight w:val="0"/>
              <w:marTop w:val="0"/>
              <w:marBottom w:val="0"/>
              <w:divBdr>
                <w:top w:val="none" w:sz="0" w:space="0" w:color="auto"/>
                <w:left w:val="none" w:sz="0" w:space="0" w:color="auto"/>
                <w:bottom w:val="none" w:sz="0" w:space="0" w:color="auto"/>
                <w:right w:val="none" w:sz="0" w:space="0" w:color="auto"/>
              </w:divBdr>
            </w:div>
            <w:div w:id="1532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6020">
      <w:bodyDiv w:val="1"/>
      <w:marLeft w:val="0"/>
      <w:marRight w:val="0"/>
      <w:marTop w:val="0"/>
      <w:marBottom w:val="0"/>
      <w:divBdr>
        <w:top w:val="none" w:sz="0" w:space="0" w:color="auto"/>
        <w:left w:val="none" w:sz="0" w:space="0" w:color="auto"/>
        <w:bottom w:val="none" w:sz="0" w:space="0" w:color="auto"/>
        <w:right w:val="none" w:sz="0" w:space="0" w:color="auto"/>
      </w:divBdr>
    </w:div>
    <w:div w:id="829755558">
      <w:bodyDiv w:val="1"/>
      <w:marLeft w:val="0"/>
      <w:marRight w:val="0"/>
      <w:marTop w:val="0"/>
      <w:marBottom w:val="0"/>
      <w:divBdr>
        <w:top w:val="none" w:sz="0" w:space="0" w:color="auto"/>
        <w:left w:val="none" w:sz="0" w:space="0" w:color="auto"/>
        <w:bottom w:val="none" w:sz="0" w:space="0" w:color="auto"/>
        <w:right w:val="none" w:sz="0" w:space="0" w:color="auto"/>
      </w:divBdr>
    </w:div>
    <w:div w:id="833032239">
      <w:bodyDiv w:val="1"/>
      <w:marLeft w:val="0"/>
      <w:marRight w:val="0"/>
      <w:marTop w:val="0"/>
      <w:marBottom w:val="0"/>
      <w:divBdr>
        <w:top w:val="none" w:sz="0" w:space="0" w:color="auto"/>
        <w:left w:val="none" w:sz="0" w:space="0" w:color="auto"/>
        <w:bottom w:val="none" w:sz="0" w:space="0" w:color="auto"/>
        <w:right w:val="none" w:sz="0" w:space="0" w:color="auto"/>
      </w:divBdr>
    </w:div>
    <w:div w:id="838232713">
      <w:bodyDiv w:val="1"/>
      <w:marLeft w:val="0"/>
      <w:marRight w:val="0"/>
      <w:marTop w:val="0"/>
      <w:marBottom w:val="0"/>
      <w:divBdr>
        <w:top w:val="none" w:sz="0" w:space="0" w:color="auto"/>
        <w:left w:val="none" w:sz="0" w:space="0" w:color="auto"/>
        <w:bottom w:val="none" w:sz="0" w:space="0" w:color="auto"/>
        <w:right w:val="none" w:sz="0" w:space="0" w:color="auto"/>
      </w:divBdr>
      <w:divsChild>
        <w:div w:id="2041516194">
          <w:marLeft w:val="0"/>
          <w:marRight w:val="0"/>
          <w:marTop w:val="0"/>
          <w:marBottom w:val="0"/>
          <w:divBdr>
            <w:top w:val="none" w:sz="0" w:space="0" w:color="auto"/>
            <w:left w:val="none" w:sz="0" w:space="0" w:color="auto"/>
            <w:bottom w:val="none" w:sz="0" w:space="0" w:color="auto"/>
            <w:right w:val="none" w:sz="0" w:space="0" w:color="auto"/>
          </w:divBdr>
          <w:divsChild>
            <w:div w:id="78140291">
              <w:marLeft w:val="0"/>
              <w:marRight w:val="0"/>
              <w:marTop w:val="0"/>
              <w:marBottom w:val="0"/>
              <w:divBdr>
                <w:top w:val="none" w:sz="0" w:space="0" w:color="auto"/>
                <w:left w:val="none" w:sz="0" w:space="0" w:color="auto"/>
                <w:bottom w:val="none" w:sz="0" w:space="0" w:color="auto"/>
                <w:right w:val="none" w:sz="0" w:space="0" w:color="auto"/>
              </w:divBdr>
            </w:div>
            <w:div w:id="424618760">
              <w:marLeft w:val="0"/>
              <w:marRight w:val="0"/>
              <w:marTop w:val="0"/>
              <w:marBottom w:val="0"/>
              <w:divBdr>
                <w:top w:val="none" w:sz="0" w:space="0" w:color="auto"/>
                <w:left w:val="none" w:sz="0" w:space="0" w:color="auto"/>
                <w:bottom w:val="none" w:sz="0" w:space="0" w:color="auto"/>
                <w:right w:val="none" w:sz="0" w:space="0" w:color="auto"/>
              </w:divBdr>
            </w:div>
            <w:div w:id="730078333">
              <w:marLeft w:val="0"/>
              <w:marRight w:val="0"/>
              <w:marTop w:val="0"/>
              <w:marBottom w:val="0"/>
              <w:divBdr>
                <w:top w:val="none" w:sz="0" w:space="0" w:color="auto"/>
                <w:left w:val="none" w:sz="0" w:space="0" w:color="auto"/>
                <w:bottom w:val="none" w:sz="0" w:space="0" w:color="auto"/>
                <w:right w:val="none" w:sz="0" w:space="0" w:color="auto"/>
              </w:divBdr>
            </w:div>
            <w:div w:id="733088302">
              <w:marLeft w:val="0"/>
              <w:marRight w:val="0"/>
              <w:marTop w:val="0"/>
              <w:marBottom w:val="0"/>
              <w:divBdr>
                <w:top w:val="none" w:sz="0" w:space="0" w:color="auto"/>
                <w:left w:val="none" w:sz="0" w:space="0" w:color="auto"/>
                <w:bottom w:val="none" w:sz="0" w:space="0" w:color="auto"/>
                <w:right w:val="none" w:sz="0" w:space="0" w:color="auto"/>
              </w:divBdr>
            </w:div>
            <w:div w:id="1044981997">
              <w:marLeft w:val="0"/>
              <w:marRight w:val="0"/>
              <w:marTop w:val="0"/>
              <w:marBottom w:val="0"/>
              <w:divBdr>
                <w:top w:val="none" w:sz="0" w:space="0" w:color="auto"/>
                <w:left w:val="none" w:sz="0" w:space="0" w:color="auto"/>
                <w:bottom w:val="none" w:sz="0" w:space="0" w:color="auto"/>
                <w:right w:val="none" w:sz="0" w:space="0" w:color="auto"/>
              </w:divBdr>
            </w:div>
            <w:div w:id="1515724740">
              <w:marLeft w:val="0"/>
              <w:marRight w:val="0"/>
              <w:marTop w:val="0"/>
              <w:marBottom w:val="0"/>
              <w:divBdr>
                <w:top w:val="none" w:sz="0" w:space="0" w:color="auto"/>
                <w:left w:val="none" w:sz="0" w:space="0" w:color="auto"/>
                <w:bottom w:val="none" w:sz="0" w:space="0" w:color="auto"/>
                <w:right w:val="none" w:sz="0" w:space="0" w:color="auto"/>
              </w:divBdr>
            </w:div>
            <w:div w:id="1792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8990">
      <w:bodyDiv w:val="1"/>
      <w:marLeft w:val="0"/>
      <w:marRight w:val="0"/>
      <w:marTop w:val="0"/>
      <w:marBottom w:val="0"/>
      <w:divBdr>
        <w:top w:val="none" w:sz="0" w:space="0" w:color="auto"/>
        <w:left w:val="none" w:sz="0" w:space="0" w:color="auto"/>
        <w:bottom w:val="none" w:sz="0" w:space="0" w:color="auto"/>
        <w:right w:val="none" w:sz="0" w:space="0" w:color="auto"/>
      </w:divBdr>
    </w:div>
    <w:div w:id="890846983">
      <w:bodyDiv w:val="1"/>
      <w:marLeft w:val="0"/>
      <w:marRight w:val="0"/>
      <w:marTop w:val="0"/>
      <w:marBottom w:val="0"/>
      <w:divBdr>
        <w:top w:val="none" w:sz="0" w:space="0" w:color="auto"/>
        <w:left w:val="none" w:sz="0" w:space="0" w:color="auto"/>
        <w:bottom w:val="none" w:sz="0" w:space="0" w:color="auto"/>
        <w:right w:val="none" w:sz="0" w:space="0" w:color="auto"/>
      </w:divBdr>
    </w:div>
    <w:div w:id="89970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5597">
          <w:marLeft w:val="0"/>
          <w:marRight w:val="0"/>
          <w:marTop w:val="0"/>
          <w:marBottom w:val="0"/>
          <w:divBdr>
            <w:top w:val="none" w:sz="0" w:space="0" w:color="auto"/>
            <w:left w:val="none" w:sz="0" w:space="0" w:color="auto"/>
            <w:bottom w:val="none" w:sz="0" w:space="0" w:color="auto"/>
            <w:right w:val="none" w:sz="0" w:space="0" w:color="auto"/>
          </w:divBdr>
          <w:divsChild>
            <w:div w:id="1710883136">
              <w:marLeft w:val="0"/>
              <w:marRight w:val="0"/>
              <w:marTop w:val="0"/>
              <w:marBottom w:val="0"/>
              <w:divBdr>
                <w:top w:val="none" w:sz="0" w:space="0" w:color="auto"/>
                <w:left w:val="none" w:sz="0" w:space="0" w:color="auto"/>
                <w:bottom w:val="none" w:sz="0" w:space="0" w:color="auto"/>
                <w:right w:val="none" w:sz="0" w:space="0" w:color="auto"/>
              </w:divBdr>
            </w:div>
            <w:div w:id="21020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803">
      <w:bodyDiv w:val="1"/>
      <w:marLeft w:val="0"/>
      <w:marRight w:val="0"/>
      <w:marTop w:val="0"/>
      <w:marBottom w:val="0"/>
      <w:divBdr>
        <w:top w:val="none" w:sz="0" w:space="0" w:color="auto"/>
        <w:left w:val="none" w:sz="0" w:space="0" w:color="auto"/>
        <w:bottom w:val="none" w:sz="0" w:space="0" w:color="auto"/>
        <w:right w:val="none" w:sz="0" w:space="0" w:color="auto"/>
      </w:divBdr>
    </w:div>
    <w:div w:id="920063113">
      <w:bodyDiv w:val="1"/>
      <w:marLeft w:val="0"/>
      <w:marRight w:val="0"/>
      <w:marTop w:val="0"/>
      <w:marBottom w:val="0"/>
      <w:divBdr>
        <w:top w:val="none" w:sz="0" w:space="0" w:color="auto"/>
        <w:left w:val="none" w:sz="0" w:space="0" w:color="auto"/>
        <w:bottom w:val="none" w:sz="0" w:space="0" w:color="auto"/>
        <w:right w:val="none" w:sz="0" w:space="0" w:color="auto"/>
      </w:divBdr>
      <w:divsChild>
        <w:div w:id="793132771">
          <w:marLeft w:val="0"/>
          <w:marRight w:val="0"/>
          <w:marTop w:val="0"/>
          <w:marBottom w:val="0"/>
          <w:divBdr>
            <w:top w:val="none" w:sz="0" w:space="0" w:color="auto"/>
            <w:left w:val="none" w:sz="0" w:space="0" w:color="auto"/>
            <w:bottom w:val="none" w:sz="0" w:space="0" w:color="auto"/>
            <w:right w:val="none" w:sz="0" w:space="0" w:color="auto"/>
          </w:divBdr>
          <w:divsChild>
            <w:div w:id="703871605">
              <w:marLeft w:val="0"/>
              <w:marRight w:val="0"/>
              <w:marTop w:val="0"/>
              <w:marBottom w:val="0"/>
              <w:divBdr>
                <w:top w:val="none" w:sz="0" w:space="0" w:color="auto"/>
                <w:left w:val="none" w:sz="0" w:space="0" w:color="auto"/>
                <w:bottom w:val="none" w:sz="0" w:space="0" w:color="auto"/>
                <w:right w:val="none" w:sz="0" w:space="0" w:color="auto"/>
              </w:divBdr>
            </w:div>
            <w:div w:id="996153453">
              <w:marLeft w:val="0"/>
              <w:marRight w:val="0"/>
              <w:marTop w:val="0"/>
              <w:marBottom w:val="0"/>
              <w:divBdr>
                <w:top w:val="none" w:sz="0" w:space="0" w:color="auto"/>
                <w:left w:val="none" w:sz="0" w:space="0" w:color="auto"/>
                <w:bottom w:val="none" w:sz="0" w:space="0" w:color="auto"/>
                <w:right w:val="none" w:sz="0" w:space="0" w:color="auto"/>
              </w:divBdr>
            </w:div>
            <w:div w:id="18858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6187">
      <w:bodyDiv w:val="1"/>
      <w:marLeft w:val="0"/>
      <w:marRight w:val="0"/>
      <w:marTop w:val="0"/>
      <w:marBottom w:val="0"/>
      <w:divBdr>
        <w:top w:val="none" w:sz="0" w:space="0" w:color="auto"/>
        <w:left w:val="none" w:sz="0" w:space="0" w:color="auto"/>
        <w:bottom w:val="none" w:sz="0" w:space="0" w:color="auto"/>
        <w:right w:val="none" w:sz="0" w:space="0" w:color="auto"/>
      </w:divBdr>
    </w:div>
    <w:div w:id="929775315">
      <w:bodyDiv w:val="1"/>
      <w:marLeft w:val="0"/>
      <w:marRight w:val="0"/>
      <w:marTop w:val="0"/>
      <w:marBottom w:val="0"/>
      <w:divBdr>
        <w:top w:val="none" w:sz="0" w:space="0" w:color="auto"/>
        <w:left w:val="none" w:sz="0" w:space="0" w:color="auto"/>
        <w:bottom w:val="none" w:sz="0" w:space="0" w:color="auto"/>
        <w:right w:val="none" w:sz="0" w:space="0" w:color="auto"/>
      </w:divBdr>
    </w:div>
    <w:div w:id="933854986">
      <w:bodyDiv w:val="1"/>
      <w:marLeft w:val="0"/>
      <w:marRight w:val="0"/>
      <w:marTop w:val="0"/>
      <w:marBottom w:val="0"/>
      <w:divBdr>
        <w:top w:val="none" w:sz="0" w:space="0" w:color="auto"/>
        <w:left w:val="none" w:sz="0" w:space="0" w:color="auto"/>
        <w:bottom w:val="none" w:sz="0" w:space="0" w:color="auto"/>
        <w:right w:val="none" w:sz="0" w:space="0" w:color="auto"/>
      </w:divBdr>
    </w:div>
    <w:div w:id="936208661">
      <w:bodyDiv w:val="1"/>
      <w:marLeft w:val="0"/>
      <w:marRight w:val="0"/>
      <w:marTop w:val="0"/>
      <w:marBottom w:val="0"/>
      <w:divBdr>
        <w:top w:val="none" w:sz="0" w:space="0" w:color="auto"/>
        <w:left w:val="none" w:sz="0" w:space="0" w:color="auto"/>
        <w:bottom w:val="none" w:sz="0" w:space="0" w:color="auto"/>
        <w:right w:val="none" w:sz="0" w:space="0" w:color="auto"/>
      </w:divBdr>
    </w:div>
    <w:div w:id="956986742">
      <w:bodyDiv w:val="1"/>
      <w:marLeft w:val="0"/>
      <w:marRight w:val="0"/>
      <w:marTop w:val="0"/>
      <w:marBottom w:val="0"/>
      <w:divBdr>
        <w:top w:val="none" w:sz="0" w:space="0" w:color="auto"/>
        <w:left w:val="none" w:sz="0" w:space="0" w:color="auto"/>
        <w:bottom w:val="none" w:sz="0" w:space="0" w:color="auto"/>
        <w:right w:val="none" w:sz="0" w:space="0" w:color="auto"/>
      </w:divBdr>
    </w:div>
    <w:div w:id="982465943">
      <w:bodyDiv w:val="1"/>
      <w:marLeft w:val="0"/>
      <w:marRight w:val="0"/>
      <w:marTop w:val="0"/>
      <w:marBottom w:val="0"/>
      <w:divBdr>
        <w:top w:val="none" w:sz="0" w:space="0" w:color="auto"/>
        <w:left w:val="none" w:sz="0" w:space="0" w:color="auto"/>
        <w:bottom w:val="none" w:sz="0" w:space="0" w:color="auto"/>
        <w:right w:val="none" w:sz="0" w:space="0" w:color="auto"/>
      </w:divBdr>
      <w:divsChild>
        <w:div w:id="462239244">
          <w:marLeft w:val="0"/>
          <w:marRight w:val="0"/>
          <w:marTop w:val="0"/>
          <w:marBottom w:val="0"/>
          <w:divBdr>
            <w:top w:val="none" w:sz="0" w:space="0" w:color="auto"/>
            <w:left w:val="none" w:sz="0" w:space="0" w:color="auto"/>
            <w:bottom w:val="none" w:sz="0" w:space="0" w:color="auto"/>
            <w:right w:val="none" w:sz="0" w:space="0" w:color="auto"/>
          </w:divBdr>
        </w:div>
        <w:div w:id="762381562">
          <w:marLeft w:val="0"/>
          <w:marRight w:val="0"/>
          <w:marTop w:val="0"/>
          <w:marBottom w:val="0"/>
          <w:divBdr>
            <w:top w:val="none" w:sz="0" w:space="0" w:color="auto"/>
            <w:left w:val="none" w:sz="0" w:space="0" w:color="auto"/>
            <w:bottom w:val="none" w:sz="0" w:space="0" w:color="auto"/>
            <w:right w:val="none" w:sz="0" w:space="0" w:color="auto"/>
          </w:divBdr>
        </w:div>
        <w:div w:id="1820267595">
          <w:marLeft w:val="0"/>
          <w:marRight w:val="0"/>
          <w:marTop w:val="0"/>
          <w:marBottom w:val="0"/>
          <w:divBdr>
            <w:top w:val="none" w:sz="0" w:space="0" w:color="auto"/>
            <w:left w:val="none" w:sz="0" w:space="0" w:color="auto"/>
            <w:bottom w:val="none" w:sz="0" w:space="0" w:color="auto"/>
            <w:right w:val="none" w:sz="0" w:space="0" w:color="auto"/>
          </w:divBdr>
        </w:div>
        <w:div w:id="1943103053">
          <w:marLeft w:val="0"/>
          <w:marRight w:val="0"/>
          <w:marTop w:val="0"/>
          <w:marBottom w:val="0"/>
          <w:divBdr>
            <w:top w:val="none" w:sz="0" w:space="0" w:color="auto"/>
            <w:left w:val="none" w:sz="0" w:space="0" w:color="auto"/>
            <w:bottom w:val="none" w:sz="0" w:space="0" w:color="auto"/>
            <w:right w:val="none" w:sz="0" w:space="0" w:color="auto"/>
          </w:divBdr>
        </w:div>
        <w:div w:id="2143958761">
          <w:marLeft w:val="0"/>
          <w:marRight w:val="0"/>
          <w:marTop w:val="0"/>
          <w:marBottom w:val="0"/>
          <w:divBdr>
            <w:top w:val="none" w:sz="0" w:space="0" w:color="auto"/>
            <w:left w:val="none" w:sz="0" w:space="0" w:color="auto"/>
            <w:bottom w:val="none" w:sz="0" w:space="0" w:color="auto"/>
            <w:right w:val="none" w:sz="0" w:space="0" w:color="auto"/>
          </w:divBdr>
        </w:div>
      </w:divsChild>
    </w:div>
    <w:div w:id="993416298">
      <w:bodyDiv w:val="1"/>
      <w:marLeft w:val="0"/>
      <w:marRight w:val="0"/>
      <w:marTop w:val="0"/>
      <w:marBottom w:val="0"/>
      <w:divBdr>
        <w:top w:val="none" w:sz="0" w:space="0" w:color="auto"/>
        <w:left w:val="none" w:sz="0" w:space="0" w:color="auto"/>
        <w:bottom w:val="none" w:sz="0" w:space="0" w:color="auto"/>
        <w:right w:val="none" w:sz="0" w:space="0" w:color="auto"/>
      </w:divBdr>
    </w:div>
    <w:div w:id="995383377">
      <w:bodyDiv w:val="1"/>
      <w:marLeft w:val="0"/>
      <w:marRight w:val="0"/>
      <w:marTop w:val="0"/>
      <w:marBottom w:val="0"/>
      <w:divBdr>
        <w:top w:val="none" w:sz="0" w:space="0" w:color="auto"/>
        <w:left w:val="none" w:sz="0" w:space="0" w:color="auto"/>
        <w:bottom w:val="none" w:sz="0" w:space="0" w:color="auto"/>
        <w:right w:val="none" w:sz="0" w:space="0" w:color="auto"/>
      </w:divBdr>
    </w:div>
    <w:div w:id="995913573">
      <w:bodyDiv w:val="1"/>
      <w:marLeft w:val="0"/>
      <w:marRight w:val="0"/>
      <w:marTop w:val="0"/>
      <w:marBottom w:val="0"/>
      <w:divBdr>
        <w:top w:val="none" w:sz="0" w:space="0" w:color="auto"/>
        <w:left w:val="none" w:sz="0" w:space="0" w:color="auto"/>
        <w:bottom w:val="none" w:sz="0" w:space="0" w:color="auto"/>
        <w:right w:val="none" w:sz="0" w:space="0" w:color="auto"/>
      </w:divBdr>
    </w:div>
    <w:div w:id="1000696840">
      <w:bodyDiv w:val="1"/>
      <w:marLeft w:val="0"/>
      <w:marRight w:val="0"/>
      <w:marTop w:val="0"/>
      <w:marBottom w:val="0"/>
      <w:divBdr>
        <w:top w:val="none" w:sz="0" w:space="0" w:color="auto"/>
        <w:left w:val="none" w:sz="0" w:space="0" w:color="auto"/>
        <w:bottom w:val="none" w:sz="0" w:space="0" w:color="auto"/>
        <w:right w:val="none" w:sz="0" w:space="0" w:color="auto"/>
      </w:divBdr>
    </w:div>
    <w:div w:id="1003388293">
      <w:bodyDiv w:val="1"/>
      <w:marLeft w:val="0"/>
      <w:marRight w:val="0"/>
      <w:marTop w:val="0"/>
      <w:marBottom w:val="0"/>
      <w:divBdr>
        <w:top w:val="none" w:sz="0" w:space="0" w:color="auto"/>
        <w:left w:val="none" w:sz="0" w:space="0" w:color="auto"/>
        <w:bottom w:val="none" w:sz="0" w:space="0" w:color="auto"/>
        <w:right w:val="none" w:sz="0" w:space="0" w:color="auto"/>
      </w:divBdr>
      <w:divsChild>
        <w:div w:id="471556585">
          <w:marLeft w:val="0"/>
          <w:marRight w:val="0"/>
          <w:marTop w:val="0"/>
          <w:marBottom w:val="0"/>
          <w:divBdr>
            <w:top w:val="none" w:sz="0" w:space="0" w:color="auto"/>
            <w:left w:val="none" w:sz="0" w:space="0" w:color="auto"/>
            <w:bottom w:val="none" w:sz="0" w:space="0" w:color="auto"/>
            <w:right w:val="none" w:sz="0" w:space="0" w:color="auto"/>
          </w:divBdr>
          <w:divsChild>
            <w:div w:id="765003825">
              <w:marLeft w:val="0"/>
              <w:marRight w:val="0"/>
              <w:marTop w:val="0"/>
              <w:marBottom w:val="0"/>
              <w:divBdr>
                <w:top w:val="none" w:sz="0" w:space="0" w:color="auto"/>
                <w:left w:val="none" w:sz="0" w:space="0" w:color="auto"/>
                <w:bottom w:val="none" w:sz="0" w:space="0" w:color="auto"/>
                <w:right w:val="none" w:sz="0" w:space="0" w:color="auto"/>
              </w:divBdr>
            </w:div>
            <w:div w:id="787168126">
              <w:marLeft w:val="0"/>
              <w:marRight w:val="0"/>
              <w:marTop w:val="0"/>
              <w:marBottom w:val="0"/>
              <w:divBdr>
                <w:top w:val="none" w:sz="0" w:space="0" w:color="auto"/>
                <w:left w:val="none" w:sz="0" w:space="0" w:color="auto"/>
                <w:bottom w:val="none" w:sz="0" w:space="0" w:color="auto"/>
                <w:right w:val="none" w:sz="0" w:space="0" w:color="auto"/>
              </w:divBdr>
            </w:div>
            <w:div w:id="968364060">
              <w:marLeft w:val="0"/>
              <w:marRight w:val="0"/>
              <w:marTop w:val="0"/>
              <w:marBottom w:val="0"/>
              <w:divBdr>
                <w:top w:val="none" w:sz="0" w:space="0" w:color="auto"/>
                <w:left w:val="none" w:sz="0" w:space="0" w:color="auto"/>
                <w:bottom w:val="none" w:sz="0" w:space="0" w:color="auto"/>
                <w:right w:val="none" w:sz="0" w:space="0" w:color="auto"/>
              </w:divBdr>
            </w:div>
            <w:div w:id="1437099093">
              <w:marLeft w:val="0"/>
              <w:marRight w:val="0"/>
              <w:marTop w:val="0"/>
              <w:marBottom w:val="0"/>
              <w:divBdr>
                <w:top w:val="none" w:sz="0" w:space="0" w:color="auto"/>
                <w:left w:val="none" w:sz="0" w:space="0" w:color="auto"/>
                <w:bottom w:val="none" w:sz="0" w:space="0" w:color="auto"/>
                <w:right w:val="none" w:sz="0" w:space="0" w:color="auto"/>
              </w:divBdr>
            </w:div>
            <w:div w:id="2004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060">
      <w:bodyDiv w:val="1"/>
      <w:marLeft w:val="0"/>
      <w:marRight w:val="0"/>
      <w:marTop w:val="0"/>
      <w:marBottom w:val="0"/>
      <w:divBdr>
        <w:top w:val="none" w:sz="0" w:space="0" w:color="auto"/>
        <w:left w:val="none" w:sz="0" w:space="0" w:color="auto"/>
        <w:bottom w:val="none" w:sz="0" w:space="0" w:color="auto"/>
        <w:right w:val="none" w:sz="0" w:space="0" w:color="auto"/>
      </w:divBdr>
    </w:div>
    <w:div w:id="1032460475">
      <w:bodyDiv w:val="1"/>
      <w:marLeft w:val="0"/>
      <w:marRight w:val="0"/>
      <w:marTop w:val="0"/>
      <w:marBottom w:val="0"/>
      <w:divBdr>
        <w:top w:val="none" w:sz="0" w:space="0" w:color="auto"/>
        <w:left w:val="none" w:sz="0" w:space="0" w:color="auto"/>
        <w:bottom w:val="none" w:sz="0" w:space="0" w:color="auto"/>
        <w:right w:val="none" w:sz="0" w:space="0" w:color="auto"/>
      </w:divBdr>
      <w:divsChild>
        <w:div w:id="709762098">
          <w:marLeft w:val="0"/>
          <w:marRight w:val="0"/>
          <w:marTop w:val="0"/>
          <w:marBottom w:val="0"/>
          <w:divBdr>
            <w:top w:val="none" w:sz="0" w:space="0" w:color="auto"/>
            <w:left w:val="none" w:sz="0" w:space="0" w:color="auto"/>
            <w:bottom w:val="none" w:sz="0" w:space="0" w:color="auto"/>
            <w:right w:val="none" w:sz="0" w:space="0" w:color="auto"/>
          </w:divBdr>
          <w:divsChild>
            <w:div w:id="152961268">
              <w:marLeft w:val="0"/>
              <w:marRight w:val="0"/>
              <w:marTop w:val="0"/>
              <w:marBottom w:val="0"/>
              <w:divBdr>
                <w:top w:val="none" w:sz="0" w:space="0" w:color="auto"/>
                <w:left w:val="none" w:sz="0" w:space="0" w:color="auto"/>
                <w:bottom w:val="none" w:sz="0" w:space="0" w:color="auto"/>
                <w:right w:val="none" w:sz="0" w:space="0" w:color="auto"/>
              </w:divBdr>
            </w:div>
            <w:div w:id="435834761">
              <w:marLeft w:val="0"/>
              <w:marRight w:val="0"/>
              <w:marTop w:val="0"/>
              <w:marBottom w:val="0"/>
              <w:divBdr>
                <w:top w:val="none" w:sz="0" w:space="0" w:color="auto"/>
                <w:left w:val="none" w:sz="0" w:space="0" w:color="auto"/>
                <w:bottom w:val="none" w:sz="0" w:space="0" w:color="auto"/>
                <w:right w:val="none" w:sz="0" w:space="0" w:color="auto"/>
              </w:divBdr>
            </w:div>
            <w:div w:id="597832154">
              <w:marLeft w:val="0"/>
              <w:marRight w:val="0"/>
              <w:marTop w:val="0"/>
              <w:marBottom w:val="0"/>
              <w:divBdr>
                <w:top w:val="none" w:sz="0" w:space="0" w:color="auto"/>
                <w:left w:val="none" w:sz="0" w:space="0" w:color="auto"/>
                <w:bottom w:val="none" w:sz="0" w:space="0" w:color="auto"/>
                <w:right w:val="none" w:sz="0" w:space="0" w:color="auto"/>
              </w:divBdr>
            </w:div>
            <w:div w:id="1439566573">
              <w:marLeft w:val="0"/>
              <w:marRight w:val="0"/>
              <w:marTop w:val="0"/>
              <w:marBottom w:val="0"/>
              <w:divBdr>
                <w:top w:val="none" w:sz="0" w:space="0" w:color="auto"/>
                <w:left w:val="none" w:sz="0" w:space="0" w:color="auto"/>
                <w:bottom w:val="none" w:sz="0" w:space="0" w:color="auto"/>
                <w:right w:val="none" w:sz="0" w:space="0" w:color="auto"/>
              </w:divBdr>
            </w:div>
            <w:div w:id="21443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565">
      <w:bodyDiv w:val="1"/>
      <w:marLeft w:val="0"/>
      <w:marRight w:val="0"/>
      <w:marTop w:val="0"/>
      <w:marBottom w:val="0"/>
      <w:divBdr>
        <w:top w:val="none" w:sz="0" w:space="0" w:color="auto"/>
        <w:left w:val="none" w:sz="0" w:space="0" w:color="auto"/>
        <w:bottom w:val="none" w:sz="0" w:space="0" w:color="auto"/>
        <w:right w:val="none" w:sz="0" w:space="0" w:color="auto"/>
      </w:divBdr>
    </w:div>
    <w:div w:id="1083138214">
      <w:bodyDiv w:val="1"/>
      <w:marLeft w:val="0"/>
      <w:marRight w:val="0"/>
      <w:marTop w:val="0"/>
      <w:marBottom w:val="0"/>
      <w:divBdr>
        <w:top w:val="none" w:sz="0" w:space="0" w:color="auto"/>
        <w:left w:val="none" w:sz="0" w:space="0" w:color="auto"/>
        <w:bottom w:val="none" w:sz="0" w:space="0" w:color="auto"/>
        <w:right w:val="none" w:sz="0" w:space="0" w:color="auto"/>
      </w:divBdr>
    </w:div>
    <w:div w:id="1119255475">
      <w:bodyDiv w:val="1"/>
      <w:marLeft w:val="0"/>
      <w:marRight w:val="0"/>
      <w:marTop w:val="0"/>
      <w:marBottom w:val="0"/>
      <w:divBdr>
        <w:top w:val="none" w:sz="0" w:space="0" w:color="auto"/>
        <w:left w:val="none" w:sz="0" w:space="0" w:color="auto"/>
        <w:bottom w:val="none" w:sz="0" w:space="0" w:color="auto"/>
        <w:right w:val="none" w:sz="0" w:space="0" w:color="auto"/>
      </w:divBdr>
    </w:div>
    <w:div w:id="1128550297">
      <w:bodyDiv w:val="1"/>
      <w:marLeft w:val="0"/>
      <w:marRight w:val="0"/>
      <w:marTop w:val="0"/>
      <w:marBottom w:val="0"/>
      <w:divBdr>
        <w:top w:val="none" w:sz="0" w:space="0" w:color="auto"/>
        <w:left w:val="none" w:sz="0" w:space="0" w:color="auto"/>
        <w:bottom w:val="none" w:sz="0" w:space="0" w:color="auto"/>
        <w:right w:val="none" w:sz="0" w:space="0" w:color="auto"/>
      </w:divBdr>
    </w:div>
    <w:div w:id="1130905002">
      <w:bodyDiv w:val="1"/>
      <w:marLeft w:val="0"/>
      <w:marRight w:val="0"/>
      <w:marTop w:val="0"/>
      <w:marBottom w:val="0"/>
      <w:divBdr>
        <w:top w:val="none" w:sz="0" w:space="0" w:color="auto"/>
        <w:left w:val="none" w:sz="0" w:space="0" w:color="auto"/>
        <w:bottom w:val="none" w:sz="0" w:space="0" w:color="auto"/>
        <w:right w:val="none" w:sz="0" w:space="0" w:color="auto"/>
      </w:divBdr>
    </w:div>
    <w:div w:id="1131746910">
      <w:bodyDiv w:val="1"/>
      <w:marLeft w:val="0"/>
      <w:marRight w:val="0"/>
      <w:marTop w:val="0"/>
      <w:marBottom w:val="0"/>
      <w:divBdr>
        <w:top w:val="none" w:sz="0" w:space="0" w:color="auto"/>
        <w:left w:val="none" w:sz="0" w:space="0" w:color="auto"/>
        <w:bottom w:val="none" w:sz="0" w:space="0" w:color="auto"/>
        <w:right w:val="none" w:sz="0" w:space="0" w:color="auto"/>
      </w:divBdr>
    </w:div>
    <w:div w:id="1152719208">
      <w:bodyDiv w:val="1"/>
      <w:marLeft w:val="0"/>
      <w:marRight w:val="0"/>
      <w:marTop w:val="0"/>
      <w:marBottom w:val="0"/>
      <w:divBdr>
        <w:top w:val="none" w:sz="0" w:space="0" w:color="auto"/>
        <w:left w:val="none" w:sz="0" w:space="0" w:color="auto"/>
        <w:bottom w:val="none" w:sz="0" w:space="0" w:color="auto"/>
        <w:right w:val="none" w:sz="0" w:space="0" w:color="auto"/>
      </w:divBdr>
    </w:div>
    <w:div w:id="1161656869">
      <w:bodyDiv w:val="1"/>
      <w:marLeft w:val="0"/>
      <w:marRight w:val="0"/>
      <w:marTop w:val="0"/>
      <w:marBottom w:val="0"/>
      <w:divBdr>
        <w:top w:val="none" w:sz="0" w:space="0" w:color="auto"/>
        <w:left w:val="none" w:sz="0" w:space="0" w:color="auto"/>
        <w:bottom w:val="none" w:sz="0" w:space="0" w:color="auto"/>
        <w:right w:val="none" w:sz="0" w:space="0" w:color="auto"/>
      </w:divBdr>
    </w:div>
    <w:div w:id="1168247497">
      <w:bodyDiv w:val="1"/>
      <w:marLeft w:val="0"/>
      <w:marRight w:val="0"/>
      <w:marTop w:val="0"/>
      <w:marBottom w:val="0"/>
      <w:divBdr>
        <w:top w:val="none" w:sz="0" w:space="0" w:color="auto"/>
        <w:left w:val="none" w:sz="0" w:space="0" w:color="auto"/>
        <w:bottom w:val="none" w:sz="0" w:space="0" w:color="auto"/>
        <w:right w:val="none" w:sz="0" w:space="0" w:color="auto"/>
      </w:divBdr>
    </w:div>
    <w:div w:id="1172795033">
      <w:bodyDiv w:val="1"/>
      <w:marLeft w:val="0"/>
      <w:marRight w:val="0"/>
      <w:marTop w:val="0"/>
      <w:marBottom w:val="0"/>
      <w:divBdr>
        <w:top w:val="none" w:sz="0" w:space="0" w:color="auto"/>
        <w:left w:val="none" w:sz="0" w:space="0" w:color="auto"/>
        <w:bottom w:val="none" w:sz="0" w:space="0" w:color="auto"/>
        <w:right w:val="none" w:sz="0" w:space="0" w:color="auto"/>
      </w:divBdr>
    </w:div>
    <w:div w:id="1192375174">
      <w:bodyDiv w:val="1"/>
      <w:marLeft w:val="0"/>
      <w:marRight w:val="0"/>
      <w:marTop w:val="0"/>
      <w:marBottom w:val="0"/>
      <w:divBdr>
        <w:top w:val="none" w:sz="0" w:space="0" w:color="auto"/>
        <w:left w:val="none" w:sz="0" w:space="0" w:color="auto"/>
        <w:bottom w:val="none" w:sz="0" w:space="0" w:color="auto"/>
        <w:right w:val="none" w:sz="0" w:space="0" w:color="auto"/>
      </w:divBdr>
    </w:div>
    <w:div w:id="1198356054">
      <w:bodyDiv w:val="1"/>
      <w:marLeft w:val="0"/>
      <w:marRight w:val="0"/>
      <w:marTop w:val="0"/>
      <w:marBottom w:val="0"/>
      <w:divBdr>
        <w:top w:val="none" w:sz="0" w:space="0" w:color="auto"/>
        <w:left w:val="none" w:sz="0" w:space="0" w:color="auto"/>
        <w:bottom w:val="none" w:sz="0" w:space="0" w:color="auto"/>
        <w:right w:val="none" w:sz="0" w:space="0" w:color="auto"/>
      </w:divBdr>
    </w:div>
    <w:div w:id="1220750631">
      <w:bodyDiv w:val="1"/>
      <w:marLeft w:val="0"/>
      <w:marRight w:val="0"/>
      <w:marTop w:val="0"/>
      <w:marBottom w:val="0"/>
      <w:divBdr>
        <w:top w:val="none" w:sz="0" w:space="0" w:color="auto"/>
        <w:left w:val="none" w:sz="0" w:space="0" w:color="auto"/>
        <w:bottom w:val="none" w:sz="0" w:space="0" w:color="auto"/>
        <w:right w:val="none" w:sz="0" w:space="0" w:color="auto"/>
      </w:divBdr>
    </w:div>
    <w:div w:id="1227259038">
      <w:bodyDiv w:val="1"/>
      <w:marLeft w:val="0"/>
      <w:marRight w:val="0"/>
      <w:marTop w:val="0"/>
      <w:marBottom w:val="0"/>
      <w:divBdr>
        <w:top w:val="none" w:sz="0" w:space="0" w:color="auto"/>
        <w:left w:val="none" w:sz="0" w:space="0" w:color="auto"/>
        <w:bottom w:val="none" w:sz="0" w:space="0" w:color="auto"/>
        <w:right w:val="none" w:sz="0" w:space="0" w:color="auto"/>
      </w:divBdr>
    </w:div>
    <w:div w:id="1229804032">
      <w:bodyDiv w:val="1"/>
      <w:marLeft w:val="0"/>
      <w:marRight w:val="0"/>
      <w:marTop w:val="0"/>
      <w:marBottom w:val="0"/>
      <w:divBdr>
        <w:top w:val="none" w:sz="0" w:space="0" w:color="auto"/>
        <w:left w:val="none" w:sz="0" w:space="0" w:color="auto"/>
        <w:bottom w:val="none" w:sz="0" w:space="0" w:color="auto"/>
        <w:right w:val="none" w:sz="0" w:space="0" w:color="auto"/>
      </w:divBdr>
    </w:div>
    <w:div w:id="1236475940">
      <w:bodyDiv w:val="1"/>
      <w:marLeft w:val="0"/>
      <w:marRight w:val="0"/>
      <w:marTop w:val="0"/>
      <w:marBottom w:val="0"/>
      <w:divBdr>
        <w:top w:val="none" w:sz="0" w:space="0" w:color="auto"/>
        <w:left w:val="none" w:sz="0" w:space="0" w:color="auto"/>
        <w:bottom w:val="none" w:sz="0" w:space="0" w:color="auto"/>
        <w:right w:val="none" w:sz="0" w:space="0" w:color="auto"/>
      </w:divBdr>
    </w:div>
    <w:div w:id="1237595091">
      <w:bodyDiv w:val="1"/>
      <w:marLeft w:val="0"/>
      <w:marRight w:val="0"/>
      <w:marTop w:val="0"/>
      <w:marBottom w:val="0"/>
      <w:divBdr>
        <w:top w:val="none" w:sz="0" w:space="0" w:color="auto"/>
        <w:left w:val="none" w:sz="0" w:space="0" w:color="auto"/>
        <w:bottom w:val="none" w:sz="0" w:space="0" w:color="auto"/>
        <w:right w:val="none" w:sz="0" w:space="0" w:color="auto"/>
      </w:divBdr>
    </w:div>
    <w:div w:id="1246719822">
      <w:bodyDiv w:val="1"/>
      <w:marLeft w:val="0"/>
      <w:marRight w:val="0"/>
      <w:marTop w:val="0"/>
      <w:marBottom w:val="0"/>
      <w:divBdr>
        <w:top w:val="none" w:sz="0" w:space="0" w:color="auto"/>
        <w:left w:val="none" w:sz="0" w:space="0" w:color="auto"/>
        <w:bottom w:val="none" w:sz="0" w:space="0" w:color="auto"/>
        <w:right w:val="none" w:sz="0" w:space="0" w:color="auto"/>
      </w:divBdr>
    </w:div>
    <w:div w:id="1252087006">
      <w:bodyDiv w:val="1"/>
      <w:marLeft w:val="0"/>
      <w:marRight w:val="0"/>
      <w:marTop w:val="0"/>
      <w:marBottom w:val="0"/>
      <w:divBdr>
        <w:top w:val="none" w:sz="0" w:space="0" w:color="auto"/>
        <w:left w:val="none" w:sz="0" w:space="0" w:color="auto"/>
        <w:bottom w:val="none" w:sz="0" w:space="0" w:color="auto"/>
        <w:right w:val="none" w:sz="0" w:space="0" w:color="auto"/>
      </w:divBdr>
    </w:div>
    <w:div w:id="1261833613">
      <w:bodyDiv w:val="1"/>
      <w:marLeft w:val="0"/>
      <w:marRight w:val="0"/>
      <w:marTop w:val="0"/>
      <w:marBottom w:val="0"/>
      <w:divBdr>
        <w:top w:val="none" w:sz="0" w:space="0" w:color="auto"/>
        <w:left w:val="none" w:sz="0" w:space="0" w:color="auto"/>
        <w:bottom w:val="none" w:sz="0" w:space="0" w:color="auto"/>
        <w:right w:val="none" w:sz="0" w:space="0" w:color="auto"/>
      </w:divBdr>
      <w:divsChild>
        <w:div w:id="2070767832">
          <w:marLeft w:val="0"/>
          <w:marRight w:val="0"/>
          <w:marTop w:val="0"/>
          <w:marBottom w:val="0"/>
          <w:divBdr>
            <w:top w:val="none" w:sz="0" w:space="0" w:color="auto"/>
            <w:left w:val="none" w:sz="0" w:space="0" w:color="auto"/>
            <w:bottom w:val="none" w:sz="0" w:space="0" w:color="auto"/>
            <w:right w:val="none" w:sz="0" w:space="0" w:color="auto"/>
          </w:divBdr>
          <w:divsChild>
            <w:div w:id="515077039">
              <w:marLeft w:val="0"/>
              <w:marRight w:val="0"/>
              <w:marTop w:val="0"/>
              <w:marBottom w:val="0"/>
              <w:divBdr>
                <w:top w:val="none" w:sz="0" w:space="0" w:color="auto"/>
                <w:left w:val="none" w:sz="0" w:space="0" w:color="auto"/>
                <w:bottom w:val="none" w:sz="0" w:space="0" w:color="auto"/>
                <w:right w:val="none" w:sz="0" w:space="0" w:color="auto"/>
              </w:divBdr>
            </w:div>
            <w:div w:id="5783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584">
      <w:bodyDiv w:val="1"/>
      <w:marLeft w:val="0"/>
      <w:marRight w:val="0"/>
      <w:marTop w:val="0"/>
      <w:marBottom w:val="0"/>
      <w:divBdr>
        <w:top w:val="none" w:sz="0" w:space="0" w:color="auto"/>
        <w:left w:val="none" w:sz="0" w:space="0" w:color="auto"/>
        <w:bottom w:val="none" w:sz="0" w:space="0" w:color="auto"/>
        <w:right w:val="none" w:sz="0" w:space="0" w:color="auto"/>
      </w:divBdr>
    </w:div>
    <w:div w:id="1302223957">
      <w:bodyDiv w:val="1"/>
      <w:marLeft w:val="0"/>
      <w:marRight w:val="0"/>
      <w:marTop w:val="0"/>
      <w:marBottom w:val="0"/>
      <w:divBdr>
        <w:top w:val="none" w:sz="0" w:space="0" w:color="auto"/>
        <w:left w:val="none" w:sz="0" w:space="0" w:color="auto"/>
        <w:bottom w:val="none" w:sz="0" w:space="0" w:color="auto"/>
        <w:right w:val="none" w:sz="0" w:space="0" w:color="auto"/>
      </w:divBdr>
      <w:divsChild>
        <w:div w:id="712777031">
          <w:marLeft w:val="0"/>
          <w:marRight w:val="0"/>
          <w:marTop w:val="0"/>
          <w:marBottom w:val="0"/>
          <w:divBdr>
            <w:top w:val="none" w:sz="0" w:space="0" w:color="auto"/>
            <w:left w:val="none" w:sz="0" w:space="0" w:color="auto"/>
            <w:bottom w:val="none" w:sz="0" w:space="0" w:color="auto"/>
            <w:right w:val="none" w:sz="0" w:space="0" w:color="auto"/>
          </w:divBdr>
          <w:divsChild>
            <w:div w:id="342048076">
              <w:marLeft w:val="0"/>
              <w:marRight w:val="0"/>
              <w:marTop w:val="0"/>
              <w:marBottom w:val="0"/>
              <w:divBdr>
                <w:top w:val="none" w:sz="0" w:space="0" w:color="auto"/>
                <w:left w:val="none" w:sz="0" w:space="0" w:color="auto"/>
                <w:bottom w:val="none" w:sz="0" w:space="0" w:color="auto"/>
                <w:right w:val="none" w:sz="0" w:space="0" w:color="auto"/>
              </w:divBdr>
            </w:div>
            <w:div w:id="1103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628">
      <w:bodyDiv w:val="1"/>
      <w:marLeft w:val="0"/>
      <w:marRight w:val="0"/>
      <w:marTop w:val="0"/>
      <w:marBottom w:val="0"/>
      <w:divBdr>
        <w:top w:val="none" w:sz="0" w:space="0" w:color="auto"/>
        <w:left w:val="none" w:sz="0" w:space="0" w:color="auto"/>
        <w:bottom w:val="none" w:sz="0" w:space="0" w:color="auto"/>
        <w:right w:val="none" w:sz="0" w:space="0" w:color="auto"/>
      </w:divBdr>
    </w:div>
    <w:div w:id="1312365343">
      <w:bodyDiv w:val="1"/>
      <w:marLeft w:val="0"/>
      <w:marRight w:val="0"/>
      <w:marTop w:val="0"/>
      <w:marBottom w:val="0"/>
      <w:divBdr>
        <w:top w:val="none" w:sz="0" w:space="0" w:color="auto"/>
        <w:left w:val="none" w:sz="0" w:space="0" w:color="auto"/>
        <w:bottom w:val="none" w:sz="0" w:space="0" w:color="auto"/>
        <w:right w:val="none" w:sz="0" w:space="0" w:color="auto"/>
      </w:divBdr>
    </w:div>
    <w:div w:id="1319191755">
      <w:bodyDiv w:val="1"/>
      <w:marLeft w:val="0"/>
      <w:marRight w:val="0"/>
      <w:marTop w:val="0"/>
      <w:marBottom w:val="0"/>
      <w:divBdr>
        <w:top w:val="none" w:sz="0" w:space="0" w:color="auto"/>
        <w:left w:val="none" w:sz="0" w:space="0" w:color="auto"/>
        <w:bottom w:val="none" w:sz="0" w:space="0" w:color="auto"/>
        <w:right w:val="none" w:sz="0" w:space="0" w:color="auto"/>
      </w:divBdr>
    </w:div>
    <w:div w:id="1325233192">
      <w:bodyDiv w:val="1"/>
      <w:marLeft w:val="0"/>
      <w:marRight w:val="0"/>
      <w:marTop w:val="0"/>
      <w:marBottom w:val="0"/>
      <w:divBdr>
        <w:top w:val="none" w:sz="0" w:space="0" w:color="auto"/>
        <w:left w:val="none" w:sz="0" w:space="0" w:color="auto"/>
        <w:bottom w:val="none" w:sz="0" w:space="0" w:color="auto"/>
        <w:right w:val="none" w:sz="0" w:space="0" w:color="auto"/>
      </w:divBdr>
    </w:div>
    <w:div w:id="1334340492">
      <w:bodyDiv w:val="1"/>
      <w:marLeft w:val="0"/>
      <w:marRight w:val="0"/>
      <w:marTop w:val="0"/>
      <w:marBottom w:val="0"/>
      <w:divBdr>
        <w:top w:val="none" w:sz="0" w:space="0" w:color="auto"/>
        <w:left w:val="none" w:sz="0" w:space="0" w:color="auto"/>
        <w:bottom w:val="none" w:sz="0" w:space="0" w:color="auto"/>
        <w:right w:val="none" w:sz="0" w:space="0" w:color="auto"/>
      </w:divBdr>
    </w:div>
    <w:div w:id="1348405195">
      <w:bodyDiv w:val="1"/>
      <w:marLeft w:val="0"/>
      <w:marRight w:val="0"/>
      <w:marTop w:val="0"/>
      <w:marBottom w:val="0"/>
      <w:divBdr>
        <w:top w:val="none" w:sz="0" w:space="0" w:color="auto"/>
        <w:left w:val="none" w:sz="0" w:space="0" w:color="auto"/>
        <w:bottom w:val="none" w:sz="0" w:space="0" w:color="auto"/>
        <w:right w:val="none" w:sz="0" w:space="0" w:color="auto"/>
      </w:divBdr>
    </w:div>
    <w:div w:id="1367215239">
      <w:bodyDiv w:val="1"/>
      <w:marLeft w:val="0"/>
      <w:marRight w:val="0"/>
      <w:marTop w:val="0"/>
      <w:marBottom w:val="0"/>
      <w:divBdr>
        <w:top w:val="none" w:sz="0" w:space="0" w:color="auto"/>
        <w:left w:val="none" w:sz="0" w:space="0" w:color="auto"/>
        <w:bottom w:val="none" w:sz="0" w:space="0" w:color="auto"/>
        <w:right w:val="none" w:sz="0" w:space="0" w:color="auto"/>
      </w:divBdr>
      <w:divsChild>
        <w:div w:id="1349914417">
          <w:marLeft w:val="0"/>
          <w:marRight w:val="0"/>
          <w:marTop w:val="0"/>
          <w:marBottom w:val="0"/>
          <w:divBdr>
            <w:top w:val="none" w:sz="0" w:space="0" w:color="auto"/>
            <w:left w:val="none" w:sz="0" w:space="0" w:color="auto"/>
            <w:bottom w:val="none" w:sz="0" w:space="0" w:color="auto"/>
            <w:right w:val="none" w:sz="0" w:space="0" w:color="auto"/>
          </w:divBdr>
          <w:divsChild>
            <w:div w:id="6679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8066">
      <w:bodyDiv w:val="1"/>
      <w:marLeft w:val="0"/>
      <w:marRight w:val="0"/>
      <w:marTop w:val="0"/>
      <w:marBottom w:val="0"/>
      <w:divBdr>
        <w:top w:val="none" w:sz="0" w:space="0" w:color="auto"/>
        <w:left w:val="none" w:sz="0" w:space="0" w:color="auto"/>
        <w:bottom w:val="none" w:sz="0" w:space="0" w:color="auto"/>
        <w:right w:val="none" w:sz="0" w:space="0" w:color="auto"/>
      </w:divBdr>
    </w:div>
    <w:div w:id="1374620275">
      <w:bodyDiv w:val="1"/>
      <w:marLeft w:val="0"/>
      <w:marRight w:val="0"/>
      <w:marTop w:val="0"/>
      <w:marBottom w:val="0"/>
      <w:divBdr>
        <w:top w:val="none" w:sz="0" w:space="0" w:color="auto"/>
        <w:left w:val="none" w:sz="0" w:space="0" w:color="auto"/>
        <w:bottom w:val="none" w:sz="0" w:space="0" w:color="auto"/>
        <w:right w:val="none" w:sz="0" w:space="0" w:color="auto"/>
      </w:divBdr>
      <w:divsChild>
        <w:div w:id="1177040885">
          <w:marLeft w:val="0"/>
          <w:marRight w:val="0"/>
          <w:marTop w:val="0"/>
          <w:marBottom w:val="0"/>
          <w:divBdr>
            <w:top w:val="none" w:sz="0" w:space="0" w:color="auto"/>
            <w:left w:val="none" w:sz="0" w:space="0" w:color="auto"/>
            <w:bottom w:val="none" w:sz="0" w:space="0" w:color="auto"/>
            <w:right w:val="none" w:sz="0" w:space="0" w:color="auto"/>
          </w:divBdr>
          <w:divsChild>
            <w:div w:id="210308352">
              <w:marLeft w:val="0"/>
              <w:marRight w:val="0"/>
              <w:marTop w:val="0"/>
              <w:marBottom w:val="0"/>
              <w:divBdr>
                <w:top w:val="none" w:sz="0" w:space="0" w:color="auto"/>
                <w:left w:val="none" w:sz="0" w:space="0" w:color="auto"/>
                <w:bottom w:val="none" w:sz="0" w:space="0" w:color="auto"/>
                <w:right w:val="none" w:sz="0" w:space="0" w:color="auto"/>
              </w:divBdr>
            </w:div>
            <w:div w:id="314455486">
              <w:marLeft w:val="0"/>
              <w:marRight w:val="0"/>
              <w:marTop w:val="0"/>
              <w:marBottom w:val="0"/>
              <w:divBdr>
                <w:top w:val="none" w:sz="0" w:space="0" w:color="auto"/>
                <w:left w:val="none" w:sz="0" w:space="0" w:color="auto"/>
                <w:bottom w:val="none" w:sz="0" w:space="0" w:color="auto"/>
                <w:right w:val="none" w:sz="0" w:space="0" w:color="auto"/>
              </w:divBdr>
            </w:div>
            <w:div w:id="679501541">
              <w:marLeft w:val="0"/>
              <w:marRight w:val="0"/>
              <w:marTop w:val="0"/>
              <w:marBottom w:val="0"/>
              <w:divBdr>
                <w:top w:val="none" w:sz="0" w:space="0" w:color="auto"/>
                <w:left w:val="none" w:sz="0" w:space="0" w:color="auto"/>
                <w:bottom w:val="none" w:sz="0" w:space="0" w:color="auto"/>
                <w:right w:val="none" w:sz="0" w:space="0" w:color="auto"/>
              </w:divBdr>
            </w:div>
            <w:div w:id="850336024">
              <w:marLeft w:val="0"/>
              <w:marRight w:val="0"/>
              <w:marTop w:val="0"/>
              <w:marBottom w:val="0"/>
              <w:divBdr>
                <w:top w:val="none" w:sz="0" w:space="0" w:color="auto"/>
                <w:left w:val="none" w:sz="0" w:space="0" w:color="auto"/>
                <w:bottom w:val="none" w:sz="0" w:space="0" w:color="auto"/>
                <w:right w:val="none" w:sz="0" w:space="0" w:color="auto"/>
              </w:divBdr>
            </w:div>
            <w:div w:id="1133790464">
              <w:marLeft w:val="0"/>
              <w:marRight w:val="0"/>
              <w:marTop w:val="0"/>
              <w:marBottom w:val="0"/>
              <w:divBdr>
                <w:top w:val="none" w:sz="0" w:space="0" w:color="auto"/>
                <w:left w:val="none" w:sz="0" w:space="0" w:color="auto"/>
                <w:bottom w:val="none" w:sz="0" w:space="0" w:color="auto"/>
                <w:right w:val="none" w:sz="0" w:space="0" w:color="auto"/>
              </w:divBdr>
            </w:div>
            <w:div w:id="1267925826">
              <w:marLeft w:val="0"/>
              <w:marRight w:val="0"/>
              <w:marTop w:val="0"/>
              <w:marBottom w:val="0"/>
              <w:divBdr>
                <w:top w:val="none" w:sz="0" w:space="0" w:color="auto"/>
                <w:left w:val="none" w:sz="0" w:space="0" w:color="auto"/>
                <w:bottom w:val="none" w:sz="0" w:space="0" w:color="auto"/>
                <w:right w:val="none" w:sz="0" w:space="0" w:color="auto"/>
              </w:divBdr>
            </w:div>
            <w:div w:id="1535118605">
              <w:marLeft w:val="0"/>
              <w:marRight w:val="0"/>
              <w:marTop w:val="0"/>
              <w:marBottom w:val="0"/>
              <w:divBdr>
                <w:top w:val="none" w:sz="0" w:space="0" w:color="auto"/>
                <w:left w:val="none" w:sz="0" w:space="0" w:color="auto"/>
                <w:bottom w:val="none" w:sz="0" w:space="0" w:color="auto"/>
                <w:right w:val="none" w:sz="0" w:space="0" w:color="auto"/>
              </w:divBdr>
            </w:div>
            <w:div w:id="1636570127">
              <w:marLeft w:val="0"/>
              <w:marRight w:val="0"/>
              <w:marTop w:val="0"/>
              <w:marBottom w:val="0"/>
              <w:divBdr>
                <w:top w:val="none" w:sz="0" w:space="0" w:color="auto"/>
                <w:left w:val="none" w:sz="0" w:space="0" w:color="auto"/>
                <w:bottom w:val="none" w:sz="0" w:space="0" w:color="auto"/>
                <w:right w:val="none" w:sz="0" w:space="0" w:color="auto"/>
              </w:divBdr>
            </w:div>
            <w:div w:id="21159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9932">
      <w:bodyDiv w:val="1"/>
      <w:marLeft w:val="0"/>
      <w:marRight w:val="0"/>
      <w:marTop w:val="0"/>
      <w:marBottom w:val="0"/>
      <w:divBdr>
        <w:top w:val="none" w:sz="0" w:space="0" w:color="auto"/>
        <w:left w:val="none" w:sz="0" w:space="0" w:color="auto"/>
        <w:bottom w:val="none" w:sz="0" w:space="0" w:color="auto"/>
        <w:right w:val="none" w:sz="0" w:space="0" w:color="auto"/>
      </w:divBdr>
    </w:div>
    <w:div w:id="1400322937">
      <w:bodyDiv w:val="1"/>
      <w:marLeft w:val="0"/>
      <w:marRight w:val="0"/>
      <w:marTop w:val="0"/>
      <w:marBottom w:val="0"/>
      <w:divBdr>
        <w:top w:val="none" w:sz="0" w:space="0" w:color="auto"/>
        <w:left w:val="none" w:sz="0" w:space="0" w:color="auto"/>
        <w:bottom w:val="none" w:sz="0" w:space="0" w:color="auto"/>
        <w:right w:val="none" w:sz="0" w:space="0" w:color="auto"/>
      </w:divBdr>
    </w:div>
    <w:div w:id="1401438309">
      <w:bodyDiv w:val="1"/>
      <w:marLeft w:val="0"/>
      <w:marRight w:val="0"/>
      <w:marTop w:val="0"/>
      <w:marBottom w:val="0"/>
      <w:divBdr>
        <w:top w:val="none" w:sz="0" w:space="0" w:color="auto"/>
        <w:left w:val="none" w:sz="0" w:space="0" w:color="auto"/>
        <w:bottom w:val="none" w:sz="0" w:space="0" w:color="auto"/>
        <w:right w:val="none" w:sz="0" w:space="0" w:color="auto"/>
      </w:divBdr>
    </w:div>
    <w:div w:id="1424644297">
      <w:bodyDiv w:val="1"/>
      <w:marLeft w:val="0"/>
      <w:marRight w:val="0"/>
      <w:marTop w:val="0"/>
      <w:marBottom w:val="0"/>
      <w:divBdr>
        <w:top w:val="none" w:sz="0" w:space="0" w:color="auto"/>
        <w:left w:val="none" w:sz="0" w:space="0" w:color="auto"/>
        <w:bottom w:val="none" w:sz="0" w:space="0" w:color="auto"/>
        <w:right w:val="none" w:sz="0" w:space="0" w:color="auto"/>
      </w:divBdr>
    </w:div>
    <w:div w:id="1436755620">
      <w:bodyDiv w:val="1"/>
      <w:marLeft w:val="0"/>
      <w:marRight w:val="0"/>
      <w:marTop w:val="0"/>
      <w:marBottom w:val="0"/>
      <w:divBdr>
        <w:top w:val="none" w:sz="0" w:space="0" w:color="auto"/>
        <w:left w:val="none" w:sz="0" w:space="0" w:color="auto"/>
        <w:bottom w:val="none" w:sz="0" w:space="0" w:color="auto"/>
        <w:right w:val="none" w:sz="0" w:space="0" w:color="auto"/>
      </w:divBdr>
    </w:div>
    <w:div w:id="1445661267">
      <w:bodyDiv w:val="1"/>
      <w:marLeft w:val="0"/>
      <w:marRight w:val="0"/>
      <w:marTop w:val="0"/>
      <w:marBottom w:val="0"/>
      <w:divBdr>
        <w:top w:val="none" w:sz="0" w:space="0" w:color="auto"/>
        <w:left w:val="none" w:sz="0" w:space="0" w:color="auto"/>
        <w:bottom w:val="none" w:sz="0" w:space="0" w:color="auto"/>
        <w:right w:val="none" w:sz="0" w:space="0" w:color="auto"/>
      </w:divBdr>
    </w:div>
    <w:div w:id="1445882459">
      <w:bodyDiv w:val="1"/>
      <w:marLeft w:val="0"/>
      <w:marRight w:val="0"/>
      <w:marTop w:val="0"/>
      <w:marBottom w:val="0"/>
      <w:divBdr>
        <w:top w:val="none" w:sz="0" w:space="0" w:color="auto"/>
        <w:left w:val="none" w:sz="0" w:space="0" w:color="auto"/>
        <w:bottom w:val="none" w:sz="0" w:space="0" w:color="auto"/>
        <w:right w:val="none" w:sz="0" w:space="0" w:color="auto"/>
      </w:divBdr>
    </w:div>
    <w:div w:id="1448234098">
      <w:bodyDiv w:val="1"/>
      <w:marLeft w:val="0"/>
      <w:marRight w:val="0"/>
      <w:marTop w:val="0"/>
      <w:marBottom w:val="0"/>
      <w:divBdr>
        <w:top w:val="none" w:sz="0" w:space="0" w:color="auto"/>
        <w:left w:val="none" w:sz="0" w:space="0" w:color="auto"/>
        <w:bottom w:val="none" w:sz="0" w:space="0" w:color="auto"/>
        <w:right w:val="none" w:sz="0" w:space="0" w:color="auto"/>
      </w:divBdr>
    </w:div>
    <w:div w:id="1448551046">
      <w:bodyDiv w:val="1"/>
      <w:marLeft w:val="0"/>
      <w:marRight w:val="0"/>
      <w:marTop w:val="0"/>
      <w:marBottom w:val="0"/>
      <w:divBdr>
        <w:top w:val="none" w:sz="0" w:space="0" w:color="auto"/>
        <w:left w:val="none" w:sz="0" w:space="0" w:color="auto"/>
        <w:bottom w:val="none" w:sz="0" w:space="0" w:color="auto"/>
        <w:right w:val="none" w:sz="0" w:space="0" w:color="auto"/>
      </w:divBdr>
      <w:divsChild>
        <w:div w:id="18045143">
          <w:marLeft w:val="0"/>
          <w:marRight w:val="0"/>
          <w:marTop w:val="0"/>
          <w:marBottom w:val="0"/>
          <w:divBdr>
            <w:top w:val="none" w:sz="0" w:space="0" w:color="auto"/>
            <w:left w:val="none" w:sz="0" w:space="0" w:color="auto"/>
            <w:bottom w:val="none" w:sz="0" w:space="0" w:color="auto"/>
            <w:right w:val="none" w:sz="0" w:space="0" w:color="auto"/>
          </w:divBdr>
          <w:divsChild>
            <w:div w:id="1249116610">
              <w:marLeft w:val="0"/>
              <w:marRight w:val="0"/>
              <w:marTop w:val="0"/>
              <w:marBottom w:val="0"/>
              <w:divBdr>
                <w:top w:val="none" w:sz="0" w:space="0" w:color="auto"/>
                <w:left w:val="none" w:sz="0" w:space="0" w:color="auto"/>
                <w:bottom w:val="none" w:sz="0" w:space="0" w:color="auto"/>
                <w:right w:val="none" w:sz="0" w:space="0" w:color="auto"/>
              </w:divBdr>
            </w:div>
            <w:div w:id="13724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1639">
      <w:bodyDiv w:val="1"/>
      <w:marLeft w:val="0"/>
      <w:marRight w:val="0"/>
      <w:marTop w:val="0"/>
      <w:marBottom w:val="0"/>
      <w:divBdr>
        <w:top w:val="none" w:sz="0" w:space="0" w:color="auto"/>
        <w:left w:val="none" w:sz="0" w:space="0" w:color="auto"/>
        <w:bottom w:val="none" w:sz="0" w:space="0" w:color="auto"/>
        <w:right w:val="none" w:sz="0" w:space="0" w:color="auto"/>
      </w:divBdr>
    </w:div>
    <w:div w:id="1479346958">
      <w:bodyDiv w:val="1"/>
      <w:marLeft w:val="0"/>
      <w:marRight w:val="0"/>
      <w:marTop w:val="0"/>
      <w:marBottom w:val="0"/>
      <w:divBdr>
        <w:top w:val="none" w:sz="0" w:space="0" w:color="auto"/>
        <w:left w:val="none" w:sz="0" w:space="0" w:color="auto"/>
        <w:bottom w:val="none" w:sz="0" w:space="0" w:color="auto"/>
        <w:right w:val="none" w:sz="0" w:space="0" w:color="auto"/>
      </w:divBdr>
    </w:div>
    <w:div w:id="1497069769">
      <w:bodyDiv w:val="1"/>
      <w:marLeft w:val="0"/>
      <w:marRight w:val="0"/>
      <w:marTop w:val="0"/>
      <w:marBottom w:val="0"/>
      <w:divBdr>
        <w:top w:val="none" w:sz="0" w:space="0" w:color="auto"/>
        <w:left w:val="none" w:sz="0" w:space="0" w:color="auto"/>
        <w:bottom w:val="none" w:sz="0" w:space="0" w:color="auto"/>
        <w:right w:val="none" w:sz="0" w:space="0" w:color="auto"/>
      </w:divBdr>
    </w:div>
    <w:div w:id="1497183695">
      <w:bodyDiv w:val="1"/>
      <w:marLeft w:val="0"/>
      <w:marRight w:val="0"/>
      <w:marTop w:val="0"/>
      <w:marBottom w:val="0"/>
      <w:divBdr>
        <w:top w:val="none" w:sz="0" w:space="0" w:color="auto"/>
        <w:left w:val="none" w:sz="0" w:space="0" w:color="auto"/>
        <w:bottom w:val="none" w:sz="0" w:space="0" w:color="auto"/>
        <w:right w:val="none" w:sz="0" w:space="0" w:color="auto"/>
      </w:divBdr>
    </w:div>
    <w:div w:id="1502545536">
      <w:bodyDiv w:val="1"/>
      <w:marLeft w:val="0"/>
      <w:marRight w:val="0"/>
      <w:marTop w:val="0"/>
      <w:marBottom w:val="0"/>
      <w:divBdr>
        <w:top w:val="none" w:sz="0" w:space="0" w:color="auto"/>
        <w:left w:val="none" w:sz="0" w:space="0" w:color="auto"/>
        <w:bottom w:val="none" w:sz="0" w:space="0" w:color="auto"/>
        <w:right w:val="none" w:sz="0" w:space="0" w:color="auto"/>
      </w:divBdr>
    </w:div>
    <w:div w:id="1546985632">
      <w:bodyDiv w:val="1"/>
      <w:marLeft w:val="0"/>
      <w:marRight w:val="0"/>
      <w:marTop w:val="0"/>
      <w:marBottom w:val="0"/>
      <w:divBdr>
        <w:top w:val="none" w:sz="0" w:space="0" w:color="auto"/>
        <w:left w:val="none" w:sz="0" w:space="0" w:color="auto"/>
        <w:bottom w:val="none" w:sz="0" w:space="0" w:color="auto"/>
        <w:right w:val="none" w:sz="0" w:space="0" w:color="auto"/>
      </w:divBdr>
    </w:div>
    <w:div w:id="1562906484">
      <w:bodyDiv w:val="1"/>
      <w:marLeft w:val="0"/>
      <w:marRight w:val="0"/>
      <w:marTop w:val="0"/>
      <w:marBottom w:val="0"/>
      <w:divBdr>
        <w:top w:val="none" w:sz="0" w:space="0" w:color="auto"/>
        <w:left w:val="none" w:sz="0" w:space="0" w:color="auto"/>
        <w:bottom w:val="none" w:sz="0" w:space="0" w:color="auto"/>
        <w:right w:val="none" w:sz="0" w:space="0" w:color="auto"/>
      </w:divBdr>
    </w:div>
    <w:div w:id="1567567663">
      <w:bodyDiv w:val="1"/>
      <w:marLeft w:val="0"/>
      <w:marRight w:val="0"/>
      <w:marTop w:val="0"/>
      <w:marBottom w:val="0"/>
      <w:divBdr>
        <w:top w:val="none" w:sz="0" w:space="0" w:color="auto"/>
        <w:left w:val="none" w:sz="0" w:space="0" w:color="auto"/>
        <w:bottom w:val="none" w:sz="0" w:space="0" w:color="auto"/>
        <w:right w:val="none" w:sz="0" w:space="0" w:color="auto"/>
      </w:divBdr>
    </w:div>
    <w:div w:id="1593272103">
      <w:bodyDiv w:val="1"/>
      <w:marLeft w:val="0"/>
      <w:marRight w:val="0"/>
      <w:marTop w:val="0"/>
      <w:marBottom w:val="0"/>
      <w:divBdr>
        <w:top w:val="none" w:sz="0" w:space="0" w:color="auto"/>
        <w:left w:val="none" w:sz="0" w:space="0" w:color="auto"/>
        <w:bottom w:val="none" w:sz="0" w:space="0" w:color="auto"/>
        <w:right w:val="none" w:sz="0" w:space="0" w:color="auto"/>
      </w:divBdr>
    </w:div>
    <w:div w:id="1594246469">
      <w:bodyDiv w:val="1"/>
      <w:marLeft w:val="0"/>
      <w:marRight w:val="0"/>
      <w:marTop w:val="0"/>
      <w:marBottom w:val="0"/>
      <w:divBdr>
        <w:top w:val="none" w:sz="0" w:space="0" w:color="auto"/>
        <w:left w:val="none" w:sz="0" w:space="0" w:color="auto"/>
        <w:bottom w:val="none" w:sz="0" w:space="0" w:color="auto"/>
        <w:right w:val="none" w:sz="0" w:space="0" w:color="auto"/>
      </w:divBdr>
    </w:div>
    <w:div w:id="1615792791">
      <w:bodyDiv w:val="1"/>
      <w:marLeft w:val="0"/>
      <w:marRight w:val="0"/>
      <w:marTop w:val="0"/>
      <w:marBottom w:val="0"/>
      <w:divBdr>
        <w:top w:val="none" w:sz="0" w:space="0" w:color="auto"/>
        <w:left w:val="none" w:sz="0" w:space="0" w:color="auto"/>
        <w:bottom w:val="none" w:sz="0" w:space="0" w:color="auto"/>
        <w:right w:val="none" w:sz="0" w:space="0" w:color="auto"/>
      </w:divBdr>
    </w:div>
    <w:div w:id="1619993601">
      <w:bodyDiv w:val="1"/>
      <w:marLeft w:val="0"/>
      <w:marRight w:val="0"/>
      <w:marTop w:val="0"/>
      <w:marBottom w:val="0"/>
      <w:divBdr>
        <w:top w:val="none" w:sz="0" w:space="0" w:color="auto"/>
        <w:left w:val="none" w:sz="0" w:space="0" w:color="auto"/>
        <w:bottom w:val="none" w:sz="0" w:space="0" w:color="auto"/>
        <w:right w:val="none" w:sz="0" w:space="0" w:color="auto"/>
      </w:divBdr>
    </w:div>
    <w:div w:id="1647934525">
      <w:bodyDiv w:val="1"/>
      <w:marLeft w:val="0"/>
      <w:marRight w:val="0"/>
      <w:marTop w:val="0"/>
      <w:marBottom w:val="0"/>
      <w:divBdr>
        <w:top w:val="none" w:sz="0" w:space="0" w:color="auto"/>
        <w:left w:val="none" w:sz="0" w:space="0" w:color="auto"/>
        <w:bottom w:val="none" w:sz="0" w:space="0" w:color="auto"/>
        <w:right w:val="none" w:sz="0" w:space="0" w:color="auto"/>
      </w:divBdr>
      <w:divsChild>
        <w:div w:id="1779637436">
          <w:marLeft w:val="0"/>
          <w:marRight w:val="0"/>
          <w:marTop w:val="0"/>
          <w:marBottom w:val="0"/>
          <w:divBdr>
            <w:top w:val="none" w:sz="0" w:space="0" w:color="auto"/>
            <w:left w:val="none" w:sz="0" w:space="0" w:color="auto"/>
            <w:bottom w:val="none" w:sz="0" w:space="0" w:color="auto"/>
            <w:right w:val="none" w:sz="0" w:space="0" w:color="auto"/>
          </w:divBdr>
          <w:divsChild>
            <w:div w:id="340857515">
              <w:marLeft w:val="0"/>
              <w:marRight w:val="0"/>
              <w:marTop w:val="0"/>
              <w:marBottom w:val="0"/>
              <w:divBdr>
                <w:top w:val="none" w:sz="0" w:space="0" w:color="auto"/>
                <w:left w:val="none" w:sz="0" w:space="0" w:color="auto"/>
                <w:bottom w:val="none" w:sz="0" w:space="0" w:color="auto"/>
                <w:right w:val="none" w:sz="0" w:space="0" w:color="auto"/>
              </w:divBdr>
            </w:div>
            <w:div w:id="1193491880">
              <w:marLeft w:val="0"/>
              <w:marRight w:val="0"/>
              <w:marTop w:val="0"/>
              <w:marBottom w:val="0"/>
              <w:divBdr>
                <w:top w:val="none" w:sz="0" w:space="0" w:color="auto"/>
                <w:left w:val="none" w:sz="0" w:space="0" w:color="auto"/>
                <w:bottom w:val="none" w:sz="0" w:space="0" w:color="auto"/>
                <w:right w:val="none" w:sz="0" w:space="0" w:color="auto"/>
              </w:divBdr>
            </w:div>
            <w:div w:id="1616059945">
              <w:marLeft w:val="0"/>
              <w:marRight w:val="0"/>
              <w:marTop w:val="0"/>
              <w:marBottom w:val="0"/>
              <w:divBdr>
                <w:top w:val="none" w:sz="0" w:space="0" w:color="auto"/>
                <w:left w:val="none" w:sz="0" w:space="0" w:color="auto"/>
                <w:bottom w:val="none" w:sz="0" w:space="0" w:color="auto"/>
                <w:right w:val="none" w:sz="0" w:space="0" w:color="auto"/>
              </w:divBdr>
            </w:div>
            <w:div w:id="2029065700">
              <w:marLeft w:val="0"/>
              <w:marRight w:val="0"/>
              <w:marTop w:val="0"/>
              <w:marBottom w:val="0"/>
              <w:divBdr>
                <w:top w:val="none" w:sz="0" w:space="0" w:color="auto"/>
                <w:left w:val="none" w:sz="0" w:space="0" w:color="auto"/>
                <w:bottom w:val="none" w:sz="0" w:space="0" w:color="auto"/>
                <w:right w:val="none" w:sz="0" w:space="0" w:color="auto"/>
              </w:divBdr>
            </w:div>
            <w:div w:id="2047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281">
      <w:bodyDiv w:val="1"/>
      <w:marLeft w:val="0"/>
      <w:marRight w:val="0"/>
      <w:marTop w:val="0"/>
      <w:marBottom w:val="0"/>
      <w:divBdr>
        <w:top w:val="none" w:sz="0" w:space="0" w:color="auto"/>
        <w:left w:val="none" w:sz="0" w:space="0" w:color="auto"/>
        <w:bottom w:val="none" w:sz="0" w:space="0" w:color="auto"/>
        <w:right w:val="none" w:sz="0" w:space="0" w:color="auto"/>
      </w:divBdr>
    </w:div>
    <w:div w:id="1677420095">
      <w:bodyDiv w:val="1"/>
      <w:marLeft w:val="0"/>
      <w:marRight w:val="0"/>
      <w:marTop w:val="0"/>
      <w:marBottom w:val="0"/>
      <w:divBdr>
        <w:top w:val="none" w:sz="0" w:space="0" w:color="auto"/>
        <w:left w:val="none" w:sz="0" w:space="0" w:color="auto"/>
        <w:bottom w:val="none" w:sz="0" w:space="0" w:color="auto"/>
        <w:right w:val="none" w:sz="0" w:space="0" w:color="auto"/>
      </w:divBdr>
    </w:div>
    <w:div w:id="1710914768">
      <w:bodyDiv w:val="1"/>
      <w:marLeft w:val="0"/>
      <w:marRight w:val="0"/>
      <w:marTop w:val="0"/>
      <w:marBottom w:val="0"/>
      <w:divBdr>
        <w:top w:val="none" w:sz="0" w:space="0" w:color="auto"/>
        <w:left w:val="none" w:sz="0" w:space="0" w:color="auto"/>
        <w:bottom w:val="none" w:sz="0" w:space="0" w:color="auto"/>
        <w:right w:val="none" w:sz="0" w:space="0" w:color="auto"/>
      </w:divBdr>
    </w:div>
    <w:div w:id="1732383538">
      <w:bodyDiv w:val="1"/>
      <w:marLeft w:val="0"/>
      <w:marRight w:val="0"/>
      <w:marTop w:val="0"/>
      <w:marBottom w:val="0"/>
      <w:divBdr>
        <w:top w:val="none" w:sz="0" w:space="0" w:color="auto"/>
        <w:left w:val="none" w:sz="0" w:space="0" w:color="auto"/>
        <w:bottom w:val="none" w:sz="0" w:space="0" w:color="auto"/>
        <w:right w:val="none" w:sz="0" w:space="0" w:color="auto"/>
      </w:divBdr>
    </w:div>
    <w:div w:id="1735540324">
      <w:bodyDiv w:val="1"/>
      <w:marLeft w:val="0"/>
      <w:marRight w:val="0"/>
      <w:marTop w:val="0"/>
      <w:marBottom w:val="0"/>
      <w:divBdr>
        <w:top w:val="none" w:sz="0" w:space="0" w:color="auto"/>
        <w:left w:val="none" w:sz="0" w:space="0" w:color="auto"/>
        <w:bottom w:val="none" w:sz="0" w:space="0" w:color="auto"/>
        <w:right w:val="none" w:sz="0" w:space="0" w:color="auto"/>
      </w:divBdr>
    </w:div>
    <w:div w:id="1738897750">
      <w:bodyDiv w:val="1"/>
      <w:marLeft w:val="0"/>
      <w:marRight w:val="0"/>
      <w:marTop w:val="0"/>
      <w:marBottom w:val="0"/>
      <w:divBdr>
        <w:top w:val="none" w:sz="0" w:space="0" w:color="auto"/>
        <w:left w:val="none" w:sz="0" w:space="0" w:color="auto"/>
        <w:bottom w:val="none" w:sz="0" w:space="0" w:color="auto"/>
        <w:right w:val="none" w:sz="0" w:space="0" w:color="auto"/>
      </w:divBdr>
    </w:div>
    <w:div w:id="1756314842">
      <w:bodyDiv w:val="1"/>
      <w:marLeft w:val="0"/>
      <w:marRight w:val="0"/>
      <w:marTop w:val="0"/>
      <w:marBottom w:val="0"/>
      <w:divBdr>
        <w:top w:val="none" w:sz="0" w:space="0" w:color="auto"/>
        <w:left w:val="none" w:sz="0" w:space="0" w:color="auto"/>
        <w:bottom w:val="none" w:sz="0" w:space="0" w:color="auto"/>
        <w:right w:val="none" w:sz="0" w:space="0" w:color="auto"/>
      </w:divBdr>
    </w:div>
    <w:div w:id="1779325695">
      <w:bodyDiv w:val="1"/>
      <w:marLeft w:val="0"/>
      <w:marRight w:val="0"/>
      <w:marTop w:val="0"/>
      <w:marBottom w:val="0"/>
      <w:divBdr>
        <w:top w:val="none" w:sz="0" w:space="0" w:color="auto"/>
        <w:left w:val="none" w:sz="0" w:space="0" w:color="auto"/>
        <w:bottom w:val="none" w:sz="0" w:space="0" w:color="auto"/>
        <w:right w:val="none" w:sz="0" w:space="0" w:color="auto"/>
      </w:divBdr>
    </w:div>
    <w:div w:id="1792482139">
      <w:bodyDiv w:val="1"/>
      <w:marLeft w:val="0"/>
      <w:marRight w:val="0"/>
      <w:marTop w:val="0"/>
      <w:marBottom w:val="0"/>
      <w:divBdr>
        <w:top w:val="none" w:sz="0" w:space="0" w:color="auto"/>
        <w:left w:val="none" w:sz="0" w:space="0" w:color="auto"/>
        <w:bottom w:val="none" w:sz="0" w:space="0" w:color="auto"/>
        <w:right w:val="none" w:sz="0" w:space="0" w:color="auto"/>
      </w:divBdr>
    </w:div>
    <w:div w:id="1842618102">
      <w:bodyDiv w:val="1"/>
      <w:marLeft w:val="0"/>
      <w:marRight w:val="0"/>
      <w:marTop w:val="0"/>
      <w:marBottom w:val="0"/>
      <w:divBdr>
        <w:top w:val="none" w:sz="0" w:space="0" w:color="auto"/>
        <w:left w:val="none" w:sz="0" w:space="0" w:color="auto"/>
        <w:bottom w:val="none" w:sz="0" w:space="0" w:color="auto"/>
        <w:right w:val="none" w:sz="0" w:space="0" w:color="auto"/>
      </w:divBdr>
      <w:divsChild>
        <w:div w:id="895042230">
          <w:marLeft w:val="0"/>
          <w:marRight w:val="0"/>
          <w:marTop w:val="0"/>
          <w:marBottom w:val="0"/>
          <w:divBdr>
            <w:top w:val="none" w:sz="0" w:space="0" w:color="auto"/>
            <w:left w:val="none" w:sz="0" w:space="0" w:color="auto"/>
            <w:bottom w:val="none" w:sz="0" w:space="0" w:color="auto"/>
            <w:right w:val="none" w:sz="0" w:space="0" w:color="auto"/>
          </w:divBdr>
          <w:divsChild>
            <w:div w:id="257183091">
              <w:marLeft w:val="0"/>
              <w:marRight w:val="0"/>
              <w:marTop w:val="0"/>
              <w:marBottom w:val="0"/>
              <w:divBdr>
                <w:top w:val="none" w:sz="0" w:space="0" w:color="auto"/>
                <w:left w:val="none" w:sz="0" w:space="0" w:color="auto"/>
                <w:bottom w:val="none" w:sz="0" w:space="0" w:color="auto"/>
                <w:right w:val="none" w:sz="0" w:space="0" w:color="auto"/>
              </w:divBdr>
            </w:div>
            <w:div w:id="752050340">
              <w:marLeft w:val="0"/>
              <w:marRight w:val="0"/>
              <w:marTop w:val="0"/>
              <w:marBottom w:val="0"/>
              <w:divBdr>
                <w:top w:val="none" w:sz="0" w:space="0" w:color="auto"/>
                <w:left w:val="none" w:sz="0" w:space="0" w:color="auto"/>
                <w:bottom w:val="none" w:sz="0" w:space="0" w:color="auto"/>
                <w:right w:val="none" w:sz="0" w:space="0" w:color="auto"/>
              </w:divBdr>
            </w:div>
            <w:div w:id="845635181">
              <w:marLeft w:val="0"/>
              <w:marRight w:val="0"/>
              <w:marTop w:val="0"/>
              <w:marBottom w:val="0"/>
              <w:divBdr>
                <w:top w:val="none" w:sz="0" w:space="0" w:color="auto"/>
                <w:left w:val="none" w:sz="0" w:space="0" w:color="auto"/>
                <w:bottom w:val="none" w:sz="0" w:space="0" w:color="auto"/>
                <w:right w:val="none" w:sz="0" w:space="0" w:color="auto"/>
              </w:divBdr>
            </w:div>
            <w:div w:id="17062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3418">
      <w:bodyDiv w:val="1"/>
      <w:marLeft w:val="0"/>
      <w:marRight w:val="0"/>
      <w:marTop w:val="0"/>
      <w:marBottom w:val="0"/>
      <w:divBdr>
        <w:top w:val="none" w:sz="0" w:space="0" w:color="auto"/>
        <w:left w:val="none" w:sz="0" w:space="0" w:color="auto"/>
        <w:bottom w:val="none" w:sz="0" w:space="0" w:color="auto"/>
        <w:right w:val="none" w:sz="0" w:space="0" w:color="auto"/>
      </w:divBdr>
    </w:div>
    <w:div w:id="1855610850">
      <w:bodyDiv w:val="1"/>
      <w:marLeft w:val="0"/>
      <w:marRight w:val="0"/>
      <w:marTop w:val="0"/>
      <w:marBottom w:val="0"/>
      <w:divBdr>
        <w:top w:val="none" w:sz="0" w:space="0" w:color="auto"/>
        <w:left w:val="none" w:sz="0" w:space="0" w:color="auto"/>
        <w:bottom w:val="none" w:sz="0" w:space="0" w:color="auto"/>
        <w:right w:val="none" w:sz="0" w:space="0" w:color="auto"/>
      </w:divBdr>
    </w:div>
    <w:div w:id="1876890573">
      <w:bodyDiv w:val="1"/>
      <w:marLeft w:val="0"/>
      <w:marRight w:val="0"/>
      <w:marTop w:val="0"/>
      <w:marBottom w:val="0"/>
      <w:divBdr>
        <w:top w:val="none" w:sz="0" w:space="0" w:color="auto"/>
        <w:left w:val="none" w:sz="0" w:space="0" w:color="auto"/>
        <w:bottom w:val="none" w:sz="0" w:space="0" w:color="auto"/>
        <w:right w:val="none" w:sz="0" w:space="0" w:color="auto"/>
      </w:divBdr>
    </w:div>
    <w:div w:id="1894540728">
      <w:bodyDiv w:val="1"/>
      <w:marLeft w:val="0"/>
      <w:marRight w:val="0"/>
      <w:marTop w:val="0"/>
      <w:marBottom w:val="0"/>
      <w:divBdr>
        <w:top w:val="none" w:sz="0" w:space="0" w:color="auto"/>
        <w:left w:val="none" w:sz="0" w:space="0" w:color="auto"/>
        <w:bottom w:val="none" w:sz="0" w:space="0" w:color="auto"/>
        <w:right w:val="none" w:sz="0" w:space="0" w:color="auto"/>
      </w:divBdr>
    </w:div>
    <w:div w:id="1901935502">
      <w:bodyDiv w:val="1"/>
      <w:marLeft w:val="0"/>
      <w:marRight w:val="0"/>
      <w:marTop w:val="0"/>
      <w:marBottom w:val="0"/>
      <w:divBdr>
        <w:top w:val="none" w:sz="0" w:space="0" w:color="auto"/>
        <w:left w:val="none" w:sz="0" w:space="0" w:color="auto"/>
        <w:bottom w:val="none" w:sz="0" w:space="0" w:color="auto"/>
        <w:right w:val="none" w:sz="0" w:space="0" w:color="auto"/>
      </w:divBdr>
    </w:div>
    <w:div w:id="1922831487">
      <w:bodyDiv w:val="1"/>
      <w:marLeft w:val="0"/>
      <w:marRight w:val="0"/>
      <w:marTop w:val="0"/>
      <w:marBottom w:val="0"/>
      <w:divBdr>
        <w:top w:val="none" w:sz="0" w:space="0" w:color="auto"/>
        <w:left w:val="none" w:sz="0" w:space="0" w:color="auto"/>
        <w:bottom w:val="none" w:sz="0" w:space="0" w:color="auto"/>
        <w:right w:val="none" w:sz="0" w:space="0" w:color="auto"/>
      </w:divBdr>
      <w:divsChild>
        <w:div w:id="263921375">
          <w:marLeft w:val="0"/>
          <w:marRight w:val="0"/>
          <w:marTop w:val="0"/>
          <w:marBottom w:val="0"/>
          <w:divBdr>
            <w:top w:val="none" w:sz="0" w:space="0" w:color="auto"/>
            <w:left w:val="none" w:sz="0" w:space="0" w:color="auto"/>
            <w:bottom w:val="none" w:sz="0" w:space="0" w:color="auto"/>
            <w:right w:val="none" w:sz="0" w:space="0" w:color="auto"/>
          </w:divBdr>
          <w:divsChild>
            <w:div w:id="860779987">
              <w:marLeft w:val="0"/>
              <w:marRight w:val="0"/>
              <w:marTop w:val="0"/>
              <w:marBottom w:val="0"/>
              <w:divBdr>
                <w:top w:val="none" w:sz="0" w:space="0" w:color="auto"/>
                <w:left w:val="none" w:sz="0" w:space="0" w:color="auto"/>
                <w:bottom w:val="none" w:sz="0" w:space="0" w:color="auto"/>
                <w:right w:val="none" w:sz="0" w:space="0" w:color="auto"/>
              </w:divBdr>
            </w:div>
            <w:div w:id="1225292315">
              <w:marLeft w:val="0"/>
              <w:marRight w:val="0"/>
              <w:marTop w:val="0"/>
              <w:marBottom w:val="0"/>
              <w:divBdr>
                <w:top w:val="none" w:sz="0" w:space="0" w:color="auto"/>
                <w:left w:val="none" w:sz="0" w:space="0" w:color="auto"/>
                <w:bottom w:val="none" w:sz="0" w:space="0" w:color="auto"/>
                <w:right w:val="none" w:sz="0" w:space="0" w:color="auto"/>
              </w:divBdr>
            </w:div>
            <w:div w:id="1331904249">
              <w:marLeft w:val="0"/>
              <w:marRight w:val="0"/>
              <w:marTop w:val="0"/>
              <w:marBottom w:val="0"/>
              <w:divBdr>
                <w:top w:val="none" w:sz="0" w:space="0" w:color="auto"/>
                <w:left w:val="none" w:sz="0" w:space="0" w:color="auto"/>
                <w:bottom w:val="none" w:sz="0" w:space="0" w:color="auto"/>
                <w:right w:val="none" w:sz="0" w:space="0" w:color="auto"/>
              </w:divBdr>
            </w:div>
            <w:div w:id="1987854280">
              <w:marLeft w:val="0"/>
              <w:marRight w:val="0"/>
              <w:marTop w:val="0"/>
              <w:marBottom w:val="0"/>
              <w:divBdr>
                <w:top w:val="none" w:sz="0" w:space="0" w:color="auto"/>
                <w:left w:val="none" w:sz="0" w:space="0" w:color="auto"/>
                <w:bottom w:val="none" w:sz="0" w:space="0" w:color="auto"/>
                <w:right w:val="none" w:sz="0" w:space="0" w:color="auto"/>
              </w:divBdr>
            </w:div>
            <w:div w:id="20459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910">
      <w:bodyDiv w:val="1"/>
      <w:marLeft w:val="0"/>
      <w:marRight w:val="0"/>
      <w:marTop w:val="0"/>
      <w:marBottom w:val="0"/>
      <w:divBdr>
        <w:top w:val="none" w:sz="0" w:space="0" w:color="auto"/>
        <w:left w:val="none" w:sz="0" w:space="0" w:color="auto"/>
        <w:bottom w:val="none" w:sz="0" w:space="0" w:color="auto"/>
        <w:right w:val="none" w:sz="0" w:space="0" w:color="auto"/>
      </w:divBdr>
    </w:div>
    <w:div w:id="2000694405">
      <w:bodyDiv w:val="1"/>
      <w:marLeft w:val="0"/>
      <w:marRight w:val="0"/>
      <w:marTop w:val="0"/>
      <w:marBottom w:val="0"/>
      <w:divBdr>
        <w:top w:val="none" w:sz="0" w:space="0" w:color="auto"/>
        <w:left w:val="none" w:sz="0" w:space="0" w:color="auto"/>
        <w:bottom w:val="none" w:sz="0" w:space="0" w:color="auto"/>
        <w:right w:val="none" w:sz="0" w:space="0" w:color="auto"/>
      </w:divBdr>
    </w:div>
    <w:div w:id="2009284811">
      <w:bodyDiv w:val="1"/>
      <w:marLeft w:val="0"/>
      <w:marRight w:val="0"/>
      <w:marTop w:val="0"/>
      <w:marBottom w:val="0"/>
      <w:divBdr>
        <w:top w:val="none" w:sz="0" w:space="0" w:color="auto"/>
        <w:left w:val="none" w:sz="0" w:space="0" w:color="auto"/>
        <w:bottom w:val="none" w:sz="0" w:space="0" w:color="auto"/>
        <w:right w:val="none" w:sz="0" w:space="0" w:color="auto"/>
      </w:divBdr>
    </w:div>
    <w:div w:id="2040350382">
      <w:bodyDiv w:val="1"/>
      <w:marLeft w:val="0"/>
      <w:marRight w:val="0"/>
      <w:marTop w:val="0"/>
      <w:marBottom w:val="0"/>
      <w:divBdr>
        <w:top w:val="none" w:sz="0" w:space="0" w:color="auto"/>
        <w:left w:val="none" w:sz="0" w:space="0" w:color="auto"/>
        <w:bottom w:val="none" w:sz="0" w:space="0" w:color="auto"/>
        <w:right w:val="none" w:sz="0" w:space="0" w:color="auto"/>
      </w:divBdr>
    </w:div>
    <w:div w:id="2043937252">
      <w:bodyDiv w:val="1"/>
      <w:marLeft w:val="0"/>
      <w:marRight w:val="0"/>
      <w:marTop w:val="0"/>
      <w:marBottom w:val="0"/>
      <w:divBdr>
        <w:top w:val="none" w:sz="0" w:space="0" w:color="auto"/>
        <w:left w:val="none" w:sz="0" w:space="0" w:color="auto"/>
        <w:bottom w:val="none" w:sz="0" w:space="0" w:color="auto"/>
        <w:right w:val="none" w:sz="0" w:space="0" w:color="auto"/>
      </w:divBdr>
    </w:div>
    <w:div w:id="2046320882">
      <w:bodyDiv w:val="1"/>
      <w:marLeft w:val="0"/>
      <w:marRight w:val="0"/>
      <w:marTop w:val="0"/>
      <w:marBottom w:val="0"/>
      <w:divBdr>
        <w:top w:val="none" w:sz="0" w:space="0" w:color="auto"/>
        <w:left w:val="none" w:sz="0" w:space="0" w:color="auto"/>
        <w:bottom w:val="none" w:sz="0" w:space="0" w:color="auto"/>
        <w:right w:val="none" w:sz="0" w:space="0" w:color="auto"/>
      </w:divBdr>
    </w:div>
    <w:div w:id="2046325704">
      <w:bodyDiv w:val="1"/>
      <w:marLeft w:val="0"/>
      <w:marRight w:val="0"/>
      <w:marTop w:val="0"/>
      <w:marBottom w:val="0"/>
      <w:divBdr>
        <w:top w:val="none" w:sz="0" w:space="0" w:color="auto"/>
        <w:left w:val="none" w:sz="0" w:space="0" w:color="auto"/>
        <w:bottom w:val="none" w:sz="0" w:space="0" w:color="auto"/>
        <w:right w:val="none" w:sz="0" w:space="0" w:color="auto"/>
      </w:divBdr>
    </w:div>
    <w:div w:id="2050110250">
      <w:bodyDiv w:val="1"/>
      <w:marLeft w:val="0"/>
      <w:marRight w:val="0"/>
      <w:marTop w:val="0"/>
      <w:marBottom w:val="0"/>
      <w:divBdr>
        <w:top w:val="none" w:sz="0" w:space="0" w:color="auto"/>
        <w:left w:val="none" w:sz="0" w:space="0" w:color="auto"/>
        <w:bottom w:val="none" w:sz="0" w:space="0" w:color="auto"/>
        <w:right w:val="none" w:sz="0" w:space="0" w:color="auto"/>
      </w:divBdr>
    </w:div>
    <w:div w:id="2059350484">
      <w:bodyDiv w:val="1"/>
      <w:marLeft w:val="0"/>
      <w:marRight w:val="0"/>
      <w:marTop w:val="0"/>
      <w:marBottom w:val="0"/>
      <w:divBdr>
        <w:top w:val="none" w:sz="0" w:space="0" w:color="auto"/>
        <w:left w:val="none" w:sz="0" w:space="0" w:color="auto"/>
        <w:bottom w:val="none" w:sz="0" w:space="0" w:color="auto"/>
        <w:right w:val="none" w:sz="0" w:space="0" w:color="auto"/>
      </w:divBdr>
    </w:div>
    <w:div w:id="2069377684">
      <w:bodyDiv w:val="1"/>
      <w:marLeft w:val="0"/>
      <w:marRight w:val="0"/>
      <w:marTop w:val="0"/>
      <w:marBottom w:val="0"/>
      <w:divBdr>
        <w:top w:val="none" w:sz="0" w:space="0" w:color="auto"/>
        <w:left w:val="none" w:sz="0" w:space="0" w:color="auto"/>
        <w:bottom w:val="none" w:sz="0" w:space="0" w:color="auto"/>
        <w:right w:val="none" w:sz="0" w:space="0" w:color="auto"/>
      </w:divBdr>
    </w:div>
    <w:div w:id="2077505027">
      <w:bodyDiv w:val="1"/>
      <w:marLeft w:val="0"/>
      <w:marRight w:val="0"/>
      <w:marTop w:val="0"/>
      <w:marBottom w:val="0"/>
      <w:divBdr>
        <w:top w:val="none" w:sz="0" w:space="0" w:color="auto"/>
        <w:left w:val="none" w:sz="0" w:space="0" w:color="auto"/>
        <w:bottom w:val="none" w:sz="0" w:space="0" w:color="auto"/>
        <w:right w:val="none" w:sz="0" w:space="0" w:color="auto"/>
      </w:divBdr>
    </w:div>
    <w:div w:id="2082826952">
      <w:bodyDiv w:val="1"/>
      <w:marLeft w:val="0"/>
      <w:marRight w:val="0"/>
      <w:marTop w:val="0"/>
      <w:marBottom w:val="0"/>
      <w:divBdr>
        <w:top w:val="none" w:sz="0" w:space="0" w:color="auto"/>
        <w:left w:val="none" w:sz="0" w:space="0" w:color="auto"/>
        <w:bottom w:val="none" w:sz="0" w:space="0" w:color="auto"/>
        <w:right w:val="none" w:sz="0" w:space="0" w:color="auto"/>
      </w:divBdr>
      <w:divsChild>
        <w:div w:id="238903446">
          <w:marLeft w:val="0"/>
          <w:marRight w:val="0"/>
          <w:marTop w:val="0"/>
          <w:marBottom w:val="0"/>
          <w:divBdr>
            <w:top w:val="none" w:sz="0" w:space="0" w:color="auto"/>
            <w:left w:val="none" w:sz="0" w:space="0" w:color="auto"/>
            <w:bottom w:val="none" w:sz="0" w:space="0" w:color="auto"/>
            <w:right w:val="none" w:sz="0" w:space="0" w:color="auto"/>
          </w:divBdr>
          <w:divsChild>
            <w:div w:id="1103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8090">
      <w:bodyDiv w:val="1"/>
      <w:marLeft w:val="0"/>
      <w:marRight w:val="0"/>
      <w:marTop w:val="0"/>
      <w:marBottom w:val="0"/>
      <w:divBdr>
        <w:top w:val="none" w:sz="0" w:space="0" w:color="auto"/>
        <w:left w:val="none" w:sz="0" w:space="0" w:color="auto"/>
        <w:bottom w:val="none" w:sz="0" w:space="0" w:color="auto"/>
        <w:right w:val="none" w:sz="0" w:space="0" w:color="auto"/>
      </w:divBdr>
    </w:div>
    <w:div w:id="2105758526">
      <w:bodyDiv w:val="1"/>
      <w:marLeft w:val="0"/>
      <w:marRight w:val="0"/>
      <w:marTop w:val="0"/>
      <w:marBottom w:val="0"/>
      <w:divBdr>
        <w:top w:val="none" w:sz="0" w:space="0" w:color="auto"/>
        <w:left w:val="none" w:sz="0" w:space="0" w:color="auto"/>
        <w:bottom w:val="none" w:sz="0" w:space="0" w:color="auto"/>
        <w:right w:val="none" w:sz="0" w:space="0" w:color="auto"/>
      </w:divBdr>
    </w:div>
    <w:div w:id="2110272500">
      <w:bodyDiv w:val="1"/>
      <w:marLeft w:val="0"/>
      <w:marRight w:val="0"/>
      <w:marTop w:val="0"/>
      <w:marBottom w:val="0"/>
      <w:divBdr>
        <w:top w:val="none" w:sz="0" w:space="0" w:color="auto"/>
        <w:left w:val="none" w:sz="0" w:space="0" w:color="auto"/>
        <w:bottom w:val="none" w:sz="0" w:space="0" w:color="auto"/>
        <w:right w:val="none" w:sz="0" w:space="0" w:color="auto"/>
      </w:divBdr>
    </w:div>
    <w:div w:id="2134708678">
      <w:bodyDiv w:val="1"/>
      <w:marLeft w:val="0"/>
      <w:marRight w:val="0"/>
      <w:marTop w:val="0"/>
      <w:marBottom w:val="0"/>
      <w:divBdr>
        <w:top w:val="none" w:sz="0" w:space="0" w:color="auto"/>
        <w:left w:val="none" w:sz="0" w:space="0" w:color="auto"/>
        <w:bottom w:val="none" w:sz="0" w:space="0" w:color="auto"/>
        <w:right w:val="none" w:sz="0" w:space="0" w:color="auto"/>
      </w:divBdr>
    </w:div>
    <w:div w:id="2144273651">
      <w:bodyDiv w:val="1"/>
      <w:marLeft w:val="0"/>
      <w:marRight w:val="0"/>
      <w:marTop w:val="0"/>
      <w:marBottom w:val="0"/>
      <w:divBdr>
        <w:top w:val="none" w:sz="0" w:space="0" w:color="auto"/>
        <w:left w:val="none" w:sz="0" w:space="0" w:color="auto"/>
        <w:bottom w:val="none" w:sz="0" w:space="0" w:color="auto"/>
        <w:right w:val="none" w:sz="0" w:space="0" w:color="auto"/>
      </w:divBdr>
      <w:divsChild>
        <w:div w:id="1513832576">
          <w:marLeft w:val="0"/>
          <w:marRight w:val="0"/>
          <w:marTop w:val="0"/>
          <w:marBottom w:val="0"/>
          <w:divBdr>
            <w:top w:val="none" w:sz="0" w:space="0" w:color="auto"/>
            <w:left w:val="none" w:sz="0" w:space="0" w:color="auto"/>
            <w:bottom w:val="none" w:sz="0" w:space="0" w:color="auto"/>
            <w:right w:val="none" w:sz="0" w:space="0" w:color="auto"/>
          </w:divBdr>
          <w:divsChild>
            <w:div w:id="20016088">
              <w:marLeft w:val="0"/>
              <w:marRight w:val="0"/>
              <w:marTop w:val="0"/>
              <w:marBottom w:val="0"/>
              <w:divBdr>
                <w:top w:val="none" w:sz="0" w:space="0" w:color="auto"/>
                <w:left w:val="none" w:sz="0" w:space="0" w:color="auto"/>
                <w:bottom w:val="none" w:sz="0" w:space="0" w:color="auto"/>
                <w:right w:val="none" w:sz="0" w:space="0" w:color="auto"/>
              </w:divBdr>
            </w:div>
            <w:div w:id="122626133">
              <w:marLeft w:val="0"/>
              <w:marRight w:val="0"/>
              <w:marTop w:val="0"/>
              <w:marBottom w:val="0"/>
              <w:divBdr>
                <w:top w:val="none" w:sz="0" w:space="0" w:color="auto"/>
                <w:left w:val="none" w:sz="0" w:space="0" w:color="auto"/>
                <w:bottom w:val="none" w:sz="0" w:space="0" w:color="auto"/>
                <w:right w:val="none" w:sz="0" w:space="0" w:color="auto"/>
              </w:divBdr>
            </w:div>
            <w:div w:id="313264181">
              <w:marLeft w:val="0"/>
              <w:marRight w:val="0"/>
              <w:marTop w:val="0"/>
              <w:marBottom w:val="0"/>
              <w:divBdr>
                <w:top w:val="none" w:sz="0" w:space="0" w:color="auto"/>
                <w:left w:val="none" w:sz="0" w:space="0" w:color="auto"/>
                <w:bottom w:val="none" w:sz="0" w:space="0" w:color="auto"/>
                <w:right w:val="none" w:sz="0" w:space="0" w:color="auto"/>
              </w:divBdr>
            </w:div>
            <w:div w:id="949967595">
              <w:marLeft w:val="0"/>
              <w:marRight w:val="0"/>
              <w:marTop w:val="0"/>
              <w:marBottom w:val="0"/>
              <w:divBdr>
                <w:top w:val="none" w:sz="0" w:space="0" w:color="auto"/>
                <w:left w:val="none" w:sz="0" w:space="0" w:color="auto"/>
                <w:bottom w:val="none" w:sz="0" w:space="0" w:color="auto"/>
                <w:right w:val="none" w:sz="0" w:space="0" w:color="auto"/>
              </w:divBdr>
            </w:div>
            <w:div w:id="1313098106">
              <w:marLeft w:val="0"/>
              <w:marRight w:val="0"/>
              <w:marTop w:val="0"/>
              <w:marBottom w:val="0"/>
              <w:divBdr>
                <w:top w:val="none" w:sz="0" w:space="0" w:color="auto"/>
                <w:left w:val="none" w:sz="0" w:space="0" w:color="auto"/>
                <w:bottom w:val="none" w:sz="0" w:space="0" w:color="auto"/>
                <w:right w:val="none" w:sz="0" w:space="0" w:color="auto"/>
              </w:divBdr>
            </w:div>
            <w:div w:id="1333604185">
              <w:marLeft w:val="0"/>
              <w:marRight w:val="0"/>
              <w:marTop w:val="0"/>
              <w:marBottom w:val="0"/>
              <w:divBdr>
                <w:top w:val="none" w:sz="0" w:space="0" w:color="auto"/>
                <w:left w:val="none" w:sz="0" w:space="0" w:color="auto"/>
                <w:bottom w:val="none" w:sz="0" w:space="0" w:color="auto"/>
                <w:right w:val="none" w:sz="0" w:space="0" w:color="auto"/>
              </w:divBdr>
            </w:div>
            <w:div w:id="1570269116">
              <w:marLeft w:val="0"/>
              <w:marRight w:val="0"/>
              <w:marTop w:val="0"/>
              <w:marBottom w:val="0"/>
              <w:divBdr>
                <w:top w:val="none" w:sz="0" w:space="0" w:color="auto"/>
                <w:left w:val="none" w:sz="0" w:space="0" w:color="auto"/>
                <w:bottom w:val="none" w:sz="0" w:space="0" w:color="auto"/>
                <w:right w:val="none" w:sz="0" w:space="0" w:color="auto"/>
              </w:divBdr>
            </w:div>
            <w:div w:id="1650942912">
              <w:marLeft w:val="0"/>
              <w:marRight w:val="0"/>
              <w:marTop w:val="0"/>
              <w:marBottom w:val="0"/>
              <w:divBdr>
                <w:top w:val="none" w:sz="0" w:space="0" w:color="auto"/>
                <w:left w:val="none" w:sz="0" w:space="0" w:color="auto"/>
                <w:bottom w:val="none" w:sz="0" w:space="0" w:color="auto"/>
                <w:right w:val="none" w:sz="0" w:space="0" w:color="auto"/>
              </w:divBdr>
            </w:div>
            <w:div w:id="1979678699">
              <w:marLeft w:val="0"/>
              <w:marRight w:val="0"/>
              <w:marTop w:val="0"/>
              <w:marBottom w:val="0"/>
              <w:divBdr>
                <w:top w:val="none" w:sz="0" w:space="0" w:color="auto"/>
                <w:left w:val="none" w:sz="0" w:space="0" w:color="auto"/>
                <w:bottom w:val="none" w:sz="0" w:space="0" w:color="auto"/>
                <w:right w:val="none" w:sz="0" w:space="0" w:color="auto"/>
              </w:divBdr>
            </w:div>
            <w:div w:id="20670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4470E-E0E1-4F01-88F7-E6CD2BD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23472</CharactersWithSpaces>
  <SharedDoc>false</SharedDoc>
  <HLinks>
    <vt:vector size="24" baseType="variant">
      <vt:variant>
        <vt:i4>1310769</vt:i4>
      </vt:variant>
      <vt:variant>
        <vt:i4>20</vt:i4>
      </vt:variant>
      <vt:variant>
        <vt:i4>0</vt:i4>
      </vt:variant>
      <vt:variant>
        <vt:i4>5</vt:i4>
      </vt:variant>
      <vt:variant>
        <vt:lpwstr/>
      </vt:variant>
      <vt:variant>
        <vt:lpwstr>_Toc330908218</vt:lpwstr>
      </vt:variant>
      <vt:variant>
        <vt:i4>1310769</vt:i4>
      </vt:variant>
      <vt:variant>
        <vt:i4>14</vt:i4>
      </vt:variant>
      <vt:variant>
        <vt:i4>0</vt:i4>
      </vt:variant>
      <vt:variant>
        <vt:i4>5</vt:i4>
      </vt:variant>
      <vt:variant>
        <vt:lpwstr/>
      </vt:variant>
      <vt:variant>
        <vt:lpwstr>_Toc330908217</vt:lpwstr>
      </vt:variant>
      <vt:variant>
        <vt:i4>1310769</vt:i4>
      </vt:variant>
      <vt:variant>
        <vt:i4>8</vt:i4>
      </vt:variant>
      <vt:variant>
        <vt:i4>0</vt:i4>
      </vt:variant>
      <vt:variant>
        <vt:i4>5</vt:i4>
      </vt:variant>
      <vt:variant>
        <vt:lpwstr/>
      </vt:variant>
      <vt:variant>
        <vt:lpwstr>_Toc330908216</vt:lpwstr>
      </vt:variant>
      <vt:variant>
        <vt:i4>1310769</vt:i4>
      </vt:variant>
      <vt:variant>
        <vt:i4>2</vt:i4>
      </vt:variant>
      <vt:variant>
        <vt:i4>0</vt:i4>
      </vt:variant>
      <vt:variant>
        <vt:i4>5</vt:i4>
      </vt:variant>
      <vt:variant>
        <vt:lpwstr/>
      </vt:variant>
      <vt:variant>
        <vt:lpwstr>_Toc330908215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2014-04-10T10:14:00Z</dcterms:created>
  <dcterms:modified xsi:type="dcterms:W3CDTF">2014-04-10T10:14:00Z</dcterms:modified>
</cp:coreProperties>
</file>