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xlsm" ContentType="application/vnd.ms-excel.sheet.macroEnabled.12"/>
  <Override PartName="/word/theme/themeOverride2.xml" ContentType="application/vnd.openxmlformats-officedocument.themeOverride+xml"/>
  <Override PartName="/word/theme/themeOverride1.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97" w:rsidRPr="002968EC" w:rsidRDefault="00E0707D" w:rsidP="00AE3D97">
      <w:pPr>
        <w:spacing w:after="0" w:line="240" w:lineRule="auto"/>
        <w:rPr>
          <w:rFonts w:asciiTheme="minorHAnsi" w:eastAsia="SimSun" w:hAnsiTheme="minorHAnsi" w:cs="Arial"/>
          <w:b/>
          <w:lang w:val="mk-MK" w:eastAsia="zh-CN"/>
        </w:rPr>
      </w:pPr>
      <w:r>
        <w:rPr>
          <w:rFonts w:asciiTheme="minorHAnsi" w:eastAsia="SimSun" w:hAnsiTheme="minorHAnsi" w:cs="Arial"/>
          <w:b/>
          <w:noProof/>
        </w:rPr>
        <w:drawing>
          <wp:anchor distT="0" distB="0" distL="114300" distR="114300" simplePos="0" relativeHeight="251657728" behindDoc="1" locked="1" layoutInCell="1" allowOverlap="1">
            <wp:simplePos x="0" y="0"/>
            <wp:positionH relativeFrom="page">
              <wp:align>center</wp:align>
            </wp:positionH>
            <wp:positionV relativeFrom="page">
              <wp:align>center</wp:align>
            </wp:positionV>
            <wp:extent cx="7560310" cy="10692130"/>
            <wp:effectExtent l="0" t="0" r="8890" b="1270"/>
            <wp:wrapNone/>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60310" cy="10692130"/>
                    </a:xfrm>
                    <a:prstGeom prst="rect">
                      <a:avLst/>
                    </a:prstGeom>
                    <a:noFill/>
                  </pic:spPr>
                </pic:pic>
              </a:graphicData>
            </a:graphic>
          </wp:anchor>
        </w:drawing>
      </w:r>
      <w:r w:rsidR="00AE3D97" w:rsidRPr="002968EC">
        <w:rPr>
          <w:rFonts w:asciiTheme="minorHAnsi" w:eastAsia="SimSun" w:hAnsiTheme="minorHAnsi" w:cs="Arial"/>
          <w:b/>
          <w:lang w:val="mk-MK" w:eastAsia="zh-CN"/>
        </w:rPr>
        <w:tab/>
        <w:t xml:space="preserve">                        </w:t>
      </w:r>
    </w:p>
    <w:p w:rsidR="00AE3D97" w:rsidRPr="002968EC" w:rsidRDefault="00AE3D97" w:rsidP="00AE3D97">
      <w:pPr>
        <w:spacing w:after="0" w:line="240" w:lineRule="auto"/>
        <w:rPr>
          <w:rFonts w:asciiTheme="minorHAnsi" w:eastAsia="SimSun" w:hAnsiTheme="minorHAnsi" w:cs="Arial"/>
          <w:b/>
          <w:lang w:val="mk-MK" w:eastAsia="zh-CN"/>
        </w:rPr>
      </w:pPr>
    </w:p>
    <w:p w:rsidR="00AE3D97" w:rsidRPr="002968EC" w:rsidRDefault="00AE3D97" w:rsidP="00105E03">
      <w:pPr>
        <w:spacing w:after="0" w:line="240" w:lineRule="auto"/>
        <w:rPr>
          <w:rFonts w:asciiTheme="minorHAnsi" w:eastAsia="SimSun" w:hAnsiTheme="minorHAnsi" w:cs="Arial"/>
          <w:lang w:val="mk-MK" w:eastAsia="zh-CN"/>
        </w:rPr>
      </w:pPr>
      <w:r w:rsidRPr="002968EC">
        <w:rPr>
          <w:rFonts w:asciiTheme="minorHAnsi" w:eastAsia="SimSun" w:hAnsiTheme="minorHAnsi" w:cs="Arial"/>
          <w:b/>
          <w:lang w:val="mk-MK" w:eastAsia="zh-CN"/>
        </w:rPr>
        <w:t xml:space="preserve">                               </w:t>
      </w:r>
      <w:r w:rsidR="003970A1" w:rsidRPr="002968EC">
        <w:rPr>
          <w:rFonts w:asciiTheme="minorHAnsi" w:eastAsia="SimSun" w:hAnsiTheme="minorHAnsi" w:cs="Arial"/>
          <w:b/>
          <w:lang w:val="mk-MK" w:eastAsia="zh-CN"/>
        </w:rPr>
        <w:tab/>
      </w:r>
      <w:r w:rsidR="003970A1" w:rsidRPr="002968EC">
        <w:rPr>
          <w:rFonts w:asciiTheme="minorHAnsi" w:eastAsia="SimSun" w:hAnsiTheme="minorHAnsi" w:cs="Arial"/>
          <w:b/>
          <w:lang w:val="mk-MK" w:eastAsia="zh-CN"/>
        </w:rPr>
        <w:tab/>
      </w:r>
    </w:p>
    <w:p w:rsidR="00422D82" w:rsidRPr="002968EC" w:rsidRDefault="00422D82" w:rsidP="00422D82">
      <w:pPr>
        <w:pStyle w:val="TOCHeading"/>
        <w:rPr>
          <w:rFonts w:asciiTheme="minorHAnsi" w:hAnsiTheme="minorHAnsi" w:cs="Calibri"/>
          <w:sz w:val="22"/>
          <w:szCs w:val="22"/>
        </w:rPr>
      </w:pPr>
    </w:p>
    <w:p w:rsidR="00AE3D97" w:rsidRPr="002968EC" w:rsidRDefault="00AE3D97" w:rsidP="00AE3D97">
      <w:pPr>
        <w:rPr>
          <w:rFonts w:asciiTheme="minorHAnsi" w:hAnsiTheme="minorHAnsi"/>
          <w:lang w:val="mk-MK" w:eastAsia="ja-JP"/>
        </w:rPr>
      </w:pPr>
    </w:p>
    <w:p w:rsidR="00AE3D97" w:rsidRPr="002968EC" w:rsidRDefault="00AE3D97" w:rsidP="00AE3D97">
      <w:pPr>
        <w:rPr>
          <w:rFonts w:asciiTheme="minorHAnsi" w:hAnsiTheme="minorHAnsi"/>
          <w:lang w:val="mk-MK" w:eastAsia="ja-JP"/>
        </w:rPr>
      </w:pPr>
    </w:p>
    <w:p w:rsidR="00AE3D97" w:rsidRPr="00C57B34" w:rsidRDefault="002968EC" w:rsidP="00AE3D97">
      <w:pPr>
        <w:jc w:val="center"/>
        <w:rPr>
          <w:rFonts w:asciiTheme="minorHAnsi" w:hAnsiTheme="minorHAnsi" w:cs="Arial"/>
          <w:b/>
          <w:sz w:val="28"/>
          <w:szCs w:val="28"/>
          <w:lang w:val="ru-RU"/>
        </w:rPr>
      </w:pPr>
      <w:r w:rsidRPr="00C57B34">
        <w:rPr>
          <w:rFonts w:asciiTheme="minorHAnsi" w:hAnsiTheme="minorHAnsi" w:cs="Arial"/>
          <w:b/>
          <w:sz w:val="28"/>
          <w:szCs w:val="28"/>
          <w:lang w:val="ru-RU"/>
        </w:rPr>
        <w:t>Нацрт документ</w:t>
      </w:r>
      <w:r w:rsidR="00AE3D97" w:rsidRPr="00C57B34">
        <w:rPr>
          <w:rFonts w:asciiTheme="minorHAnsi" w:hAnsiTheme="minorHAnsi" w:cs="Arial"/>
          <w:b/>
          <w:sz w:val="28"/>
          <w:szCs w:val="28"/>
          <w:lang w:val="ru-RU"/>
        </w:rPr>
        <w:t xml:space="preserve"> за</w:t>
      </w:r>
      <w:r w:rsidRPr="00C57B34">
        <w:rPr>
          <w:rFonts w:asciiTheme="minorHAnsi" w:hAnsiTheme="minorHAnsi" w:cs="Arial"/>
          <w:b/>
          <w:sz w:val="28"/>
          <w:szCs w:val="28"/>
          <w:lang w:val="ru-RU"/>
        </w:rPr>
        <w:t xml:space="preserve"> трета</w:t>
      </w:r>
      <w:r w:rsidR="00AE3D97" w:rsidRPr="00C57B34">
        <w:rPr>
          <w:rFonts w:asciiTheme="minorHAnsi" w:hAnsiTheme="minorHAnsi" w:cs="Arial"/>
          <w:b/>
          <w:sz w:val="28"/>
          <w:szCs w:val="28"/>
          <w:lang w:val="ru-RU"/>
        </w:rPr>
        <w:t xml:space="preserve"> анализа на пазар</w:t>
      </w:r>
    </w:p>
    <w:p w:rsidR="00AE3D97" w:rsidRPr="002968EC" w:rsidRDefault="00AE3D97" w:rsidP="00AE3D97">
      <w:pPr>
        <w:jc w:val="center"/>
        <w:rPr>
          <w:rFonts w:asciiTheme="minorHAnsi" w:hAnsiTheme="minorHAnsi" w:cs="Arial"/>
          <w:b/>
          <w:lang w:val="ru-RU"/>
        </w:rPr>
      </w:pPr>
    </w:p>
    <w:p w:rsidR="00AE3D97" w:rsidRPr="00C57B34" w:rsidRDefault="009E0545" w:rsidP="009E0545">
      <w:pPr>
        <w:jc w:val="center"/>
        <w:rPr>
          <w:rFonts w:asciiTheme="minorHAnsi" w:hAnsiTheme="minorHAnsi" w:cs="Arial"/>
          <w:b/>
          <w:sz w:val="32"/>
          <w:szCs w:val="32"/>
        </w:rPr>
      </w:pPr>
      <w:r>
        <w:rPr>
          <w:rFonts w:asciiTheme="minorHAnsi" w:hAnsiTheme="minorHAnsi" w:cs="Arial"/>
          <w:b/>
          <w:sz w:val="32"/>
          <w:szCs w:val="32"/>
        </w:rPr>
        <w:t>“</w:t>
      </w:r>
      <w:r w:rsidR="00AE3D97" w:rsidRPr="00C57B34">
        <w:rPr>
          <w:rFonts w:asciiTheme="minorHAnsi" w:hAnsiTheme="minorHAnsi" w:cs="Arial"/>
          <w:b/>
          <w:sz w:val="32"/>
          <w:szCs w:val="32"/>
        </w:rPr>
        <w:t xml:space="preserve">Пазар 1- Пристап до </w:t>
      </w:r>
      <w:r w:rsidR="007967C2" w:rsidRPr="00C57B34">
        <w:rPr>
          <w:rFonts w:asciiTheme="minorHAnsi" w:hAnsiTheme="minorHAnsi" w:cs="Arial"/>
          <w:b/>
          <w:sz w:val="32"/>
          <w:szCs w:val="32"/>
        </w:rPr>
        <w:t xml:space="preserve">јавна </w:t>
      </w:r>
      <w:r w:rsidR="00C933B6" w:rsidRPr="00C57B34">
        <w:rPr>
          <w:rFonts w:asciiTheme="minorHAnsi" w:hAnsiTheme="minorHAnsi" w:cs="Arial"/>
          <w:b/>
          <w:sz w:val="32"/>
          <w:szCs w:val="32"/>
          <w:lang w:val="mk-MK"/>
        </w:rPr>
        <w:t xml:space="preserve">телефонска </w:t>
      </w:r>
      <w:r w:rsidR="00C933B6" w:rsidRPr="00C57B34">
        <w:rPr>
          <w:rFonts w:asciiTheme="minorHAnsi" w:hAnsiTheme="minorHAnsi" w:cs="Arial"/>
          <w:b/>
          <w:sz w:val="32"/>
          <w:szCs w:val="32"/>
        </w:rPr>
        <w:t xml:space="preserve">мрежа </w:t>
      </w:r>
      <w:r w:rsidR="00C933B6" w:rsidRPr="00C57B34">
        <w:rPr>
          <w:rFonts w:asciiTheme="minorHAnsi" w:hAnsiTheme="minorHAnsi" w:cs="Arial"/>
          <w:b/>
          <w:sz w:val="32"/>
          <w:szCs w:val="32"/>
          <w:lang w:val="mk-MK"/>
        </w:rPr>
        <w:t xml:space="preserve">на </w:t>
      </w:r>
      <w:r w:rsidR="007967C2" w:rsidRPr="00C57B34">
        <w:rPr>
          <w:rFonts w:asciiTheme="minorHAnsi" w:hAnsiTheme="minorHAnsi" w:cs="Arial"/>
          <w:b/>
          <w:sz w:val="32"/>
          <w:szCs w:val="32"/>
        </w:rPr>
        <w:t>фиксна</w:t>
      </w:r>
      <w:r w:rsidR="003970A1" w:rsidRPr="00C57B34">
        <w:rPr>
          <w:rFonts w:asciiTheme="minorHAnsi" w:hAnsiTheme="minorHAnsi" w:cs="Arial"/>
          <w:b/>
          <w:sz w:val="32"/>
          <w:szCs w:val="32"/>
          <w:lang w:val="mk-MK"/>
        </w:rPr>
        <w:t xml:space="preserve"> </w:t>
      </w:r>
      <w:r w:rsidR="00C933B6" w:rsidRPr="00C57B34">
        <w:rPr>
          <w:rFonts w:asciiTheme="minorHAnsi" w:hAnsiTheme="minorHAnsi" w:cs="Arial"/>
          <w:b/>
          <w:sz w:val="32"/>
          <w:szCs w:val="32"/>
          <w:lang w:val="mk-MK"/>
        </w:rPr>
        <w:t xml:space="preserve">локација </w:t>
      </w:r>
      <w:r w:rsidR="00AE3D97" w:rsidRPr="00C57B34">
        <w:rPr>
          <w:rFonts w:asciiTheme="minorHAnsi" w:hAnsiTheme="minorHAnsi" w:cs="Arial"/>
          <w:b/>
          <w:sz w:val="32"/>
          <w:szCs w:val="32"/>
        </w:rPr>
        <w:t xml:space="preserve">за резиденцијални </w:t>
      </w:r>
      <w:r w:rsidR="00AE3D97" w:rsidRPr="00C57B34">
        <w:rPr>
          <w:rFonts w:asciiTheme="minorHAnsi" w:hAnsiTheme="minorHAnsi" w:cs="Arial"/>
          <w:b/>
          <w:sz w:val="32"/>
          <w:szCs w:val="32"/>
          <w:lang w:val="mk-MK"/>
        </w:rPr>
        <w:t xml:space="preserve">и деловни </w:t>
      </w:r>
      <w:r w:rsidR="00AE3D97" w:rsidRPr="00C57B34">
        <w:rPr>
          <w:rFonts w:asciiTheme="minorHAnsi" w:hAnsiTheme="minorHAnsi" w:cs="Arial"/>
          <w:b/>
          <w:sz w:val="32"/>
          <w:szCs w:val="32"/>
        </w:rPr>
        <w:t>корисници</w:t>
      </w:r>
      <w:r>
        <w:rPr>
          <w:rFonts w:asciiTheme="minorHAnsi" w:hAnsiTheme="minorHAnsi" w:cs="Arial"/>
          <w:b/>
          <w:sz w:val="32"/>
          <w:szCs w:val="32"/>
        </w:rPr>
        <w:t>”</w:t>
      </w:r>
    </w:p>
    <w:p w:rsidR="00422D82" w:rsidRPr="002968EC" w:rsidRDefault="00422D82" w:rsidP="00422D82">
      <w:pPr>
        <w:pStyle w:val="TOCHeading"/>
        <w:rPr>
          <w:rFonts w:asciiTheme="minorHAnsi" w:hAnsiTheme="minorHAnsi" w:cs="Calibri"/>
          <w:sz w:val="22"/>
          <w:szCs w:val="22"/>
        </w:rPr>
      </w:pPr>
    </w:p>
    <w:p w:rsidR="00422D82" w:rsidRPr="002968EC" w:rsidRDefault="00422D82" w:rsidP="00422D82">
      <w:pPr>
        <w:pStyle w:val="TOCHeading"/>
        <w:rPr>
          <w:rFonts w:asciiTheme="minorHAnsi" w:hAnsiTheme="minorHAnsi" w:cs="Calibri"/>
          <w:sz w:val="22"/>
          <w:szCs w:val="22"/>
        </w:rPr>
      </w:pPr>
    </w:p>
    <w:p w:rsidR="00422D82" w:rsidRPr="002968EC" w:rsidRDefault="00422D82" w:rsidP="00422D82">
      <w:pPr>
        <w:pStyle w:val="TOCHeading"/>
        <w:rPr>
          <w:rFonts w:asciiTheme="minorHAnsi" w:hAnsiTheme="minorHAnsi" w:cs="Calibri"/>
          <w:sz w:val="22"/>
          <w:szCs w:val="22"/>
        </w:rPr>
      </w:pPr>
    </w:p>
    <w:p w:rsidR="00422D82" w:rsidRPr="002968EC" w:rsidRDefault="00422D82" w:rsidP="00422D82">
      <w:pPr>
        <w:pStyle w:val="TOCHeading"/>
        <w:rPr>
          <w:rFonts w:asciiTheme="minorHAnsi" w:hAnsiTheme="minorHAnsi" w:cs="Calibri"/>
          <w:sz w:val="22"/>
          <w:szCs w:val="22"/>
        </w:rPr>
      </w:pPr>
    </w:p>
    <w:p w:rsidR="00AE3D97" w:rsidRPr="002968EC" w:rsidRDefault="00AE3D97" w:rsidP="00AE3D97">
      <w:pPr>
        <w:rPr>
          <w:rFonts w:asciiTheme="minorHAnsi" w:hAnsiTheme="minorHAnsi"/>
          <w:lang w:val="mk-MK" w:eastAsia="ja-JP"/>
        </w:rPr>
      </w:pPr>
    </w:p>
    <w:p w:rsidR="00AE3D97" w:rsidRPr="002968EC" w:rsidRDefault="00AE3D97" w:rsidP="00AE3D97">
      <w:pPr>
        <w:rPr>
          <w:rFonts w:asciiTheme="minorHAnsi" w:hAnsiTheme="minorHAnsi"/>
          <w:lang w:val="mk-MK" w:eastAsia="ja-JP"/>
        </w:rPr>
      </w:pPr>
    </w:p>
    <w:p w:rsidR="00AE3D97" w:rsidRPr="002968EC" w:rsidRDefault="00AE3D97" w:rsidP="00AE3D97">
      <w:pPr>
        <w:rPr>
          <w:rFonts w:asciiTheme="minorHAnsi" w:hAnsiTheme="minorHAnsi"/>
          <w:lang w:val="mk-MK" w:eastAsia="ja-JP"/>
        </w:rPr>
      </w:pPr>
    </w:p>
    <w:p w:rsidR="00422D82" w:rsidRPr="002968EC" w:rsidRDefault="00F9467C" w:rsidP="003970A1">
      <w:pPr>
        <w:jc w:val="center"/>
        <w:rPr>
          <w:rFonts w:asciiTheme="minorHAnsi" w:hAnsiTheme="minorHAnsi"/>
          <w:b/>
          <w:lang w:val="mk-MK" w:eastAsia="ja-JP"/>
        </w:rPr>
      </w:pPr>
      <w:r>
        <w:rPr>
          <w:rFonts w:asciiTheme="minorHAnsi" w:hAnsiTheme="minorHAnsi"/>
          <w:b/>
          <w:lang w:val="mk-MK" w:eastAsia="ja-JP"/>
        </w:rPr>
        <w:t xml:space="preserve">Ноември </w:t>
      </w:r>
      <w:r w:rsidR="00AE3D97" w:rsidRPr="002968EC">
        <w:rPr>
          <w:rFonts w:asciiTheme="minorHAnsi" w:hAnsiTheme="minorHAnsi"/>
          <w:b/>
          <w:lang w:val="mk-MK" w:eastAsia="ja-JP"/>
        </w:rPr>
        <w:t>201</w:t>
      </w:r>
      <w:r w:rsidR="002968EC" w:rsidRPr="002968EC">
        <w:rPr>
          <w:rFonts w:asciiTheme="minorHAnsi" w:hAnsiTheme="minorHAnsi"/>
          <w:b/>
          <w:lang w:val="mk-MK" w:eastAsia="ja-JP"/>
        </w:rPr>
        <w:t>6</w:t>
      </w:r>
      <w:r w:rsidR="003970A1" w:rsidRPr="002968EC">
        <w:rPr>
          <w:rFonts w:asciiTheme="minorHAnsi" w:hAnsiTheme="minorHAnsi"/>
          <w:b/>
          <w:lang w:val="mk-MK" w:eastAsia="ja-JP"/>
        </w:rPr>
        <w:t xml:space="preserve"> </w:t>
      </w:r>
      <w:r w:rsidR="00AE3D97" w:rsidRPr="002968EC">
        <w:rPr>
          <w:rFonts w:asciiTheme="minorHAnsi" w:hAnsiTheme="minorHAnsi"/>
          <w:b/>
          <w:lang w:val="mk-MK" w:eastAsia="ja-JP"/>
        </w:rPr>
        <w:t xml:space="preserve"> година</w:t>
      </w:r>
    </w:p>
    <w:p w:rsidR="002E3620" w:rsidRPr="002B0410" w:rsidRDefault="003970A1" w:rsidP="002E3620">
      <w:pPr>
        <w:rPr>
          <w:rFonts w:asciiTheme="minorHAnsi" w:hAnsiTheme="minorHAnsi"/>
          <w:b/>
          <w:highlight w:val="yellow"/>
          <w:lang w:val="mk-MK" w:eastAsia="ja-JP"/>
        </w:rPr>
      </w:pPr>
      <w:r w:rsidRPr="002968EC">
        <w:rPr>
          <w:rFonts w:asciiTheme="minorHAnsi" w:hAnsiTheme="minorHAnsi"/>
          <w:lang w:val="mk-MK" w:eastAsia="ja-JP"/>
        </w:rPr>
        <w:br w:type="page"/>
      </w:r>
      <w:r w:rsidR="00087D7A" w:rsidRPr="008F4698">
        <w:rPr>
          <w:rFonts w:asciiTheme="minorHAnsi" w:hAnsiTheme="minorHAnsi"/>
          <w:b/>
          <w:lang w:val="mk-MK" w:eastAsia="ja-JP"/>
        </w:rPr>
        <w:lastRenderedPageBreak/>
        <w:t>Содржина:</w:t>
      </w:r>
    </w:p>
    <w:p w:rsidR="001513F7" w:rsidRDefault="00EF29D5">
      <w:pPr>
        <w:pStyle w:val="TOC1"/>
        <w:tabs>
          <w:tab w:val="right" w:leader="dot" w:pos="9017"/>
        </w:tabs>
        <w:rPr>
          <w:rFonts w:asciiTheme="minorHAnsi" w:eastAsiaTheme="minorEastAsia" w:hAnsiTheme="minorHAnsi" w:cstheme="minorBidi"/>
          <w:noProof/>
        </w:rPr>
      </w:pPr>
      <w:r w:rsidRPr="00EF29D5">
        <w:rPr>
          <w:rFonts w:asciiTheme="minorHAnsi" w:hAnsiTheme="minorHAnsi" w:cs="Calibri"/>
          <w:highlight w:val="yellow"/>
        </w:rPr>
        <w:fldChar w:fldCharType="begin"/>
      </w:r>
      <w:r w:rsidR="00087D7A" w:rsidRPr="00087D7A">
        <w:rPr>
          <w:rFonts w:asciiTheme="minorHAnsi" w:hAnsiTheme="minorHAnsi" w:cs="Calibri"/>
          <w:highlight w:val="yellow"/>
        </w:rPr>
        <w:instrText xml:space="preserve"> TOC \o "1-3" \h \z \u </w:instrText>
      </w:r>
      <w:r w:rsidRPr="00EF29D5">
        <w:rPr>
          <w:rFonts w:asciiTheme="minorHAnsi" w:hAnsiTheme="minorHAnsi" w:cs="Calibri"/>
          <w:highlight w:val="yellow"/>
        </w:rPr>
        <w:fldChar w:fldCharType="separate"/>
      </w:r>
      <w:hyperlink w:anchor="_Toc461617729" w:history="1">
        <w:r w:rsidR="001513F7" w:rsidRPr="003A3BDA">
          <w:rPr>
            <w:rStyle w:val="Hyperlink"/>
            <w:noProof/>
          </w:rPr>
          <w:t>1. Вовед</w:t>
        </w:r>
        <w:r w:rsidR="001513F7">
          <w:rPr>
            <w:noProof/>
            <w:webHidden/>
          </w:rPr>
          <w:tab/>
        </w:r>
        <w:r>
          <w:rPr>
            <w:noProof/>
            <w:webHidden/>
          </w:rPr>
          <w:fldChar w:fldCharType="begin"/>
        </w:r>
        <w:r w:rsidR="001513F7">
          <w:rPr>
            <w:noProof/>
            <w:webHidden/>
          </w:rPr>
          <w:instrText xml:space="preserve"> PAGEREF _Toc461617729 \h </w:instrText>
        </w:r>
        <w:r>
          <w:rPr>
            <w:noProof/>
            <w:webHidden/>
          </w:rPr>
        </w:r>
        <w:r>
          <w:rPr>
            <w:noProof/>
            <w:webHidden/>
          </w:rPr>
          <w:fldChar w:fldCharType="separate"/>
        </w:r>
        <w:r w:rsidR="00870C45">
          <w:rPr>
            <w:noProof/>
            <w:webHidden/>
          </w:rPr>
          <w:t>3</w:t>
        </w:r>
        <w:r>
          <w:rPr>
            <w:noProof/>
            <w:webHidden/>
          </w:rPr>
          <w:fldChar w:fldCharType="end"/>
        </w:r>
      </w:hyperlink>
    </w:p>
    <w:p w:rsidR="001513F7" w:rsidRDefault="00EF29D5">
      <w:pPr>
        <w:pStyle w:val="TOC1"/>
        <w:tabs>
          <w:tab w:val="right" w:leader="dot" w:pos="9017"/>
        </w:tabs>
        <w:rPr>
          <w:rFonts w:asciiTheme="minorHAnsi" w:eastAsiaTheme="minorEastAsia" w:hAnsiTheme="minorHAnsi" w:cstheme="minorBidi"/>
          <w:noProof/>
        </w:rPr>
      </w:pPr>
      <w:hyperlink w:anchor="_Toc461617730" w:history="1">
        <w:r w:rsidR="001513F7" w:rsidRPr="003A3BDA">
          <w:rPr>
            <w:rStyle w:val="Hyperlink"/>
            <w:noProof/>
          </w:rPr>
          <w:t>2. Правна основа за анализа на пазар 1- Пристап до јавна електронска комуникациска  мрежа на фиксна локација</w:t>
        </w:r>
        <w:r w:rsidR="001513F7">
          <w:rPr>
            <w:noProof/>
            <w:webHidden/>
          </w:rPr>
          <w:tab/>
        </w:r>
        <w:r>
          <w:rPr>
            <w:noProof/>
            <w:webHidden/>
          </w:rPr>
          <w:fldChar w:fldCharType="begin"/>
        </w:r>
        <w:r w:rsidR="001513F7">
          <w:rPr>
            <w:noProof/>
            <w:webHidden/>
          </w:rPr>
          <w:instrText xml:space="preserve"> PAGEREF _Toc461617730 \h </w:instrText>
        </w:r>
        <w:r>
          <w:rPr>
            <w:noProof/>
            <w:webHidden/>
          </w:rPr>
        </w:r>
        <w:r>
          <w:rPr>
            <w:noProof/>
            <w:webHidden/>
          </w:rPr>
          <w:fldChar w:fldCharType="separate"/>
        </w:r>
        <w:r w:rsidR="00870C45">
          <w:rPr>
            <w:noProof/>
            <w:webHidden/>
          </w:rPr>
          <w:t>4</w:t>
        </w:r>
        <w:r>
          <w:rPr>
            <w:noProof/>
            <w:webHidden/>
          </w:rPr>
          <w:fldChar w:fldCharType="end"/>
        </w:r>
      </w:hyperlink>
    </w:p>
    <w:p w:rsidR="001513F7" w:rsidRDefault="00EF29D5">
      <w:pPr>
        <w:pStyle w:val="TOC1"/>
        <w:tabs>
          <w:tab w:val="right" w:leader="dot" w:pos="9017"/>
        </w:tabs>
        <w:rPr>
          <w:rFonts w:asciiTheme="minorHAnsi" w:eastAsiaTheme="minorEastAsia" w:hAnsiTheme="minorHAnsi" w:cstheme="minorBidi"/>
          <w:noProof/>
        </w:rPr>
      </w:pPr>
      <w:hyperlink w:anchor="_Toc461617731" w:history="1">
        <w:r w:rsidR="001513F7" w:rsidRPr="003A3BDA">
          <w:rPr>
            <w:rStyle w:val="Hyperlink"/>
            <w:noProof/>
          </w:rPr>
          <w:t>3. Цели за спроведување на анализа на пазар 1 – Пристап до јавна електронска комуникациска мрежа на фиксна локација за резиденцијални и деловни корисници</w:t>
        </w:r>
        <w:r w:rsidR="001513F7">
          <w:rPr>
            <w:noProof/>
            <w:webHidden/>
          </w:rPr>
          <w:tab/>
        </w:r>
        <w:r>
          <w:rPr>
            <w:noProof/>
            <w:webHidden/>
          </w:rPr>
          <w:fldChar w:fldCharType="begin"/>
        </w:r>
        <w:r w:rsidR="001513F7">
          <w:rPr>
            <w:noProof/>
            <w:webHidden/>
          </w:rPr>
          <w:instrText xml:space="preserve"> PAGEREF _Toc461617731 \h </w:instrText>
        </w:r>
        <w:r>
          <w:rPr>
            <w:noProof/>
            <w:webHidden/>
          </w:rPr>
        </w:r>
        <w:r>
          <w:rPr>
            <w:noProof/>
            <w:webHidden/>
          </w:rPr>
          <w:fldChar w:fldCharType="separate"/>
        </w:r>
        <w:r w:rsidR="00870C45">
          <w:rPr>
            <w:noProof/>
            <w:webHidden/>
          </w:rPr>
          <w:t>4</w:t>
        </w:r>
        <w:r>
          <w:rPr>
            <w:noProof/>
            <w:webHidden/>
          </w:rPr>
          <w:fldChar w:fldCharType="end"/>
        </w:r>
      </w:hyperlink>
    </w:p>
    <w:p w:rsidR="001513F7" w:rsidRDefault="00EF29D5">
      <w:pPr>
        <w:pStyle w:val="TOC1"/>
        <w:tabs>
          <w:tab w:val="right" w:leader="dot" w:pos="9017"/>
        </w:tabs>
        <w:rPr>
          <w:rFonts w:asciiTheme="minorHAnsi" w:eastAsiaTheme="minorEastAsia" w:hAnsiTheme="minorHAnsi" w:cstheme="minorBidi"/>
          <w:noProof/>
        </w:rPr>
      </w:pPr>
      <w:hyperlink w:anchor="_Toc461617732" w:history="1">
        <w:r w:rsidR="001513F7" w:rsidRPr="003A3BDA">
          <w:rPr>
            <w:rStyle w:val="Hyperlink"/>
            <w:noProof/>
          </w:rPr>
          <w:t>4. Постапка во анализата на пазар 1- Пристап до јавна електронска комуникациска мрежа на фиксна локација за резиденцијални и деловни корисници</w:t>
        </w:r>
        <w:r w:rsidR="001513F7">
          <w:rPr>
            <w:noProof/>
            <w:webHidden/>
          </w:rPr>
          <w:tab/>
        </w:r>
        <w:r>
          <w:rPr>
            <w:noProof/>
            <w:webHidden/>
          </w:rPr>
          <w:fldChar w:fldCharType="begin"/>
        </w:r>
        <w:r w:rsidR="001513F7">
          <w:rPr>
            <w:noProof/>
            <w:webHidden/>
          </w:rPr>
          <w:instrText xml:space="preserve"> PAGEREF _Toc461617732 \h </w:instrText>
        </w:r>
        <w:r>
          <w:rPr>
            <w:noProof/>
            <w:webHidden/>
          </w:rPr>
        </w:r>
        <w:r>
          <w:rPr>
            <w:noProof/>
            <w:webHidden/>
          </w:rPr>
          <w:fldChar w:fldCharType="separate"/>
        </w:r>
        <w:r w:rsidR="00870C45">
          <w:rPr>
            <w:noProof/>
            <w:webHidden/>
          </w:rPr>
          <w:t>5</w:t>
        </w:r>
        <w:r>
          <w:rPr>
            <w:noProof/>
            <w:webHidden/>
          </w:rPr>
          <w:fldChar w:fldCharType="end"/>
        </w:r>
      </w:hyperlink>
    </w:p>
    <w:p w:rsidR="001513F7" w:rsidRDefault="00EF29D5">
      <w:pPr>
        <w:pStyle w:val="TOC1"/>
        <w:tabs>
          <w:tab w:val="left" w:pos="440"/>
          <w:tab w:val="right" w:leader="dot" w:pos="9017"/>
        </w:tabs>
        <w:rPr>
          <w:rFonts w:asciiTheme="minorHAnsi" w:eastAsiaTheme="minorEastAsia" w:hAnsiTheme="minorHAnsi" w:cstheme="minorBidi"/>
          <w:noProof/>
        </w:rPr>
      </w:pPr>
      <w:hyperlink w:anchor="_Toc461617733" w:history="1">
        <w:r w:rsidR="001513F7" w:rsidRPr="003A3BDA">
          <w:rPr>
            <w:rStyle w:val="Hyperlink"/>
            <w:noProof/>
          </w:rPr>
          <w:t>5.</w:t>
        </w:r>
        <w:r w:rsidR="001513F7">
          <w:rPr>
            <w:rFonts w:asciiTheme="minorHAnsi" w:eastAsiaTheme="minorEastAsia" w:hAnsiTheme="minorHAnsi" w:cstheme="minorBidi"/>
            <w:noProof/>
          </w:rPr>
          <w:tab/>
        </w:r>
        <w:r w:rsidR="001513F7" w:rsidRPr="003A3BDA">
          <w:rPr>
            <w:rStyle w:val="Hyperlink"/>
            <w:noProof/>
          </w:rPr>
          <w:t>Нотифицирани оператори на јавна електронска комуникациска мрежа</w:t>
        </w:r>
        <w:r w:rsidR="001513F7">
          <w:rPr>
            <w:noProof/>
            <w:webHidden/>
          </w:rPr>
          <w:tab/>
        </w:r>
        <w:r>
          <w:rPr>
            <w:noProof/>
            <w:webHidden/>
          </w:rPr>
          <w:fldChar w:fldCharType="begin"/>
        </w:r>
        <w:r w:rsidR="001513F7">
          <w:rPr>
            <w:noProof/>
            <w:webHidden/>
          </w:rPr>
          <w:instrText xml:space="preserve"> PAGEREF _Toc461617733 \h </w:instrText>
        </w:r>
        <w:r>
          <w:rPr>
            <w:noProof/>
            <w:webHidden/>
          </w:rPr>
        </w:r>
        <w:r>
          <w:rPr>
            <w:noProof/>
            <w:webHidden/>
          </w:rPr>
          <w:fldChar w:fldCharType="separate"/>
        </w:r>
        <w:r w:rsidR="00870C45">
          <w:rPr>
            <w:noProof/>
            <w:webHidden/>
          </w:rPr>
          <w:t>6</w:t>
        </w:r>
        <w:r>
          <w:rPr>
            <w:noProof/>
            <w:webHidden/>
          </w:rPr>
          <w:fldChar w:fldCharType="end"/>
        </w:r>
      </w:hyperlink>
    </w:p>
    <w:p w:rsidR="001513F7" w:rsidRDefault="00EF29D5">
      <w:pPr>
        <w:pStyle w:val="TOC1"/>
        <w:tabs>
          <w:tab w:val="right" w:leader="dot" w:pos="9017"/>
        </w:tabs>
        <w:rPr>
          <w:rFonts w:asciiTheme="minorHAnsi" w:eastAsiaTheme="minorEastAsia" w:hAnsiTheme="minorHAnsi" w:cstheme="minorBidi"/>
          <w:noProof/>
        </w:rPr>
      </w:pPr>
      <w:hyperlink w:anchor="_Toc461617734" w:history="1">
        <w:r w:rsidR="001513F7" w:rsidRPr="003A3BDA">
          <w:rPr>
            <w:rStyle w:val="Hyperlink"/>
            <w:noProof/>
            <w:lang w:val="mk-MK"/>
          </w:rPr>
          <w:t>6</w:t>
        </w:r>
        <w:r w:rsidR="001513F7" w:rsidRPr="003A3BDA">
          <w:rPr>
            <w:rStyle w:val="Hyperlink"/>
            <w:noProof/>
          </w:rPr>
          <w:t>. Соработка со Комисијата за заштита на конкуренцијата</w:t>
        </w:r>
        <w:r w:rsidR="001513F7">
          <w:rPr>
            <w:noProof/>
            <w:webHidden/>
          </w:rPr>
          <w:tab/>
        </w:r>
        <w:r>
          <w:rPr>
            <w:noProof/>
            <w:webHidden/>
          </w:rPr>
          <w:fldChar w:fldCharType="begin"/>
        </w:r>
        <w:r w:rsidR="001513F7">
          <w:rPr>
            <w:noProof/>
            <w:webHidden/>
          </w:rPr>
          <w:instrText xml:space="preserve"> PAGEREF _Toc461617734 \h </w:instrText>
        </w:r>
        <w:r>
          <w:rPr>
            <w:noProof/>
            <w:webHidden/>
          </w:rPr>
        </w:r>
        <w:r>
          <w:rPr>
            <w:noProof/>
            <w:webHidden/>
          </w:rPr>
          <w:fldChar w:fldCharType="separate"/>
        </w:r>
        <w:r w:rsidR="00870C45">
          <w:rPr>
            <w:noProof/>
            <w:webHidden/>
          </w:rPr>
          <w:t>8</w:t>
        </w:r>
        <w:r>
          <w:rPr>
            <w:noProof/>
            <w:webHidden/>
          </w:rPr>
          <w:fldChar w:fldCharType="end"/>
        </w:r>
      </w:hyperlink>
    </w:p>
    <w:p w:rsidR="001513F7" w:rsidRDefault="00EF29D5">
      <w:pPr>
        <w:pStyle w:val="TOC1"/>
        <w:tabs>
          <w:tab w:val="right" w:leader="dot" w:pos="9017"/>
        </w:tabs>
        <w:rPr>
          <w:rFonts w:asciiTheme="minorHAnsi" w:eastAsiaTheme="minorEastAsia" w:hAnsiTheme="minorHAnsi" w:cstheme="minorBidi"/>
          <w:noProof/>
        </w:rPr>
      </w:pPr>
      <w:hyperlink w:anchor="_Toc461617735" w:history="1">
        <w:r w:rsidR="001513F7" w:rsidRPr="003A3BDA">
          <w:rPr>
            <w:rStyle w:val="Hyperlink"/>
            <w:noProof/>
            <w:lang w:val="mk-MK"/>
          </w:rPr>
          <w:t>7</w:t>
        </w:r>
        <w:r w:rsidR="001513F7" w:rsidRPr="003A3BDA">
          <w:rPr>
            <w:rStyle w:val="Hyperlink"/>
            <w:noProof/>
          </w:rPr>
          <w:t>. Развој на пазарот на пристап до јавна електронска комуникациска мрежа на фиксна локација</w:t>
        </w:r>
        <w:r w:rsidR="001513F7">
          <w:rPr>
            <w:noProof/>
            <w:webHidden/>
          </w:rPr>
          <w:tab/>
        </w:r>
        <w:r>
          <w:rPr>
            <w:noProof/>
            <w:webHidden/>
          </w:rPr>
          <w:fldChar w:fldCharType="begin"/>
        </w:r>
        <w:r w:rsidR="001513F7">
          <w:rPr>
            <w:noProof/>
            <w:webHidden/>
          </w:rPr>
          <w:instrText xml:space="preserve"> PAGEREF _Toc461617735 \h </w:instrText>
        </w:r>
        <w:r>
          <w:rPr>
            <w:noProof/>
            <w:webHidden/>
          </w:rPr>
        </w:r>
        <w:r>
          <w:rPr>
            <w:noProof/>
            <w:webHidden/>
          </w:rPr>
          <w:fldChar w:fldCharType="separate"/>
        </w:r>
        <w:r w:rsidR="00870C45">
          <w:rPr>
            <w:noProof/>
            <w:webHidden/>
          </w:rPr>
          <w:t>9</w:t>
        </w:r>
        <w:r>
          <w:rPr>
            <w:noProof/>
            <w:webHidden/>
          </w:rPr>
          <w:fldChar w:fldCharType="end"/>
        </w:r>
      </w:hyperlink>
    </w:p>
    <w:p w:rsidR="001513F7" w:rsidRDefault="00EF29D5">
      <w:pPr>
        <w:pStyle w:val="TOC1"/>
        <w:tabs>
          <w:tab w:val="right" w:leader="dot" w:pos="9017"/>
        </w:tabs>
        <w:rPr>
          <w:rFonts w:asciiTheme="minorHAnsi" w:eastAsiaTheme="minorEastAsia" w:hAnsiTheme="minorHAnsi" w:cstheme="minorBidi"/>
          <w:noProof/>
        </w:rPr>
      </w:pPr>
      <w:hyperlink w:anchor="_Toc461617736" w:history="1">
        <w:r w:rsidR="001513F7" w:rsidRPr="003A3BDA">
          <w:rPr>
            <w:rStyle w:val="Hyperlink"/>
            <w:noProof/>
            <w:lang w:val="mk-MK"/>
          </w:rPr>
          <w:t>8</w:t>
        </w:r>
        <w:r w:rsidR="001513F7" w:rsidRPr="003A3BDA">
          <w:rPr>
            <w:rStyle w:val="Hyperlink"/>
            <w:noProof/>
          </w:rPr>
          <w:t>. Дефинирање на пазарот за пристап</w:t>
        </w:r>
        <w:r w:rsidR="001513F7">
          <w:rPr>
            <w:noProof/>
            <w:webHidden/>
          </w:rPr>
          <w:tab/>
        </w:r>
        <w:r>
          <w:rPr>
            <w:noProof/>
            <w:webHidden/>
          </w:rPr>
          <w:fldChar w:fldCharType="begin"/>
        </w:r>
        <w:r w:rsidR="001513F7">
          <w:rPr>
            <w:noProof/>
            <w:webHidden/>
          </w:rPr>
          <w:instrText xml:space="preserve"> PAGEREF _Toc461617736 \h </w:instrText>
        </w:r>
        <w:r>
          <w:rPr>
            <w:noProof/>
            <w:webHidden/>
          </w:rPr>
        </w:r>
        <w:r>
          <w:rPr>
            <w:noProof/>
            <w:webHidden/>
          </w:rPr>
          <w:fldChar w:fldCharType="separate"/>
        </w:r>
        <w:r w:rsidR="00870C45">
          <w:rPr>
            <w:noProof/>
            <w:webHidden/>
          </w:rPr>
          <w:t>12</w:t>
        </w:r>
        <w:r>
          <w:rPr>
            <w:noProof/>
            <w:webHidden/>
          </w:rPr>
          <w:fldChar w:fldCharType="end"/>
        </w:r>
      </w:hyperlink>
    </w:p>
    <w:p w:rsidR="001513F7" w:rsidRDefault="00EF29D5">
      <w:pPr>
        <w:pStyle w:val="TOC2"/>
        <w:tabs>
          <w:tab w:val="right" w:leader="dot" w:pos="9017"/>
        </w:tabs>
        <w:rPr>
          <w:rFonts w:asciiTheme="minorHAnsi" w:eastAsiaTheme="minorEastAsia" w:hAnsiTheme="minorHAnsi" w:cstheme="minorBidi"/>
          <w:noProof/>
        </w:rPr>
      </w:pPr>
      <w:hyperlink w:anchor="_Toc461617737" w:history="1">
        <w:r w:rsidR="001513F7" w:rsidRPr="003A3BDA">
          <w:rPr>
            <w:rStyle w:val="Hyperlink"/>
            <w:noProof/>
            <w:lang w:val="mk-MK"/>
          </w:rPr>
          <w:t>8</w:t>
        </w:r>
        <w:r w:rsidR="001513F7" w:rsidRPr="003A3BDA">
          <w:rPr>
            <w:rStyle w:val="Hyperlink"/>
            <w:noProof/>
          </w:rPr>
          <w:t>.1 Вовед</w:t>
        </w:r>
        <w:r w:rsidR="001513F7">
          <w:rPr>
            <w:noProof/>
            <w:webHidden/>
          </w:rPr>
          <w:tab/>
        </w:r>
        <w:r>
          <w:rPr>
            <w:noProof/>
            <w:webHidden/>
          </w:rPr>
          <w:fldChar w:fldCharType="begin"/>
        </w:r>
        <w:r w:rsidR="001513F7">
          <w:rPr>
            <w:noProof/>
            <w:webHidden/>
          </w:rPr>
          <w:instrText xml:space="preserve"> PAGEREF _Toc461617737 \h </w:instrText>
        </w:r>
        <w:r>
          <w:rPr>
            <w:noProof/>
            <w:webHidden/>
          </w:rPr>
        </w:r>
        <w:r>
          <w:rPr>
            <w:noProof/>
            <w:webHidden/>
          </w:rPr>
          <w:fldChar w:fldCharType="separate"/>
        </w:r>
        <w:r w:rsidR="00870C45">
          <w:rPr>
            <w:noProof/>
            <w:webHidden/>
          </w:rPr>
          <w:t>12</w:t>
        </w:r>
        <w:r>
          <w:rPr>
            <w:noProof/>
            <w:webHidden/>
          </w:rPr>
          <w:fldChar w:fldCharType="end"/>
        </w:r>
      </w:hyperlink>
    </w:p>
    <w:p w:rsidR="001513F7" w:rsidRDefault="00EF29D5">
      <w:pPr>
        <w:pStyle w:val="TOC2"/>
        <w:tabs>
          <w:tab w:val="right" w:leader="dot" w:pos="9017"/>
        </w:tabs>
        <w:rPr>
          <w:rFonts w:asciiTheme="minorHAnsi" w:eastAsiaTheme="minorEastAsia" w:hAnsiTheme="minorHAnsi" w:cstheme="minorBidi"/>
          <w:noProof/>
        </w:rPr>
      </w:pPr>
      <w:hyperlink w:anchor="_Toc461617738" w:history="1">
        <w:r w:rsidR="001513F7" w:rsidRPr="003A3BDA">
          <w:rPr>
            <w:rStyle w:val="Hyperlink"/>
            <w:noProof/>
            <w:lang w:val="mk-MK"/>
          </w:rPr>
          <w:t>8</w:t>
        </w:r>
        <w:r w:rsidR="001513F7" w:rsidRPr="003A3BDA">
          <w:rPr>
            <w:rStyle w:val="Hyperlink"/>
            <w:noProof/>
          </w:rPr>
          <w:t>.2 Услуги кои се нудат на пазарот</w:t>
        </w:r>
        <w:r w:rsidR="001513F7">
          <w:rPr>
            <w:noProof/>
            <w:webHidden/>
          </w:rPr>
          <w:tab/>
        </w:r>
        <w:r>
          <w:rPr>
            <w:noProof/>
            <w:webHidden/>
          </w:rPr>
          <w:fldChar w:fldCharType="begin"/>
        </w:r>
        <w:r w:rsidR="001513F7">
          <w:rPr>
            <w:noProof/>
            <w:webHidden/>
          </w:rPr>
          <w:instrText xml:space="preserve"> PAGEREF _Toc461617738 \h </w:instrText>
        </w:r>
        <w:r>
          <w:rPr>
            <w:noProof/>
            <w:webHidden/>
          </w:rPr>
        </w:r>
        <w:r>
          <w:rPr>
            <w:noProof/>
            <w:webHidden/>
          </w:rPr>
          <w:fldChar w:fldCharType="separate"/>
        </w:r>
        <w:r w:rsidR="00870C45">
          <w:rPr>
            <w:noProof/>
            <w:webHidden/>
          </w:rPr>
          <w:t>13</w:t>
        </w:r>
        <w:r>
          <w:rPr>
            <w:noProof/>
            <w:webHidden/>
          </w:rPr>
          <w:fldChar w:fldCharType="end"/>
        </w:r>
      </w:hyperlink>
    </w:p>
    <w:p w:rsidR="001513F7" w:rsidRDefault="00EF29D5">
      <w:pPr>
        <w:pStyle w:val="TOC3"/>
        <w:tabs>
          <w:tab w:val="right" w:leader="dot" w:pos="9017"/>
        </w:tabs>
        <w:rPr>
          <w:rFonts w:asciiTheme="minorHAnsi" w:eastAsiaTheme="minorEastAsia" w:hAnsiTheme="minorHAnsi" w:cstheme="minorBidi"/>
          <w:noProof/>
        </w:rPr>
      </w:pPr>
      <w:hyperlink w:anchor="_Toc461617739" w:history="1">
        <w:r w:rsidR="001513F7" w:rsidRPr="003A3BDA">
          <w:rPr>
            <w:rStyle w:val="Hyperlink"/>
            <w:noProof/>
            <w:lang w:val="mk-MK"/>
          </w:rPr>
          <w:t>8</w:t>
        </w:r>
        <w:r w:rsidR="001513F7" w:rsidRPr="003A3BDA">
          <w:rPr>
            <w:rStyle w:val="Hyperlink"/>
            <w:noProof/>
          </w:rPr>
          <w:t>.2.1 Дали дел од овој релевантен пазар треба да биде услугата за пристап до јавна електронска комуникациска мрежа на фиксна локација на самостојна основа или пак услуга за пристап до јавна електронска комуникациска мрежа на фиксна локација поврзана со други услуги?</w:t>
        </w:r>
        <w:r w:rsidR="001513F7">
          <w:rPr>
            <w:noProof/>
            <w:webHidden/>
          </w:rPr>
          <w:tab/>
        </w:r>
        <w:r>
          <w:rPr>
            <w:noProof/>
            <w:webHidden/>
          </w:rPr>
          <w:fldChar w:fldCharType="begin"/>
        </w:r>
        <w:r w:rsidR="001513F7">
          <w:rPr>
            <w:noProof/>
            <w:webHidden/>
          </w:rPr>
          <w:instrText xml:space="preserve"> PAGEREF _Toc461617739 \h </w:instrText>
        </w:r>
        <w:r>
          <w:rPr>
            <w:noProof/>
            <w:webHidden/>
          </w:rPr>
        </w:r>
        <w:r>
          <w:rPr>
            <w:noProof/>
            <w:webHidden/>
          </w:rPr>
          <w:fldChar w:fldCharType="separate"/>
        </w:r>
        <w:r w:rsidR="00870C45">
          <w:rPr>
            <w:noProof/>
            <w:webHidden/>
          </w:rPr>
          <w:t>14</w:t>
        </w:r>
        <w:r>
          <w:rPr>
            <w:noProof/>
            <w:webHidden/>
          </w:rPr>
          <w:fldChar w:fldCharType="end"/>
        </w:r>
      </w:hyperlink>
    </w:p>
    <w:p w:rsidR="001513F7" w:rsidRDefault="00EF29D5">
      <w:pPr>
        <w:pStyle w:val="TOC3"/>
        <w:tabs>
          <w:tab w:val="right" w:leader="dot" w:pos="9017"/>
        </w:tabs>
        <w:rPr>
          <w:rFonts w:asciiTheme="minorHAnsi" w:eastAsiaTheme="minorEastAsia" w:hAnsiTheme="minorHAnsi" w:cstheme="minorBidi"/>
          <w:noProof/>
        </w:rPr>
      </w:pPr>
      <w:hyperlink w:anchor="_Toc461617740" w:history="1">
        <w:r w:rsidR="001513F7" w:rsidRPr="003A3BDA">
          <w:rPr>
            <w:rStyle w:val="Hyperlink"/>
            <w:noProof/>
            <w:lang w:val="mk-MK"/>
          </w:rPr>
          <w:t>8</w:t>
        </w:r>
        <w:r w:rsidR="001513F7" w:rsidRPr="003A3BDA">
          <w:rPr>
            <w:rStyle w:val="Hyperlink"/>
            <w:noProof/>
          </w:rPr>
          <w:t>.2.2 Дали услугите  пристап до јавна електронска комуникациска мрежа на фиксна локација и јавно достапна телефонска услуга на фиксна локација се дел од истиот пазар?</w:t>
        </w:r>
        <w:r w:rsidR="001513F7">
          <w:rPr>
            <w:noProof/>
            <w:webHidden/>
          </w:rPr>
          <w:tab/>
        </w:r>
        <w:r>
          <w:rPr>
            <w:noProof/>
            <w:webHidden/>
          </w:rPr>
          <w:fldChar w:fldCharType="begin"/>
        </w:r>
        <w:r w:rsidR="001513F7">
          <w:rPr>
            <w:noProof/>
            <w:webHidden/>
          </w:rPr>
          <w:instrText xml:space="preserve"> PAGEREF _Toc461617740 \h </w:instrText>
        </w:r>
        <w:r>
          <w:rPr>
            <w:noProof/>
            <w:webHidden/>
          </w:rPr>
        </w:r>
        <w:r>
          <w:rPr>
            <w:noProof/>
            <w:webHidden/>
          </w:rPr>
          <w:fldChar w:fldCharType="separate"/>
        </w:r>
        <w:r w:rsidR="00870C45">
          <w:rPr>
            <w:noProof/>
            <w:webHidden/>
          </w:rPr>
          <w:t>17</w:t>
        </w:r>
        <w:r>
          <w:rPr>
            <w:noProof/>
            <w:webHidden/>
          </w:rPr>
          <w:fldChar w:fldCharType="end"/>
        </w:r>
      </w:hyperlink>
    </w:p>
    <w:p w:rsidR="001513F7" w:rsidRDefault="00EF29D5">
      <w:pPr>
        <w:pStyle w:val="TOC3"/>
        <w:tabs>
          <w:tab w:val="right" w:leader="dot" w:pos="9017"/>
        </w:tabs>
        <w:rPr>
          <w:rFonts w:asciiTheme="minorHAnsi" w:eastAsiaTheme="minorEastAsia" w:hAnsiTheme="minorHAnsi" w:cstheme="minorBidi"/>
          <w:noProof/>
        </w:rPr>
      </w:pPr>
      <w:hyperlink w:anchor="_Toc461617741" w:history="1">
        <w:r w:rsidR="001513F7" w:rsidRPr="003A3BDA">
          <w:rPr>
            <w:rStyle w:val="Hyperlink"/>
            <w:noProof/>
            <w:lang w:val="mk-MK"/>
          </w:rPr>
          <w:t>8</w:t>
        </w:r>
        <w:r w:rsidR="001513F7" w:rsidRPr="003A3BDA">
          <w:rPr>
            <w:rStyle w:val="Hyperlink"/>
            <w:noProof/>
          </w:rPr>
          <w:t>.2.3 Дали резиденцијалните и деловните корисници се дел од истиот пазар?</w:t>
        </w:r>
        <w:r w:rsidR="001513F7">
          <w:rPr>
            <w:noProof/>
            <w:webHidden/>
          </w:rPr>
          <w:tab/>
        </w:r>
        <w:r>
          <w:rPr>
            <w:noProof/>
            <w:webHidden/>
          </w:rPr>
          <w:fldChar w:fldCharType="begin"/>
        </w:r>
        <w:r w:rsidR="001513F7">
          <w:rPr>
            <w:noProof/>
            <w:webHidden/>
          </w:rPr>
          <w:instrText xml:space="preserve"> PAGEREF _Toc461617741 \h </w:instrText>
        </w:r>
        <w:r>
          <w:rPr>
            <w:noProof/>
            <w:webHidden/>
          </w:rPr>
        </w:r>
        <w:r>
          <w:rPr>
            <w:noProof/>
            <w:webHidden/>
          </w:rPr>
          <w:fldChar w:fldCharType="separate"/>
        </w:r>
        <w:r w:rsidR="00870C45">
          <w:rPr>
            <w:noProof/>
            <w:webHidden/>
          </w:rPr>
          <w:t>20</w:t>
        </w:r>
        <w:r>
          <w:rPr>
            <w:noProof/>
            <w:webHidden/>
          </w:rPr>
          <w:fldChar w:fldCharType="end"/>
        </w:r>
      </w:hyperlink>
    </w:p>
    <w:p w:rsidR="001513F7" w:rsidRDefault="00EF29D5">
      <w:pPr>
        <w:pStyle w:val="TOC3"/>
        <w:tabs>
          <w:tab w:val="right" w:leader="dot" w:pos="9017"/>
        </w:tabs>
        <w:rPr>
          <w:rFonts w:asciiTheme="minorHAnsi" w:eastAsiaTheme="minorEastAsia" w:hAnsiTheme="minorHAnsi" w:cstheme="minorBidi"/>
          <w:noProof/>
        </w:rPr>
      </w:pPr>
      <w:hyperlink w:anchor="_Toc461617742" w:history="1">
        <w:r w:rsidR="001513F7" w:rsidRPr="003A3BDA">
          <w:rPr>
            <w:rStyle w:val="Hyperlink"/>
            <w:noProof/>
            <w:lang w:val="mk-MK"/>
          </w:rPr>
          <w:t>8</w:t>
        </w:r>
        <w:r w:rsidR="001513F7" w:rsidRPr="003A3BDA">
          <w:rPr>
            <w:rStyle w:val="Hyperlink"/>
            <w:noProof/>
          </w:rPr>
          <w:t>.2.4 Дали фиксниот безжичен пристап  припаѓа на  пазарот за пристап до јавна електронска комуникациска мрежа на фиксна локација?</w:t>
        </w:r>
        <w:r w:rsidR="001513F7">
          <w:rPr>
            <w:noProof/>
            <w:webHidden/>
          </w:rPr>
          <w:tab/>
        </w:r>
        <w:r>
          <w:rPr>
            <w:noProof/>
            <w:webHidden/>
          </w:rPr>
          <w:fldChar w:fldCharType="begin"/>
        </w:r>
        <w:r w:rsidR="001513F7">
          <w:rPr>
            <w:noProof/>
            <w:webHidden/>
          </w:rPr>
          <w:instrText xml:space="preserve"> PAGEREF _Toc461617742 \h </w:instrText>
        </w:r>
        <w:r>
          <w:rPr>
            <w:noProof/>
            <w:webHidden/>
          </w:rPr>
        </w:r>
        <w:r>
          <w:rPr>
            <w:noProof/>
            <w:webHidden/>
          </w:rPr>
          <w:fldChar w:fldCharType="separate"/>
        </w:r>
        <w:r w:rsidR="00870C45">
          <w:rPr>
            <w:noProof/>
            <w:webHidden/>
          </w:rPr>
          <w:t>23</w:t>
        </w:r>
        <w:r>
          <w:rPr>
            <w:noProof/>
            <w:webHidden/>
          </w:rPr>
          <w:fldChar w:fldCharType="end"/>
        </w:r>
      </w:hyperlink>
    </w:p>
    <w:p w:rsidR="001513F7" w:rsidRDefault="00EF29D5">
      <w:pPr>
        <w:pStyle w:val="TOC3"/>
        <w:tabs>
          <w:tab w:val="right" w:leader="dot" w:pos="9017"/>
        </w:tabs>
        <w:rPr>
          <w:rFonts w:asciiTheme="minorHAnsi" w:eastAsiaTheme="minorEastAsia" w:hAnsiTheme="minorHAnsi" w:cstheme="minorBidi"/>
          <w:noProof/>
        </w:rPr>
      </w:pPr>
      <w:hyperlink w:anchor="_Toc461617743" w:history="1">
        <w:r w:rsidR="001513F7" w:rsidRPr="003A3BDA">
          <w:rPr>
            <w:rStyle w:val="Hyperlink"/>
            <w:noProof/>
            <w:lang w:val="mk-MK"/>
          </w:rPr>
          <w:t>8</w:t>
        </w:r>
        <w:r w:rsidR="001513F7" w:rsidRPr="003A3BDA">
          <w:rPr>
            <w:rStyle w:val="Hyperlink"/>
            <w:noProof/>
          </w:rPr>
          <w:t xml:space="preserve">.2.5 </w:t>
        </w:r>
        <w:r w:rsidR="001513F7" w:rsidRPr="003A3BDA">
          <w:rPr>
            <w:rStyle w:val="Hyperlink"/>
            <w:noProof/>
            <w:lang w:val="mk-MK"/>
          </w:rPr>
          <w:t>Д</w:t>
        </w:r>
        <w:r w:rsidR="001513F7" w:rsidRPr="003A3BDA">
          <w:rPr>
            <w:rStyle w:val="Hyperlink"/>
            <w:noProof/>
          </w:rPr>
          <w:t>али широкопојасен пристап до јавна електронска комуникациска мрежа на фиксна локација е ефикасен супститут на теснопојасниот пристап до јавна електронска комуникациска мрежа на фиксна локација?</w:t>
        </w:r>
        <w:r w:rsidR="001513F7">
          <w:rPr>
            <w:noProof/>
            <w:webHidden/>
          </w:rPr>
          <w:tab/>
        </w:r>
        <w:r>
          <w:rPr>
            <w:noProof/>
            <w:webHidden/>
          </w:rPr>
          <w:fldChar w:fldCharType="begin"/>
        </w:r>
        <w:r w:rsidR="001513F7">
          <w:rPr>
            <w:noProof/>
            <w:webHidden/>
          </w:rPr>
          <w:instrText xml:space="preserve"> PAGEREF _Toc461617743 \h </w:instrText>
        </w:r>
        <w:r>
          <w:rPr>
            <w:noProof/>
            <w:webHidden/>
          </w:rPr>
        </w:r>
        <w:r>
          <w:rPr>
            <w:noProof/>
            <w:webHidden/>
          </w:rPr>
          <w:fldChar w:fldCharType="separate"/>
        </w:r>
        <w:r w:rsidR="00870C45">
          <w:rPr>
            <w:noProof/>
            <w:webHidden/>
          </w:rPr>
          <w:t>24</w:t>
        </w:r>
        <w:r>
          <w:rPr>
            <w:noProof/>
            <w:webHidden/>
          </w:rPr>
          <w:fldChar w:fldCharType="end"/>
        </w:r>
      </w:hyperlink>
    </w:p>
    <w:p w:rsidR="001513F7" w:rsidRDefault="00EF29D5">
      <w:pPr>
        <w:pStyle w:val="TOC3"/>
        <w:tabs>
          <w:tab w:val="right" w:leader="dot" w:pos="9017"/>
        </w:tabs>
        <w:rPr>
          <w:rFonts w:asciiTheme="minorHAnsi" w:eastAsiaTheme="minorEastAsia" w:hAnsiTheme="minorHAnsi" w:cstheme="minorBidi"/>
          <w:noProof/>
        </w:rPr>
      </w:pPr>
      <w:hyperlink w:anchor="_Toc461617744" w:history="1">
        <w:r w:rsidR="001513F7" w:rsidRPr="003A3BDA">
          <w:rPr>
            <w:rStyle w:val="Hyperlink"/>
            <w:noProof/>
            <w:lang w:val="mk-MK"/>
          </w:rPr>
          <w:t>8</w:t>
        </w:r>
        <w:r w:rsidR="001513F7" w:rsidRPr="003A3BDA">
          <w:rPr>
            <w:rStyle w:val="Hyperlink"/>
            <w:noProof/>
          </w:rPr>
          <w:t>.2.6 Проценка дали услугата за пристап до јавна електронска комуникациска мрежа на фиксна локација и услугата за пристап до јавна мобилна електронска комуникациска мрежа се обезбедуваат во ист релевантен пазар?</w:t>
        </w:r>
        <w:r w:rsidR="001513F7">
          <w:rPr>
            <w:noProof/>
            <w:webHidden/>
          </w:rPr>
          <w:tab/>
        </w:r>
        <w:r>
          <w:rPr>
            <w:noProof/>
            <w:webHidden/>
          </w:rPr>
          <w:fldChar w:fldCharType="begin"/>
        </w:r>
        <w:r w:rsidR="001513F7">
          <w:rPr>
            <w:noProof/>
            <w:webHidden/>
          </w:rPr>
          <w:instrText xml:space="preserve"> PAGEREF _Toc461617744 \h </w:instrText>
        </w:r>
        <w:r>
          <w:rPr>
            <w:noProof/>
            <w:webHidden/>
          </w:rPr>
        </w:r>
        <w:r>
          <w:rPr>
            <w:noProof/>
            <w:webHidden/>
          </w:rPr>
          <w:fldChar w:fldCharType="separate"/>
        </w:r>
        <w:r w:rsidR="00870C45">
          <w:rPr>
            <w:noProof/>
            <w:webHidden/>
          </w:rPr>
          <w:t>27</w:t>
        </w:r>
        <w:r>
          <w:rPr>
            <w:noProof/>
            <w:webHidden/>
          </w:rPr>
          <w:fldChar w:fldCharType="end"/>
        </w:r>
      </w:hyperlink>
    </w:p>
    <w:p w:rsidR="001513F7" w:rsidRDefault="00EF29D5">
      <w:pPr>
        <w:pStyle w:val="TOC2"/>
        <w:tabs>
          <w:tab w:val="right" w:leader="dot" w:pos="9017"/>
        </w:tabs>
        <w:rPr>
          <w:rFonts w:asciiTheme="minorHAnsi" w:eastAsiaTheme="minorEastAsia" w:hAnsiTheme="minorHAnsi" w:cstheme="minorBidi"/>
          <w:noProof/>
        </w:rPr>
      </w:pPr>
      <w:hyperlink w:anchor="_Toc461617745" w:history="1">
        <w:r w:rsidR="001513F7" w:rsidRPr="003A3BDA">
          <w:rPr>
            <w:rStyle w:val="Hyperlink"/>
            <w:noProof/>
            <w:lang w:val="mk-MK"/>
          </w:rPr>
          <w:t>8</w:t>
        </w:r>
        <w:r w:rsidR="001513F7" w:rsidRPr="003A3BDA">
          <w:rPr>
            <w:rStyle w:val="Hyperlink"/>
            <w:noProof/>
          </w:rPr>
          <w:t>.3 Проценка на географскиот пазар</w:t>
        </w:r>
        <w:r w:rsidR="001513F7">
          <w:rPr>
            <w:noProof/>
            <w:webHidden/>
          </w:rPr>
          <w:tab/>
        </w:r>
        <w:r>
          <w:rPr>
            <w:noProof/>
            <w:webHidden/>
          </w:rPr>
          <w:fldChar w:fldCharType="begin"/>
        </w:r>
        <w:r w:rsidR="001513F7">
          <w:rPr>
            <w:noProof/>
            <w:webHidden/>
          </w:rPr>
          <w:instrText xml:space="preserve"> PAGEREF _Toc461617745 \h </w:instrText>
        </w:r>
        <w:r>
          <w:rPr>
            <w:noProof/>
            <w:webHidden/>
          </w:rPr>
        </w:r>
        <w:r>
          <w:rPr>
            <w:noProof/>
            <w:webHidden/>
          </w:rPr>
          <w:fldChar w:fldCharType="separate"/>
        </w:r>
        <w:r w:rsidR="00870C45">
          <w:rPr>
            <w:noProof/>
            <w:webHidden/>
          </w:rPr>
          <w:t>30</w:t>
        </w:r>
        <w:r>
          <w:rPr>
            <w:noProof/>
            <w:webHidden/>
          </w:rPr>
          <w:fldChar w:fldCharType="end"/>
        </w:r>
      </w:hyperlink>
    </w:p>
    <w:p w:rsidR="001513F7" w:rsidRDefault="00EF29D5">
      <w:pPr>
        <w:pStyle w:val="TOC2"/>
        <w:tabs>
          <w:tab w:val="right" w:leader="dot" w:pos="9017"/>
        </w:tabs>
        <w:rPr>
          <w:rFonts w:asciiTheme="minorHAnsi" w:eastAsiaTheme="minorEastAsia" w:hAnsiTheme="minorHAnsi" w:cstheme="minorBidi"/>
          <w:noProof/>
        </w:rPr>
      </w:pPr>
      <w:hyperlink w:anchor="_Toc461617746" w:history="1">
        <w:r w:rsidR="001513F7" w:rsidRPr="003A3BDA">
          <w:rPr>
            <w:rStyle w:val="Hyperlink"/>
            <w:noProof/>
            <w:lang w:val="mk-MK"/>
          </w:rPr>
          <w:t>8</w:t>
        </w:r>
        <w:r w:rsidR="001513F7" w:rsidRPr="003A3BDA">
          <w:rPr>
            <w:rStyle w:val="Hyperlink"/>
            <w:noProof/>
          </w:rPr>
          <w:t>.4 Заклучок од проценката на пазар 1- Пристап до јавна електронска комуникациска мрежа на фиксна локација за резиденцијални и деловни крајни корисници</w:t>
        </w:r>
        <w:r w:rsidR="001513F7">
          <w:rPr>
            <w:noProof/>
            <w:webHidden/>
          </w:rPr>
          <w:tab/>
        </w:r>
        <w:r>
          <w:rPr>
            <w:noProof/>
            <w:webHidden/>
          </w:rPr>
          <w:fldChar w:fldCharType="begin"/>
        </w:r>
        <w:r w:rsidR="001513F7">
          <w:rPr>
            <w:noProof/>
            <w:webHidden/>
          </w:rPr>
          <w:instrText xml:space="preserve"> PAGEREF _Toc461617746 \h </w:instrText>
        </w:r>
        <w:r>
          <w:rPr>
            <w:noProof/>
            <w:webHidden/>
          </w:rPr>
        </w:r>
        <w:r>
          <w:rPr>
            <w:noProof/>
            <w:webHidden/>
          </w:rPr>
          <w:fldChar w:fldCharType="separate"/>
        </w:r>
        <w:r w:rsidR="00870C45">
          <w:rPr>
            <w:noProof/>
            <w:webHidden/>
          </w:rPr>
          <w:t>34</w:t>
        </w:r>
        <w:r>
          <w:rPr>
            <w:noProof/>
            <w:webHidden/>
          </w:rPr>
          <w:fldChar w:fldCharType="end"/>
        </w:r>
      </w:hyperlink>
    </w:p>
    <w:p w:rsidR="001513F7" w:rsidRDefault="00EF29D5">
      <w:pPr>
        <w:pStyle w:val="TOC1"/>
        <w:tabs>
          <w:tab w:val="right" w:leader="dot" w:pos="9017"/>
        </w:tabs>
        <w:rPr>
          <w:rFonts w:asciiTheme="minorHAnsi" w:eastAsiaTheme="minorEastAsia" w:hAnsiTheme="minorHAnsi" w:cstheme="minorBidi"/>
          <w:noProof/>
        </w:rPr>
      </w:pPr>
      <w:hyperlink w:anchor="_Toc461617747" w:history="1">
        <w:r w:rsidR="001513F7" w:rsidRPr="003A3BDA">
          <w:rPr>
            <w:rStyle w:val="Hyperlink"/>
            <w:noProof/>
            <w:lang w:val="mk-MK"/>
          </w:rPr>
          <w:t>9</w:t>
        </w:r>
        <w:r w:rsidR="001513F7" w:rsidRPr="003A3BDA">
          <w:rPr>
            <w:rStyle w:val="Hyperlink"/>
            <w:noProof/>
          </w:rPr>
          <w:t>. Три критериум тест – малопродажен пазар за пристап до јавна електронска комуникациска мрежа на фиксна локација</w:t>
        </w:r>
        <w:r w:rsidR="001513F7" w:rsidRPr="003A3BDA">
          <w:rPr>
            <w:rStyle w:val="Hyperlink"/>
            <w:noProof/>
            <w:lang w:val="mk-MK"/>
          </w:rPr>
          <w:t xml:space="preserve"> за резиденцијални и деловни крајни корисници</w:t>
        </w:r>
        <w:r w:rsidR="001513F7">
          <w:rPr>
            <w:noProof/>
            <w:webHidden/>
          </w:rPr>
          <w:tab/>
        </w:r>
        <w:r>
          <w:rPr>
            <w:noProof/>
            <w:webHidden/>
          </w:rPr>
          <w:fldChar w:fldCharType="begin"/>
        </w:r>
        <w:r w:rsidR="001513F7">
          <w:rPr>
            <w:noProof/>
            <w:webHidden/>
          </w:rPr>
          <w:instrText xml:space="preserve"> PAGEREF _Toc461617747 \h </w:instrText>
        </w:r>
        <w:r>
          <w:rPr>
            <w:noProof/>
            <w:webHidden/>
          </w:rPr>
        </w:r>
        <w:r>
          <w:rPr>
            <w:noProof/>
            <w:webHidden/>
          </w:rPr>
          <w:fldChar w:fldCharType="separate"/>
        </w:r>
        <w:r w:rsidR="00870C45">
          <w:rPr>
            <w:noProof/>
            <w:webHidden/>
          </w:rPr>
          <w:t>36</w:t>
        </w:r>
        <w:r>
          <w:rPr>
            <w:noProof/>
            <w:webHidden/>
          </w:rPr>
          <w:fldChar w:fldCharType="end"/>
        </w:r>
      </w:hyperlink>
    </w:p>
    <w:p w:rsidR="001513F7" w:rsidRDefault="00EF29D5">
      <w:pPr>
        <w:pStyle w:val="TOC2"/>
        <w:tabs>
          <w:tab w:val="right" w:leader="dot" w:pos="9017"/>
        </w:tabs>
        <w:rPr>
          <w:rFonts w:asciiTheme="minorHAnsi" w:eastAsiaTheme="minorEastAsia" w:hAnsiTheme="minorHAnsi" w:cstheme="minorBidi"/>
          <w:noProof/>
        </w:rPr>
      </w:pPr>
      <w:hyperlink w:anchor="_Toc461617748" w:history="1">
        <w:r w:rsidR="001513F7" w:rsidRPr="003A3BDA">
          <w:rPr>
            <w:rStyle w:val="Hyperlink"/>
            <w:noProof/>
            <w:lang w:val="mk-MK"/>
          </w:rPr>
          <w:t>9</w:t>
        </w:r>
        <w:r w:rsidR="001513F7" w:rsidRPr="003A3BDA">
          <w:rPr>
            <w:rStyle w:val="Hyperlink"/>
            <w:noProof/>
          </w:rPr>
          <w:t>.1 Прв критериум - Присуство на високи и постојани бариери за влез кои што можат да бидат од структурна, правна или регулаторна природа</w:t>
        </w:r>
        <w:r w:rsidR="001513F7">
          <w:rPr>
            <w:noProof/>
            <w:webHidden/>
          </w:rPr>
          <w:tab/>
        </w:r>
        <w:r>
          <w:rPr>
            <w:noProof/>
            <w:webHidden/>
          </w:rPr>
          <w:fldChar w:fldCharType="begin"/>
        </w:r>
        <w:r w:rsidR="001513F7">
          <w:rPr>
            <w:noProof/>
            <w:webHidden/>
          </w:rPr>
          <w:instrText xml:space="preserve"> PAGEREF _Toc461617748 \h </w:instrText>
        </w:r>
        <w:r>
          <w:rPr>
            <w:noProof/>
            <w:webHidden/>
          </w:rPr>
        </w:r>
        <w:r>
          <w:rPr>
            <w:noProof/>
            <w:webHidden/>
          </w:rPr>
          <w:fldChar w:fldCharType="separate"/>
        </w:r>
        <w:r w:rsidR="00870C45">
          <w:rPr>
            <w:noProof/>
            <w:webHidden/>
          </w:rPr>
          <w:t>37</w:t>
        </w:r>
        <w:r>
          <w:rPr>
            <w:noProof/>
            <w:webHidden/>
          </w:rPr>
          <w:fldChar w:fldCharType="end"/>
        </w:r>
      </w:hyperlink>
    </w:p>
    <w:p w:rsidR="001513F7" w:rsidRDefault="00EF29D5">
      <w:pPr>
        <w:pStyle w:val="TOC2"/>
        <w:tabs>
          <w:tab w:val="right" w:leader="dot" w:pos="9017"/>
        </w:tabs>
        <w:rPr>
          <w:rFonts w:asciiTheme="minorHAnsi" w:eastAsiaTheme="minorEastAsia" w:hAnsiTheme="minorHAnsi" w:cstheme="minorBidi"/>
          <w:noProof/>
        </w:rPr>
      </w:pPr>
      <w:hyperlink w:anchor="_Toc461617749" w:history="1">
        <w:r w:rsidR="001513F7" w:rsidRPr="003A3BDA">
          <w:rPr>
            <w:rStyle w:val="Hyperlink"/>
            <w:noProof/>
            <w:lang w:val="mk-MK"/>
          </w:rPr>
          <w:t>9</w:t>
        </w:r>
        <w:r w:rsidR="001513F7" w:rsidRPr="003A3BDA">
          <w:rPr>
            <w:rStyle w:val="Hyperlink"/>
            <w:noProof/>
          </w:rPr>
          <w:t>.2 Втор критериум - Структура на пазар кој има тенденција кон неефективна конкуренција во рамки на релевантен временски период</w:t>
        </w:r>
        <w:r w:rsidR="001513F7">
          <w:rPr>
            <w:noProof/>
            <w:webHidden/>
          </w:rPr>
          <w:tab/>
        </w:r>
        <w:r>
          <w:rPr>
            <w:noProof/>
            <w:webHidden/>
          </w:rPr>
          <w:fldChar w:fldCharType="begin"/>
        </w:r>
        <w:r w:rsidR="001513F7">
          <w:rPr>
            <w:noProof/>
            <w:webHidden/>
          </w:rPr>
          <w:instrText xml:space="preserve"> PAGEREF _Toc461617749 \h </w:instrText>
        </w:r>
        <w:r>
          <w:rPr>
            <w:noProof/>
            <w:webHidden/>
          </w:rPr>
        </w:r>
        <w:r>
          <w:rPr>
            <w:noProof/>
            <w:webHidden/>
          </w:rPr>
          <w:fldChar w:fldCharType="separate"/>
        </w:r>
        <w:r w:rsidR="00870C45">
          <w:rPr>
            <w:noProof/>
            <w:webHidden/>
          </w:rPr>
          <w:t>45</w:t>
        </w:r>
        <w:r>
          <w:rPr>
            <w:noProof/>
            <w:webHidden/>
          </w:rPr>
          <w:fldChar w:fldCharType="end"/>
        </w:r>
      </w:hyperlink>
    </w:p>
    <w:p w:rsidR="001513F7" w:rsidRDefault="00EF29D5">
      <w:pPr>
        <w:pStyle w:val="TOC2"/>
        <w:tabs>
          <w:tab w:val="right" w:leader="dot" w:pos="9017"/>
        </w:tabs>
        <w:rPr>
          <w:rFonts w:asciiTheme="minorHAnsi" w:eastAsiaTheme="minorEastAsia" w:hAnsiTheme="minorHAnsi" w:cstheme="minorBidi"/>
          <w:noProof/>
        </w:rPr>
      </w:pPr>
      <w:hyperlink w:anchor="_Toc461617750" w:history="1">
        <w:r w:rsidR="001513F7" w:rsidRPr="003A3BDA">
          <w:rPr>
            <w:rStyle w:val="Hyperlink"/>
            <w:noProof/>
            <w:lang w:val="mk-MK"/>
          </w:rPr>
          <w:t>9.3 Трет критерум - Недоволност на Законот за заштита на конкуренција ( во услови на непостоење на ех-анте регулација) за регулирање на релевантниот пазар</w:t>
        </w:r>
        <w:r w:rsidR="001513F7">
          <w:rPr>
            <w:noProof/>
            <w:webHidden/>
          </w:rPr>
          <w:tab/>
        </w:r>
        <w:r>
          <w:rPr>
            <w:noProof/>
            <w:webHidden/>
          </w:rPr>
          <w:fldChar w:fldCharType="begin"/>
        </w:r>
        <w:r w:rsidR="001513F7">
          <w:rPr>
            <w:noProof/>
            <w:webHidden/>
          </w:rPr>
          <w:instrText xml:space="preserve"> PAGEREF _Toc461617750 \h </w:instrText>
        </w:r>
        <w:r>
          <w:rPr>
            <w:noProof/>
            <w:webHidden/>
          </w:rPr>
        </w:r>
        <w:r>
          <w:rPr>
            <w:noProof/>
            <w:webHidden/>
          </w:rPr>
          <w:fldChar w:fldCharType="separate"/>
        </w:r>
        <w:r w:rsidR="00870C45">
          <w:rPr>
            <w:noProof/>
            <w:webHidden/>
          </w:rPr>
          <w:t>52</w:t>
        </w:r>
        <w:r>
          <w:rPr>
            <w:noProof/>
            <w:webHidden/>
          </w:rPr>
          <w:fldChar w:fldCharType="end"/>
        </w:r>
      </w:hyperlink>
    </w:p>
    <w:p w:rsidR="001513F7" w:rsidRDefault="00EF29D5">
      <w:pPr>
        <w:pStyle w:val="TOC2"/>
        <w:tabs>
          <w:tab w:val="right" w:leader="dot" w:pos="9017"/>
        </w:tabs>
        <w:rPr>
          <w:rFonts w:asciiTheme="minorHAnsi" w:eastAsiaTheme="minorEastAsia" w:hAnsiTheme="minorHAnsi" w:cstheme="minorBidi"/>
          <w:noProof/>
        </w:rPr>
      </w:pPr>
      <w:hyperlink w:anchor="_Toc461617751" w:history="1">
        <w:r w:rsidR="001513F7" w:rsidRPr="003A3BDA">
          <w:rPr>
            <w:rStyle w:val="Hyperlink"/>
            <w:noProof/>
            <w:lang w:val="mk-MK"/>
          </w:rPr>
          <w:t>9.4 Заклучок од примена на тестот на трите критериуми</w:t>
        </w:r>
        <w:r w:rsidR="001513F7">
          <w:rPr>
            <w:noProof/>
            <w:webHidden/>
          </w:rPr>
          <w:tab/>
        </w:r>
        <w:r>
          <w:rPr>
            <w:noProof/>
            <w:webHidden/>
          </w:rPr>
          <w:fldChar w:fldCharType="begin"/>
        </w:r>
        <w:r w:rsidR="001513F7">
          <w:rPr>
            <w:noProof/>
            <w:webHidden/>
          </w:rPr>
          <w:instrText xml:space="preserve"> PAGEREF _Toc461617751 \h </w:instrText>
        </w:r>
        <w:r>
          <w:rPr>
            <w:noProof/>
            <w:webHidden/>
          </w:rPr>
        </w:r>
        <w:r>
          <w:rPr>
            <w:noProof/>
            <w:webHidden/>
          </w:rPr>
          <w:fldChar w:fldCharType="separate"/>
        </w:r>
        <w:r w:rsidR="00870C45">
          <w:rPr>
            <w:noProof/>
            <w:webHidden/>
          </w:rPr>
          <w:t>54</w:t>
        </w:r>
        <w:r>
          <w:rPr>
            <w:noProof/>
            <w:webHidden/>
          </w:rPr>
          <w:fldChar w:fldCharType="end"/>
        </w:r>
      </w:hyperlink>
    </w:p>
    <w:p w:rsidR="001513F7" w:rsidRDefault="00EF29D5">
      <w:pPr>
        <w:pStyle w:val="TOC1"/>
        <w:tabs>
          <w:tab w:val="right" w:leader="dot" w:pos="9017"/>
        </w:tabs>
        <w:rPr>
          <w:rFonts w:asciiTheme="minorHAnsi" w:eastAsiaTheme="minorEastAsia" w:hAnsiTheme="minorHAnsi" w:cstheme="minorBidi"/>
          <w:noProof/>
        </w:rPr>
      </w:pPr>
      <w:hyperlink w:anchor="_Toc461617752" w:history="1">
        <w:r w:rsidR="001513F7" w:rsidRPr="003A3BDA">
          <w:rPr>
            <w:rStyle w:val="Hyperlink"/>
            <w:noProof/>
            <w:lang w:val="mk-MK"/>
          </w:rPr>
          <w:t>10. Отповикување на обврски на оператор со значителна пазарна моќ – малопродажен пазар за пристап до јавна електронска комуникациска мрежа на фиксна локација</w:t>
        </w:r>
        <w:r w:rsidR="001513F7">
          <w:rPr>
            <w:noProof/>
            <w:webHidden/>
          </w:rPr>
          <w:tab/>
        </w:r>
        <w:r>
          <w:rPr>
            <w:noProof/>
            <w:webHidden/>
          </w:rPr>
          <w:fldChar w:fldCharType="begin"/>
        </w:r>
        <w:r w:rsidR="001513F7">
          <w:rPr>
            <w:noProof/>
            <w:webHidden/>
          </w:rPr>
          <w:instrText xml:space="preserve"> PAGEREF _Toc461617752 \h </w:instrText>
        </w:r>
        <w:r>
          <w:rPr>
            <w:noProof/>
            <w:webHidden/>
          </w:rPr>
        </w:r>
        <w:r>
          <w:rPr>
            <w:noProof/>
            <w:webHidden/>
          </w:rPr>
          <w:fldChar w:fldCharType="separate"/>
        </w:r>
        <w:r w:rsidR="00870C45">
          <w:rPr>
            <w:noProof/>
            <w:webHidden/>
          </w:rPr>
          <w:t>55</w:t>
        </w:r>
        <w:r>
          <w:rPr>
            <w:noProof/>
            <w:webHidden/>
          </w:rPr>
          <w:fldChar w:fldCharType="end"/>
        </w:r>
      </w:hyperlink>
    </w:p>
    <w:p w:rsidR="001513F7" w:rsidRDefault="00EF29D5">
      <w:pPr>
        <w:pStyle w:val="TOC1"/>
        <w:tabs>
          <w:tab w:val="right" w:leader="dot" w:pos="9017"/>
        </w:tabs>
        <w:rPr>
          <w:rFonts w:asciiTheme="minorHAnsi" w:eastAsiaTheme="minorEastAsia" w:hAnsiTheme="minorHAnsi" w:cstheme="minorBidi"/>
          <w:noProof/>
        </w:rPr>
      </w:pPr>
      <w:hyperlink w:anchor="_Toc461617753" w:history="1">
        <w:r w:rsidR="001513F7" w:rsidRPr="003A3BDA">
          <w:rPr>
            <w:rStyle w:val="Hyperlink"/>
            <w:noProof/>
            <w:lang w:val="mk-MK"/>
          </w:rPr>
          <w:t>11. Заклучок</w:t>
        </w:r>
        <w:r w:rsidR="001513F7">
          <w:rPr>
            <w:noProof/>
            <w:webHidden/>
          </w:rPr>
          <w:tab/>
        </w:r>
        <w:r>
          <w:rPr>
            <w:noProof/>
            <w:webHidden/>
          </w:rPr>
          <w:fldChar w:fldCharType="begin"/>
        </w:r>
        <w:r w:rsidR="001513F7">
          <w:rPr>
            <w:noProof/>
            <w:webHidden/>
          </w:rPr>
          <w:instrText xml:space="preserve"> PAGEREF _Toc461617753 \h </w:instrText>
        </w:r>
        <w:r>
          <w:rPr>
            <w:noProof/>
            <w:webHidden/>
          </w:rPr>
        </w:r>
        <w:r>
          <w:rPr>
            <w:noProof/>
            <w:webHidden/>
          </w:rPr>
          <w:fldChar w:fldCharType="separate"/>
        </w:r>
        <w:r w:rsidR="00870C45">
          <w:rPr>
            <w:noProof/>
            <w:webHidden/>
          </w:rPr>
          <w:t>58</w:t>
        </w:r>
        <w:r>
          <w:rPr>
            <w:noProof/>
            <w:webHidden/>
          </w:rPr>
          <w:fldChar w:fldCharType="end"/>
        </w:r>
      </w:hyperlink>
    </w:p>
    <w:p w:rsidR="00C710F8" w:rsidRDefault="00EF29D5" w:rsidP="00781AEE">
      <w:pPr>
        <w:rPr>
          <w:noProof/>
        </w:rPr>
      </w:pPr>
      <w:r w:rsidRPr="005050B1">
        <w:rPr>
          <w:rFonts w:asciiTheme="minorHAnsi" w:hAnsiTheme="minorHAnsi" w:cs="Calibri"/>
          <w:b/>
          <w:bCs/>
          <w:noProof/>
          <w:highlight w:val="yellow"/>
        </w:rPr>
        <w:fldChar w:fldCharType="end"/>
      </w:r>
      <w:r w:rsidRPr="005050B1">
        <w:rPr>
          <w:rFonts w:asciiTheme="minorHAnsi" w:hAnsiTheme="minorHAnsi" w:cs="Calibri"/>
          <w:b/>
          <w:bCs/>
          <w:noProof/>
          <w:highlight w:val="yellow"/>
        </w:rPr>
        <w:fldChar w:fldCharType="begin"/>
      </w:r>
      <w:r w:rsidR="005050B1" w:rsidRPr="005050B1">
        <w:rPr>
          <w:rFonts w:asciiTheme="minorHAnsi" w:hAnsiTheme="minorHAnsi" w:cs="Calibri"/>
          <w:b/>
          <w:bCs/>
          <w:noProof/>
          <w:highlight w:val="yellow"/>
        </w:rPr>
        <w:instrText xml:space="preserve"> TOC \h \z \c "Графикон" </w:instrText>
      </w:r>
      <w:r w:rsidRPr="005050B1">
        <w:rPr>
          <w:rFonts w:asciiTheme="minorHAnsi" w:hAnsiTheme="minorHAnsi" w:cs="Calibri"/>
          <w:b/>
          <w:bCs/>
          <w:noProof/>
          <w:highlight w:val="yellow"/>
        </w:rPr>
        <w:fldChar w:fldCharType="separate"/>
      </w:r>
    </w:p>
    <w:p w:rsidR="00C710F8" w:rsidRDefault="00EF29D5">
      <w:pPr>
        <w:pStyle w:val="TableofFigures"/>
        <w:tabs>
          <w:tab w:val="right" w:leader="dot" w:pos="9017"/>
        </w:tabs>
        <w:rPr>
          <w:rFonts w:asciiTheme="minorHAnsi" w:eastAsiaTheme="minorEastAsia" w:hAnsiTheme="minorHAnsi" w:cstheme="minorBidi"/>
          <w:noProof/>
        </w:rPr>
      </w:pPr>
      <w:hyperlink w:anchor="_Toc461546194" w:history="1">
        <w:r w:rsidR="00C710F8" w:rsidRPr="002E289F">
          <w:rPr>
            <w:rStyle w:val="Hyperlink"/>
            <w:noProof/>
          </w:rPr>
          <w:t>Графикон 1</w:t>
        </w:r>
        <w:r w:rsidR="00C710F8" w:rsidRPr="002E289F">
          <w:rPr>
            <w:rStyle w:val="Hyperlink"/>
            <w:noProof/>
            <w:lang w:val="mk-MK"/>
          </w:rPr>
          <w:t xml:space="preserve"> Движење на пазарот според број на фиксни линии (пенетрација)</w:t>
        </w:r>
        <w:r w:rsidR="00C710F8">
          <w:rPr>
            <w:noProof/>
            <w:webHidden/>
          </w:rPr>
          <w:tab/>
        </w:r>
        <w:r>
          <w:rPr>
            <w:noProof/>
            <w:webHidden/>
          </w:rPr>
          <w:fldChar w:fldCharType="begin"/>
        </w:r>
        <w:r w:rsidR="00C710F8">
          <w:rPr>
            <w:noProof/>
            <w:webHidden/>
          </w:rPr>
          <w:instrText xml:space="preserve"> PAGEREF _Toc461546194 \h </w:instrText>
        </w:r>
        <w:r>
          <w:rPr>
            <w:noProof/>
            <w:webHidden/>
          </w:rPr>
        </w:r>
        <w:r>
          <w:rPr>
            <w:noProof/>
            <w:webHidden/>
          </w:rPr>
          <w:fldChar w:fldCharType="separate"/>
        </w:r>
        <w:r w:rsidR="00870C45">
          <w:rPr>
            <w:noProof/>
            <w:webHidden/>
          </w:rPr>
          <w:t>9</w:t>
        </w:r>
        <w:r>
          <w:rPr>
            <w:noProof/>
            <w:webHidden/>
          </w:rPr>
          <w:fldChar w:fldCharType="end"/>
        </w:r>
      </w:hyperlink>
    </w:p>
    <w:p w:rsidR="00C710F8" w:rsidRDefault="00EF29D5">
      <w:pPr>
        <w:pStyle w:val="TableofFigures"/>
        <w:tabs>
          <w:tab w:val="right" w:leader="dot" w:pos="9017"/>
        </w:tabs>
        <w:rPr>
          <w:rFonts w:asciiTheme="minorHAnsi" w:eastAsiaTheme="minorEastAsia" w:hAnsiTheme="minorHAnsi" w:cstheme="minorBidi"/>
          <w:noProof/>
        </w:rPr>
      </w:pPr>
      <w:hyperlink w:anchor="_Toc461546195" w:history="1">
        <w:r w:rsidR="00C710F8" w:rsidRPr="002E289F">
          <w:rPr>
            <w:rStyle w:val="Hyperlink"/>
            <w:noProof/>
          </w:rPr>
          <w:t>Графикон 2</w:t>
        </w:r>
        <w:r w:rsidR="00C710F8" w:rsidRPr="002E289F">
          <w:rPr>
            <w:rStyle w:val="Hyperlink"/>
            <w:noProof/>
            <w:lang w:val="mk-MK"/>
          </w:rPr>
          <w:t xml:space="preserve"> Удел на АО и МКТ според број на фиксни линии за пристап и приходи 2012-2015</w:t>
        </w:r>
        <w:r w:rsidR="00C710F8">
          <w:rPr>
            <w:noProof/>
            <w:webHidden/>
          </w:rPr>
          <w:tab/>
        </w:r>
        <w:r>
          <w:rPr>
            <w:noProof/>
            <w:webHidden/>
          </w:rPr>
          <w:fldChar w:fldCharType="begin"/>
        </w:r>
        <w:r w:rsidR="00C710F8">
          <w:rPr>
            <w:noProof/>
            <w:webHidden/>
          </w:rPr>
          <w:instrText xml:space="preserve"> PAGEREF _Toc461546195 \h </w:instrText>
        </w:r>
        <w:r>
          <w:rPr>
            <w:noProof/>
            <w:webHidden/>
          </w:rPr>
        </w:r>
        <w:r>
          <w:rPr>
            <w:noProof/>
            <w:webHidden/>
          </w:rPr>
          <w:fldChar w:fldCharType="separate"/>
        </w:r>
        <w:r w:rsidR="00870C45">
          <w:rPr>
            <w:noProof/>
            <w:webHidden/>
          </w:rPr>
          <w:t>10</w:t>
        </w:r>
        <w:r>
          <w:rPr>
            <w:noProof/>
            <w:webHidden/>
          </w:rPr>
          <w:fldChar w:fldCharType="end"/>
        </w:r>
      </w:hyperlink>
    </w:p>
    <w:p w:rsidR="00C710F8" w:rsidRDefault="00EF29D5">
      <w:pPr>
        <w:pStyle w:val="TableofFigures"/>
        <w:tabs>
          <w:tab w:val="right" w:leader="dot" w:pos="9017"/>
        </w:tabs>
        <w:rPr>
          <w:rFonts w:asciiTheme="minorHAnsi" w:eastAsiaTheme="minorEastAsia" w:hAnsiTheme="minorHAnsi" w:cstheme="minorBidi"/>
          <w:noProof/>
        </w:rPr>
      </w:pPr>
      <w:hyperlink w:anchor="_Toc461546196" w:history="1">
        <w:r w:rsidR="00C710F8" w:rsidRPr="002E289F">
          <w:rPr>
            <w:rStyle w:val="Hyperlink"/>
            <w:noProof/>
          </w:rPr>
          <w:t>Графикон 3 Пазарен удел на операторите според Q4/2015</w:t>
        </w:r>
        <w:r w:rsidR="00C710F8">
          <w:rPr>
            <w:noProof/>
            <w:webHidden/>
          </w:rPr>
          <w:tab/>
        </w:r>
        <w:r>
          <w:rPr>
            <w:noProof/>
            <w:webHidden/>
          </w:rPr>
          <w:fldChar w:fldCharType="begin"/>
        </w:r>
        <w:r w:rsidR="00C710F8">
          <w:rPr>
            <w:noProof/>
            <w:webHidden/>
          </w:rPr>
          <w:instrText xml:space="preserve"> PAGEREF _Toc461546196 \h </w:instrText>
        </w:r>
        <w:r>
          <w:rPr>
            <w:noProof/>
            <w:webHidden/>
          </w:rPr>
        </w:r>
        <w:r>
          <w:rPr>
            <w:noProof/>
            <w:webHidden/>
          </w:rPr>
          <w:fldChar w:fldCharType="separate"/>
        </w:r>
        <w:r w:rsidR="00870C45">
          <w:rPr>
            <w:noProof/>
            <w:webHidden/>
          </w:rPr>
          <w:t>11</w:t>
        </w:r>
        <w:r>
          <w:rPr>
            <w:noProof/>
            <w:webHidden/>
          </w:rPr>
          <w:fldChar w:fldCharType="end"/>
        </w:r>
      </w:hyperlink>
    </w:p>
    <w:p w:rsidR="00C710F8" w:rsidRDefault="00EF29D5">
      <w:pPr>
        <w:pStyle w:val="TableofFigures"/>
        <w:tabs>
          <w:tab w:val="right" w:leader="dot" w:pos="9017"/>
        </w:tabs>
        <w:rPr>
          <w:rFonts w:asciiTheme="minorHAnsi" w:eastAsiaTheme="minorEastAsia" w:hAnsiTheme="minorHAnsi" w:cstheme="minorBidi"/>
          <w:noProof/>
        </w:rPr>
      </w:pPr>
      <w:hyperlink w:anchor="_Toc461546197" w:history="1">
        <w:r w:rsidR="00C710F8" w:rsidRPr="002E289F">
          <w:rPr>
            <w:rStyle w:val="Hyperlink"/>
            <w:noProof/>
          </w:rPr>
          <w:t>Графикон 4</w:t>
        </w:r>
        <w:r w:rsidR="00C710F8" w:rsidRPr="002E289F">
          <w:rPr>
            <w:rStyle w:val="Hyperlink"/>
            <w:noProof/>
            <w:lang w:val="mk-MK"/>
          </w:rPr>
          <w:t xml:space="preserve"> </w:t>
        </w:r>
        <w:r w:rsidR="00C710F8" w:rsidRPr="002E289F">
          <w:rPr>
            <w:rStyle w:val="Hyperlink"/>
            <w:rFonts w:cs="Calibri"/>
            <w:noProof/>
            <w:lang w:val="mk-MK"/>
          </w:rPr>
          <w:t>Процентуален удел на услуга врзана во пакет</w:t>
        </w:r>
        <w:r w:rsidR="00C710F8">
          <w:rPr>
            <w:noProof/>
            <w:webHidden/>
          </w:rPr>
          <w:tab/>
        </w:r>
        <w:r>
          <w:rPr>
            <w:noProof/>
            <w:webHidden/>
          </w:rPr>
          <w:fldChar w:fldCharType="begin"/>
        </w:r>
        <w:r w:rsidR="00C710F8">
          <w:rPr>
            <w:noProof/>
            <w:webHidden/>
          </w:rPr>
          <w:instrText xml:space="preserve"> PAGEREF _Toc461546197 \h </w:instrText>
        </w:r>
        <w:r>
          <w:rPr>
            <w:noProof/>
            <w:webHidden/>
          </w:rPr>
        </w:r>
        <w:r>
          <w:rPr>
            <w:noProof/>
            <w:webHidden/>
          </w:rPr>
          <w:fldChar w:fldCharType="separate"/>
        </w:r>
        <w:r w:rsidR="00870C45">
          <w:rPr>
            <w:noProof/>
            <w:webHidden/>
          </w:rPr>
          <w:t>15</w:t>
        </w:r>
        <w:r>
          <w:rPr>
            <w:noProof/>
            <w:webHidden/>
          </w:rPr>
          <w:fldChar w:fldCharType="end"/>
        </w:r>
      </w:hyperlink>
    </w:p>
    <w:p w:rsidR="00C710F8" w:rsidRDefault="00EF29D5">
      <w:pPr>
        <w:pStyle w:val="TableofFigures"/>
        <w:tabs>
          <w:tab w:val="right" w:leader="dot" w:pos="9017"/>
        </w:tabs>
        <w:rPr>
          <w:rFonts w:asciiTheme="minorHAnsi" w:eastAsiaTheme="minorEastAsia" w:hAnsiTheme="minorHAnsi" w:cstheme="minorBidi"/>
          <w:noProof/>
        </w:rPr>
      </w:pPr>
      <w:hyperlink w:anchor="_Toc461546198" w:history="1">
        <w:r w:rsidR="00C710F8" w:rsidRPr="002E289F">
          <w:rPr>
            <w:rStyle w:val="Hyperlink"/>
            <w:noProof/>
          </w:rPr>
          <w:t>Графикон 5 Мрежи на АО според подрачје на покриеност</w:t>
        </w:r>
        <w:r w:rsidR="00C710F8">
          <w:rPr>
            <w:noProof/>
            <w:webHidden/>
          </w:rPr>
          <w:tab/>
        </w:r>
        <w:r>
          <w:rPr>
            <w:noProof/>
            <w:webHidden/>
          </w:rPr>
          <w:fldChar w:fldCharType="begin"/>
        </w:r>
        <w:r w:rsidR="00C710F8">
          <w:rPr>
            <w:noProof/>
            <w:webHidden/>
          </w:rPr>
          <w:instrText xml:space="preserve"> PAGEREF _Toc461546198 \h </w:instrText>
        </w:r>
        <w:r>
          <w:rPr>
            <w:noProof/>
            <w:webHidden/>
          </w:rPr>
        </w:r>
        <w:r>
          <w:rPr>
            <w:noProof/>
            <w:webHidden/>
          </w:rPr>
          <w:fldChar w:fldCharType="separate"/>
        </w:r>
        <w:r w:rsidR="00870C45">
          <w:rPr>
            <w:noProof/>
            <w:webHidden/>
          </w:rPr>
          <w:t>33</w:t>
        </w:r>
        <w:r>
          <w:rPr>
            <w:noProof/>
            <w:webHidden/>
          </w:rPr>
          <w:fldChar w:fldCharType="end"/>
        </w:r>
      </w:hyperlink>
    </w:p>
    <w:p w:rsidR="00C710F8" w:rsidRDefault="00EF29D5">
      <w:pPr>
        <w:pStyle w:val="TableofFigures"/>
        <w:tabs>
          <w:tab w:val="right" w:leader="dot" w:pos="9017"/>
        </w:tabs>
        <w:rPr>
          <w:rFonts w:asciiTheme="minorHAnsi" w:eastAsiaTheme="minorEastAsia" w:hAnsiTheme="minorHAnsi" w:cstheme="minorBidi"/>
          <w:noProof/>
        </w:rPr>
      </w:pPr>
      <w:hyperlink w:anchor="_Toc461546199" w:history="1">
        <w:r w:rsidR="00C710F8" w:rsidRPr="002E289F">
          <w:rPr>
            <w:rStyle w:val="Hyperlink"/>
            <w:noProof/>
          </w:rPr>
          <w:t>Графикон 6</w:t>
        </w:r>
        <w:r w:rsidR="00C710F8" w:rsidRPr="002E289F">
          <w:rPr>
            <w:rStyle w:val="Hyperlink"/>
            <w:noProof/>
            <w:lang w:val="mk-MK"/>
          </w:rPr>
          <w:t xml:space="preserve"> </w:t>
        </w:r>
        <w:r w:rsidR="00C710F8" w:rsidRPr="002E289F">
          <w:rPr>
            <w:rStyle w:val="Hyperlink"/>
            <w:rFonts w:cs="Calibri"/>
            <w:noProof/>
            <w:lang w:val="mk-MK"/>
          </w:rPr>
          <w:t>Пазарен удел според број на претплатници</w:t>
        </w:r>
        <w:r w:rsidR="00C710F8">
          <w:rPr>
            <w:noProof/>
            <w:webHidden/>
          </w:rPr>
          <w:tab/>
        </w:r>
        <w:r>
          <w:rPr>
            <w:noProof/>
            <w:webHidden/>
          </w:rPr>
          <w:fldChar w:fldCharType="begin"/>
        </w:r>
        <w:r w:rsidR="00C710F8">
          <w:rPr>
            <w:noProof/>
            <w:webHidden/>
          </w:rPr>
          <w:instrText xml:space="preserve"> PAGEREF _Toc461546199 \h </w:instrText>
        </w:r>
        <w:r>
          <w:rPr>
            <w:noProof/>
            <w:webHidden/>
          </w:rPr>
        </w:r>
        <w:r>
          <w:rPr>
            <w:noProof/>
            <w:webHidden/>
          </w:rPr>
          <w:fldChar w:fldCharType="separate"/>
        </w:r>
        <w:r w:rsidR="00870C45">
          <w:rPr>
            <w:noProof/>
            <w:webHidden/>
          </w:rPr>
          <w:t>48</w:t>
        </w:r>
        <w:r>
          <w:rPr>
            <w:noProof/>
            <w:webHidden/>
          </w:rPr>
          <w:fldChar w:fldCharType="end"/>
        </w:r>
      </w:hyperlink>
    </w:p>
    <w:p w:rsidR="00C710F8" w:rsidRDefault="00EF29D5">
      <w:pPr>
        <w:pStyle w:val="TableofFigures"/>
        <w:tabs>
          <w:tab w:val="right" w:leader="dot" w:pos="9017"/>
        </w:tabs>
        <w:rPr>
          <w:rFonts w:asciiTheme="minorHAnsi" w:eastAsiaTheme="minorEastAsia" w:hAnsiTheme="minorHAnsi" w:cstheme="minorBidi"/>
          <w:noProof/>
        </w:rPr>
      </w:pPr>
      <w:hyperlink w:anchor="_Toc461546200" w:history="1">
        <w:r w:rsidR="00C710F8" w:rsidRPr="002E289F">
          <w:rPr>
            <w:rStyle w:val="Hyperlink"/>
            <w:noProof/>
          </w:rPr>
          <w:t>Графикон 7</w:t>
        </w:r>
        <w:r w:rsidR="00C710F8" w:rsidRPr="002E289F">
          <w:rPr>
            <w:rStyle w:val="Hyperlink"/>
            <w:noProof/>
            <w:lang w:val="mk-MK"/>
          </w:rPr>
          <w:t xml:space="preserve"> Пазарен удел според технологија на пристап</w:t>
        </w:r>
        <w:r w:rsidR="00C710F8">
          <w:rPr>
            <w:noProof/>
            <w:webHidden/>
          </w:rPr>
          <w:tab/>
        </w:r>
        <w:r>
          <w:rPr>
            <w:noProof/>
            <w:webHidden/>
          </w:rPr>
          <w:fldChar w:fldCharType="begin"/>
        </w:r>
        <w:r w:rsidR="00C710F8">
          <w:rPr>
            <w:noProof/>
            <w:webHidden/>
          </w:rPr>
          <w:instrText xml:space="preserve"> PAGEREF _Toc461546200 \h </w:instrText>
        </w:r>
        <w:r>
          <w:rPr>
            <w:noProof/>
            <w:webHidden/>
          </w:rPr>
        </w:r>
        <w:r>
          <w:rPr>
            <w:noProof/>
            <w:webHidden/>
          </w:rPr>
          <w:fldChar w:fldCharType="separate"/>
        </w:r>
        <w:r w:rsidR="00870C45">
          <w:rPr>
            <w:noProof/>
            <w:webHidden/>
          </w:rPr>
          <w:t>49</w:t>
        </w:r>
        <w:r>
          <w:rPr>
            <w:noProof/>
            <w:webHidden/>
          </w:rPr>
          <w:fldChar w:fldCharType="end"/>
        </w:r>
      </w:hyperlink>
    </w:p>
    <w:p w:rsidR="00007C60" w:rsidRDefault="00EF29D5" w:rsidP="00781AEE">
      <w:pPr>
        <w:rPr>
          <w:noProof/>
        </w:rPr>
      </w:pPr>
      <w:r w:rsidRPr="005050B1">
        <w:rPr>
          <w:rFonts w:asciiTheme="minorHAnsi" w:hAnsiTheme="minorHAnsi" w:cs="Calibri"/>
          <w:b/>
          <w:bCs/>
          <w:noProof/>
          <w:highlight w:val="yellow"/>
        </w:rPr>
        <w:fldChar w:fldCharType="end"/>
      </w:r>
      <w:r w:rsidRPr="005050B1">
        <w:rPr>
          <w:rFonts w:asciiTheme="minorHAnsi" w:hAnsiTheme="minorHAnsi" w:cs="Calibri"/>
          <w:b/>
          <w:bCs/>
          <w:noProof/>
          <w:highlight w:val="yellow"/>
        </w:rPr>
        <w:fldChar w:fldCharType="begin"/>
      </w:r>
      <w:r w:rsidR="005050B1" w:rsidRPr="005050B1">
        <w:rPr>
          <w:rFonts w:asciiTheme="minorHAnsi" w:hAnsiTheme="minorHAnsi" w:cs="Calibri"/>
          <w:b/>
          <w:bCs/>
          <w:noProof/>
          <w:highlight w:val="yellow"/>
        </w:rPr>
        <w:instrText xml:space="preserve"> TOC \h \z \c "Табела " </w:instrText>
      </w:r>
      <w:r w:rsidRPr="005050B1">
        <w:rPr>
          <w:rFonts w:asciiTheme="minorHAnsi" w:hAnsiTheme="minorHAnsi" w:cs="Calibri"/>
          <w:b/>
          <w:bCs/>
          <w:noProof/>
          <w:highlight w:val="yellow"/>
        </w:rPr>
        <w:fldChar w:fldCharType="separate"/>
      </w:r>
    </w:p>
    <w:p w:rsidR="00007C60" w:rsidRDefault="00EF29D5">
      <w:pPr>
        <w:pStyle w:val="TableofFigures"/>
        <w:tabs>
          <w:tab w:val="right" w:leader="dot" w:pos="9017"/>
        </w:tabs>
        <w:rPr>
          <w:rFonts w:asciiTheme="minorHAnsi" w:eastAsiaTheme="minorEastAsia" w:hAnsiTheme="minorHAnsi" w:cstheme="minorBidi"/>
          <w:noProof/>
        </w:rPr>
      </w:pPr>
      <w:hyperlink w:anchor="_Toc461544702" w:history="1">
        <w:r w:rsidR="00007C60" w:rsidRPr="004063C9">
          <w:rPr>
            <w:rStyle w:val="Hyperlink"/>
            <w:noProof/>
          </w:rPr>
          <w:t>Табела  1</w:t>
        </w:r>
        <w:r w:rsidR="00007C60" w:rsidRPr="004063C9">
          <w:rPr>
            <w:rStyle w:val="Hyperlink"/>
            <w:noProof/>
            <w:lang w:val="mk-MK"/>
          </w:rPr>
          <w:t xml:space="preserve"> Претплатници на услуги врзани во пакет</w:t>
        </w:r>
        <w:r w:rsidR="00007C60">
          <w:rPr>
            <w:noProof/>
            <w:webHidden/>
          </w:rPr>
          <w:tab/>
        </w:r>
        <w:r>
          <w:rPr>
            <w:noProof/>
            <w:webHidden/>
          </w:rPr>
          <w:fldChar w:fldCharType="begin"/>
        </w:r>
        <w:r w:rsidR="00007C60">
          <w:rPr>
            <w:noProof/>
            <w:webHidden/>
          </w:rPr>
          <w:instrText xml:space="preserve"> PAGEREF _Toc461544702 \h </w:instrText>
        </w:r>
        <w:r>
          <w:rPr>
            <w:noProof/>
            <w:webHidden/>
          </w:rPr>
        </w:r>
        <w:r>
          <w:rPr>
            <w:noProof/>
            <w:webHidden/>
          </w:rPr>
          <w:fldChar w:fldCharType="separate"/>
        </w:r>
        <w:r w:rsidR="00870C45">
          <w:rPr>
            <w:noProof/>
            <w:webHidden/>
          </w:rPr>
          <w:t>15</w:t>
        </w:r>
        <w:r>
          <w:rPr>
            <w:noProof/>
            <w:webHidden/>
          </w:rPr>
          <w:fldChar w:fldCharType="end"/>
        </w:r>
      </w:hyperlink>
    </w:p>
    <w:p w:rsidR="006D0CC1" w:rsidRPr="002968EC" w:rsidRDefault="00EF29D5" w:rsidP="00781AEE">
      <w:pPr>
        <w:rPr>
          <w:rFonts w:asciiTheme="minorHAnsi" w:hAnsiTheme="minorHAnsi"/>
          <w:noProof/>
        </w:rPr>
      </w:pPr>
      <w:r w:rsidRPr="005050B1">
        <w:rPr>
          <w:rFonts w:asciiTheme="minorHAnsi" w:hAnsiTheme="minorHAnsi" w:cs="Calibri"/>
          <w:b/>
          <w:bCs/>
          <w:noProof/>
          <w:highlight w:val="yellow"/>
        </w:rPr>
        <w:fldChar w:fldCharType="end"/>
      </w:r>
      <w:r w:rsidRPr="002968EC">
        <w:rPr>
          <w:rFonts w:asciiTheme="minorHAnsi" w:hAnsiTheme="minorHAnsi" w:cs="Calibri"/>
          <w:b/>
          <w:bCs/>
          <w:noProof/>
        </w:rPr>
        <w:fldChar w:fldCharType="begin"/>
      </w:r>
      <w:r w:rsidR="00E05A96" w:rsidRPr="002968EC">
        <w:rPr>
          <w:rFonts w:asciiTheme="minorHAnsi" w:hAnsiTheme="minorHAnsi" w:cs="Calibri"/>
          <w:b/>
          <w:bCs/>
          <w:noProof/>
        </w:rPr>
        <w:instrText xml:space="preserve"> TOC \h \z \c "Слика " </w:instrText>
      </w:r>
      <w:r w:rsidRPr="002968EC">
        <w:rPr>
          <w:rFonts w:asciiTheme="minorHAnsi" w:hAnsiTheme="minorHAnsi" w:cs="Calibri"/>
          <w:b/>
          <w:bCs/>
          <w:noProof/>
        </w:rPr>
        <w:fldChar w:fldCharType="separate"/>
      </w:r>
    </w:p>
    <w:p w:rsidR="00280E1F" w:rsidRPr="002968EC" w:rsidRDefault="00EF29D5" w:rsidP="00781AEE">
      <w:pPr>
        <w:rPr>
          <w:rFonts w:asciiTheme="minorHAnsi" w:hAnsiTheme="minorHAnsi" w:cs="Calibri"/>
          <w:b/>
          <w:bCs/>
          <w:noProof/>
          <w:lang w:val="mk-MK"/>
        </w:rPr>
      </w:pPr>
      <w:r w:rsidRPr="002968EC">
        <w:rPr>
          <w:rFonts w:asciiTheme="minorHAnsi" w:hAnsiTheme="minorHAnsi" w:cs="Calibri"/>
          <w:b/>
          <w:bCs/>
          <w:noProof/>
        </w:rPr>
        <w:fldChar w:fldCharType="end"/>
      </w:r>
    </w:p>
    <w:p w:rsidR="00280E1F" w:rsidRDefault="00280E1F" w:rsidP="00781AEE">
      <w:pPr>
        <w:rPr>
          <w:rFonts w:asciiTheme="minorHAnsi" w:hAnsiTheme="minorHAnsi" w:cs="Calibri"/>
          <w:b/>
          <w:bCs/>
          <w:noProof/>
          <w:lang w:val="mk-MK"/>
        </w:rPr>
      </w:pPr>
    </w:p>
    <w:p w:rsidR="00007C60" w:rsidRDefault="00007C60" w:rsidP="00781AEE">
      <w:pPr>
        <w:rPr>
          <w:rFonts w:asciiTheme="minorHAnsi" w:hAnsiTheme="minorHAnsi" w:cs="Calibri"/>
          <w:b/>
          <w:bCs/>
          <w:noProof/>
          <w:lang w:val="mk-MK"/>
        </w:rPr>
      </w:pPr>
    </w:p>
    <w:p w:rsidR="00007C60" w:rsidRDefault="00007C60" w:rsidP="00781AEE">
      <w:pPr>
        <w:rPr>
          <w:rFonts w:asciiTheme="minorHAnsi" w:hAnsiTheme="minorHAnsi" w:cs="Calibri"/>
          <w:b/>
          <w:bCs/>
          <w:noProof/>
          <w:lang w:val="mk-MK"/>
        </w:rPr>
      </w:pPr>
    </w:p>
    <w:p w:rsidR="00C710F8" w:rsidRPr="002968EC" w:rsidRDefault="00C710F8" w:rsidP="00781AEE">
      <w:pPr>
        <w:rPr>
          <w:rFonts w:asciiTheme="minorHAnsi" w:hAnsiTheme="minorHAnsi" w:cs="Calibri"/>
          <w:b/>
          <w:bCs/>
          <w:noProof/>
          <w:lang w:val="mk-MK"/>
        </w:rPr>
      </w:pPr>
    </w:p>
    <w:p w:rsidR="002E3620" w:rsidRPr="002968EC" w:rsidRDefault="00182C7E" w:rsidP="002968EC">
      <w:pPr>
        <w:pStyle w:val="Heading1"/>
        <w:rPr>
          <w:rFonts w:asciiTheme="minorHAnsi" w:hAnsiTheme="minorHAnsi"/>
        </w:rPr>
      </w:pPr>
      <w:bookmarkStart w:id="0" w:name="_Toc461617729"/>
      <w:r w:rsidRPr="002968EC">
        <w:rPr>
          <w:rFonts w:asciiTheme="minorHAnsi" w:hAnsiTheme="minorHAnsi"/>
        </w:rPr>
        <w:lastRenderedPageBreak/>
        <w:t>1. Вовед</w:t>
      </w:r>
      <w:bookmarkEnd w:id="0"/>
    </w:p>
    <w:p w:rsidR="002E3620" w:rsidRPr="002968EC" w:rsidRDefault="002E3620" w:rsidP="002E3620">
      <w:pPr>
        <w:rPr>
          <w:rFonts w:asciiTheme="minorHAnsi" w:hAnsiTheme="minorHAnsi"/>
          <w:lang w:val="mk-MK"/>
        </w:rPr>
      </w:pPr>
    </w:p>
    <w:p w:rsidR="00182C7E" w:rsidRPr="002968EC" w:rsidRDefault="001B7866" w:rsidP="00781AEE">
      <w:pPr>
        <w:rPr>
          <w:rFonts w:asciiTheme="minorHAnsi" w:hAnsiTheme="minorHAnsi" w:cs="Calibri"/>
          <w:lang w:val="mk-MK"/>
        </w:rPr>
      </w:pPr>
      <w:r w:rsidRPr="002968EC">
        <w:rPr>
          <w:rFonts w:asciiTheme="minorHAnsi" w:hAnsiTheme="minorHAnsi" w:cs="Calibri"/>
          <w:lang w:val="mk-MK"/>
        </w:rPr>
        <w:t xml:space="preserve">Донесувањето на </w:t>
      </w:r>
      <w:r w:rsidR="00182C7E" w:rsidRPr="002968EC">
        <w:rPr>
          <w:rFonts w:asciiTheme="minorHAnsi" w:hAnsiTheme="minorHAnsi" w:cs="Calibri"/>
          <w:lang w:val="mk-MK"/>
        </w:rPr>
        <w:t>Законот за електронските комуникации (“Службен весник на Република Македонија“, бр.13/2005, 14/2007, 55/2007</w:t>
      </w:r>
      <w:r w:rsidR="00B56E55" w:rsidRPr="002968EC">
        <w:rPr>
          <w:rFonts w:asciiTheme="minorHAnsi" w:hAnsiTheme="minorHAnsi" w:cs="Calibri"/>
          <w:lang w:val="mk-MK"/>
        </w:rPr>
        <w:t>,</w:t>
      </w:r>
      <w:r w:rsidR="00182C7E" w:rsidRPr="002968EC">
        <w:rPr>
          <w:rFonts w:asciiTheme="minorHAnsi" w:hAnsiTheme="minorHAnsi" w:cs="Calibri"/>
          <w:lang w:val="mk-MK"/>
        </w:rPr>
        <w:t xml:space="preserve"> 98/2008</w:t>
      </w:r>
      <w:r w:rsidR="00B56E55" w:rsidRPr="002968EC">
        <w:rPr>
          <w:rFonts w:asciiTheme="minorHAnsi" w:hAnsiTheme="minorHAnsi" w:cs="Calibri"/>
          <w:lang w:val="mk-MK"/>
        </w:rPr>
        <w:t>,83/2010, 13/2012, 59/2012, 123/2012 и 23/2013</w:t>
      </w:r>
      <w:r w:rsidR="00443234" w:rsidRPr="002968EC">
        <w:rPr>
          <w:rFonts w:asciiTheme="minorHAnsi" w:hAnsiTheme="minorHAnsi" w:cs="Calibri"/>
          <w:lang w:val="mk-MK"/>
        </w:rPr>
        <w:t xml:space="preserve"> </w:t>
      </w:r>
      <w:r w:rsidR="00182C7E" w:rsidRPr="002968EC">
        <w:rPr>
          <w:rFonts w:asciiTheme="minorHAnsi" w:hAnsiTheme="minorHAnsi" w:cs="Calibri"/>
          <w:lang w:val="mk-MK"/>
        </w:rPr>
        <w:t>) (</w:t>
      </w:r>
      <w:r w:rsidR="006E6EFF" w:rsidRPr="002968EC">
        <w:rPr>
          <w:rFonts w:asciiTheme="minorHAnsi" w:hAnsiTheme="minorHAnsi" w:cs="Calibri"/>
          <w:lang w:val="mk-MK"/>
        </w:rPr>
        <w:t xml:space="preserve">во понатамошниот текст </w:t>
      </w:r>
      <w:r w:rsidR="00182C7E" w:rsidRPr="002968EC">
        <w:rPr>
          <w:rFonts w:asciiTheme="minorHAnsi" w:hAnsiTheme="minorHAnsi" w:cs="Calibri"/>
          <w:lang w:val="mk-MK"/>
        </w:rPr>
        <w:t xml:space="preserve">ЗЕК) </w:t>
      </w:r>
      <w:r w:rsidR="00425844" w:rsidRPr="002968EC">
        <w:rPr>
          <w:rFonts w:asciiTheme="minorHAnsi" w:hAnsiTheme="minorHAnsi" w:cs="Calibri"/>
          <w:lang w:val="mk-MK"/>
        </w:rPr>
        <w:t xml:space="preserve"> во февруари 2005 претставува иницијален момент за процесот на либерализација на пазарот за електронски комуникации во Република Македонија. </w:t>
      </w:r>
      <w:r w:rsidR="00CF4FE3" w:rsidRPr="002968EC">
        <w:rPr>
          <w:rFonts w:asciiTheme="minorHAnsi" w:hAnsiTheme="minorHAnsi" w:cs="Calibri"/>
          <w:lang w:val="mk-MK"/>
        </w:rPr>
        <w:t xml:space="preserve">На 25.02.2014 </w:t>
      </w:r>
      <w:r w:rsidR="00425844" w:rsidRPr="002968EC">
        <w:rPr>
          <w:rFonts w:asciiTheme="minorHAnsi" w:hAnsiTheme="minorHAnsi" w:cs="Calibri"/>
          <w:lang w:val="mk-MK"/>
        </w:rPr>
        <w:t xml:space="preserve"> година донесен е Законот за електронските комуникации, објавен во Службен Весник бр.39/2014, кој е усогласен со регулаторната рамка на Европската Комисија од 2009 година, со кој се </w:t>
      </w:r>
      <w:r w:rsidR="00182C7E" w:rsidRPr="002968EC">
        <w:rPr>
          <w:rFonts w:asciiTheme="minorHAnsi" w:hAnsiTheme="minorHAnsi" w:cs="Calibri"/>
          <w:lang w:val="mk-MK"/>
        </w:rPr>
        <w:t xml:space="preserve"> уредува</w:t>
      </w:r>
      <w:r w:rsidR="00425844" w:rsidRPr="002968EC">
        <w:rPr>
          <w:rFonts w:asciiTheme="minorHAnsi" w:hAnsiTheme="minorHAnsi" w:cs="Calibri"/>
          <w:lang w:val="mk-MK"/>
        </w:rPr>
        <w:t>ат</w:t>
      </w:r>
      <w:r w:rsidR="00182C7E" w:rsidRPr="002968EC">
        <w:rPr>
          <w:rFonts w:asciiTheme="minorHAnsi" w:hAnsiTheme="minorHAnsi" w:cs="Calibri"/>
          <w:lang w:val="mk-MK"/>
        </w:rPr>
        <w:t xml:space="preserve"> условите за надзор и користење на јавните електронски комуникациски мрежи и услуги во Република Македонија. </w:t>
      </w:r>
      <w:r w:rsidR="007967C2" w:rsidRPr="002968EC">
        <w:rPr>
          <w:rFonts w:asciiTheme="minorHAnsi" w:hAnsiTheme="minorHAnsi" w:cs="Calibri"/>
          <w:lang w:val="mk-MK"/>
        </w:rPr>
        <w:t>А</w:t>
      </w:r>
      <w:r w:rsidR="00B41E84" w:rsidRPr="002968EC">
        <w:rPr>
          <w:rFonts w:asciiTheme="minorHAnsi" w:hAnsiTheme="minorHAnsi" w:cs="Calibri"/>
          <w:lang w:val="mk-MK"/>
        </w:rPr>
        <w:t>генцијата</w:t>
      </w:r>
      <w:r w:rsidR="00182C7E" w:rsidRPr="002968EC">
        <w:rPr>
          <w:rFonts w:asciiTheme="minorHAnsi" w:hAnsiTheme="minorHAnsi" w:cs="Calibri"/>
          <w:lang w:val="mk-MK"/>
        </w:rPr>
        <w:t xml:space="preserve"> за електронски комуникации (</w:t>
      </w:r>
      <w:r w:rsidRPr="002968EC">
        <w:rPr>
          <w:rFonts w:asciiTheme="minorHAnsi" w:hAnsiTheme="minorHAnsi" w:cs="Calibri"/>
          <w:lang w:val="mk-MK"/>
        </w:rPr>
        <w:t xml:space="preserve">во понатамошниот текст </w:t>
      </w:r>
      <w:r w:rsidR="00B56E55" w:rsidRPr="002968EC">
        <w:rPr>
          <w:rFonts w:asciiTheme="minorHAnsi" w:hAnsiTheme="minorHAnsi" w:cs="Calibri"/>
          <w:lang w:val="mk-MK"/>
        </w:rPr>
        <w:t>А</w:t>
      </w:r>
      <w:r w:rsidR="0093034B" w:rsidRPr="002968EC">
        <w:rPr>
          <w:rFonts w:asciiTheme="minorHAnsi" w:hAnsiTheme="minorHAnsi" w:cs="Calibri"/>
          <w:lang w:val="mk-MK"/>
        </w:rPr>
        <w:t>ЕК</w:t>
      </w:r>
      <w:r w:rsidR="00182C7E" w:rsidRPr="002968EC">
        <w:rPr>
          <w:rFonts w:asciiTheme="minorHAnsi" w:hAnsiTheme="minorHAnsi" w:cs="Calibri"/>
          <w:lang w:val="mk-MK"/>
        </w:rPr>
        <w:t xml:space="preserve">) согласно </w:t>
      </w:r>
      <w:r w:rsidR="00B41E84" w:rsidRPr="002968EC">
        <w:rPr>
          <w:rFonts w:asciiTheme="minorHAnsi" w:hAnsiTheme="minorHAnsi" w:cs="Calibri"/>
          <w:lang w:val="mk-MK"/>
        </w:rPr>
        <w:t>ЗЕК</w:t>
      </w:r>
      <w:r w:rsidR="00182C7E" w:rsidRPr="002968EC">
        <w:rPr>
          <w:rFonts w:asciiTheme="minorHAnsi" w:hAnsiTheme="minorHAnsi" w:cs="Calibri"/>
          <w:lang w:val="mk-MK"/>
        </w:rPr>
        <w:t xml:space="preserve"> и подзаконските акти, во соработка со органот надлежен за заштита на конкуренцијата, обезбедува услови за ефикасна конкуренција и со тоа овозможува еднакво делување на операторите на пазарот на електронските комуникации во Република Македонија.</w:t>
      </w:r>
    </w:p>
    <w:p w:rsidR="00182C7E" w:rsidRPr="002968EC" w:rsidRDefault="00182C7E" w:rsidP="00781AEE">
      <w:pPr>
        <w:rPr>
          <w:rFonts w:asciiTheme="minorHAnsi" w:hAnsiTheme="minorHAnsi" w:cs="Calibri"/>
          <w:lang w:val="mk-MK"/>
        </w:rPr>
      </w:pPr>
      <w:r w:rsidRPr="002968EC">
        <w:rPr>
          <w:rFonts w:asciiTheme="minorHAnsi" w:hAnsiTheme="minorHAnsi" w:cs="Calibri"/>
          <w:lang w:val="mk-MK"/>
        </w:rPr>
        <w:t>Согласно Годишната програма за работа</w:t>
      </w:r>
      <w:r w:rsidR="00B56E55" w:rsidRPr="002968EC">
        <w:rPr>
          <w:rFonts w:asciiTheme="minorHAnsi" w:hAnsiTheme="minorHAnsi" w:cs="Calibri"/>
          <w:lang w:val="mk-MK"/>
        </w:rPr>
        <w:t>,</w:t>
      </w:r>
      <w:r w:rsidRPr="002968EC">
        <w:rPr>
          <w:rFonts w:asciiTheme="minorHAnsi" w:hAnsiTheme="minorHAnsi" w:cs="Calibri"/>
          <w:lang w:val="mk-MK"/>
        </w:rPr>
        <w:t xml:space="preserve"> </w:t>
      </w:r>
      <w:r w:rsidR="0093034B" w:rsidRPr="002968EC">
        <w:rPr>
          <w:rFonts w:asciiTheme="minorHAnsi" w:hAnsiTheme="minorHAnsi" w:cs="Calibri"/>
          <w:lang w:val="mk-MK"/>
        </w:rPr>
        <w:t>АЕК</w:t>
      </w:r>
      <w:r w:rsidRPr="002968EC">
        <w:rPr>
          <w:rFonts w:asciiTheme="minorHAnsi" w:hAnsiTheme="minorHAnsi" w:cs="Calibri"/>
          <w:lang w:val="mk-MK"/>
        </w:rPr>
        <w:t xml:space="preserve"> спроведе</w:t>
      </w:r>
      <w:r w:rsidR="00250611" w:rsidRPr="002968EC">
        <w:rPr>
          <w:rFonts w:asciiTheme="minorHAnsi" w:hAnsiTheme="minorHAnsi" w:cs="Calibri"/>
        </w:rPr>
        <w:t xml:space="preserve"> </w:t>
      </w:r>
      <w:r w:rsidR="00250611" w:rsidRPr="002968EC">
        <w:rPr>
          <w:rFonts w:asciiTheme="minorHAnsi" w:hAnsiTheme="minorHAnsi" w:cs="Calibri"/>
          <w:lang w:val="mk-MK"/>
        </w:rPr>
        <w:t>трета</w:t>
      </w:r>
      <w:r w:rsidRPr="002968EC">
        <w:rPr>
          <w:rFonts w:asciiTheme="minorHAnsi" w:hAnsiTheme="minorHAnsi" w:cs="Calibri"/>
          <w:lang w:val="mk-MK"/>
        </w:rPr>
        <w:t xml:space="preserve"> анализа на пазар 1</w:t>
      </w:r>
      <w:r w:rsidR="00B56E55" w:rsidRPr="002968EC">
        <w:rPr>
          <w:rFonts w:asciiTheme="minorHAnsi" w:hAnsiTheme="minorHAnsi" w:cs="Calibri"/>
          <w:lang w:val="mk-MK"/>
        </w:rPr>
        <w:t xml:space="preserve">- </w:t>
      </w:r>
      <w:r w:rsidRPr="002968EC">
        <w:rPr>
          <w:rFonts w:asciiTheme="minorHAnsi" w:hAnsiTheme="minorHAnsi" w:cs="Calibri"/>
          <w:lang w:val="mk-MK"/>
        </w:rPr>
        <w:t xml:space="preserve">  Пристап до јавна </w:t>
      </w:r>
      <w:r w:rsidR="00250611" w:rsidRPr="002968EC">
        <w:rPr>
          <w:rFonts w:asciiTheme="minorHAnsi" w:hAnsiTheme="minorHAnsi" w:cs="Calibri"/>
          <w:lang w:val="mk-MK"/>
        </w:rPr>
        <w:t xml:space="preserve">електронска комуникациска </w:t>
      </w:r>
      <w:r w:rsidRPr="002968EC">
        <w:rPr>
          <w:rFonts w:asciiTheme="minorHAnsi" w:hAnsiTheme="minorHAnsi" w:cs="Calibri"/>
          <w:lang w:val="mk-MK"/>
        </w:rPr>
        <w:t xml:space="preserve"> мрежа на фиксна локација.</w:t>
      </w:r>
    </w:p>
    <w:p w:rsidR="00182C7E" w:rsidRPr="002968EC" w:rsidRDefault="0093034B" w:rsidP="00781AEE">
      <w:pPr>
        <w:rPr>
          <w:rFonts w:asciiTheme="minorHAnsi" w:hAnsiTheme="minorHAnsi" w:cs="Calibri"/>
          <w:lang w:val="mk-MK"/>
        </w:rPr>
      </w:pPr>
      <w:r w:rsidRPr="002968EC">
        <w:rPr>
          <w:rFonts w:asciiTheme="minorHAnsi" w:hAnsiTheme="minorHAnsi" w:cs="Calibri"/>
          <w:lang w:val="mk-MK"/>
        </w:rPr>
        <w:t xml:space="preserve">АЕК </w:t>
      </w:r>
      <w:r w:rsidR="00182C7E" w:rsidRPr="002968EC">
        <w:rPr>
          <w:rFonts w:asciiTheme="minorHAnsi" w:hAnsiTheme="minorHAnsi" w:cs="Calibri"/>
          <w:lang w:val="mk-MK"/>
        </w:rPr>
        <w:t xml:space="preserve"> ги повикува сите заинтересирани субјекти да достават забелешки, коментари и мислења на прашањата наведени во овој </w:t>
      </w:r>
      <w:r w:rsidR="009D0095">
        <w:rPr>
          <w:rFonts w:asciiTheme="minorHAnsi" w:hAnsiTheme="minorHAnsi" w:cs="Calibri"/>
          <w:lang w:val="mk-MK"/>
        </w:rPr>
        <w:t>Нацрт</w:t>
      </w:r>
      <w:r w:rsidR="00250611" w:rsidRPr="002968EC">
        <w:rPr>
          <w:rFonts w:asciiTheme="minorHAnsi" w:hAnsiTheme="minorHAnsi" w:cs="Calibri"/>
          <w:lang w:val="mk-MK"/>
        </w:rPr>
        <w:t xml:space="preserve"> </w:t>
      </w:r>
      <w:r w:rsidR="00182C7E" w:rsidRPr="002968EC">
        <w:rPr>
          <w:rFonts w:asciiTheme="minorHAnsi" w:hAnsiTheme="minorHAnsi" w:cs="Calibri"/>
          <w:lang w:val="mk-MK"/>
        </w:rPr>
        <w:t xml:space="preserve">документ. Рокот за доставување на забелешките и коментарите е 30 дена од објавувањето на </w:t>
      </w:r>
      <w:r w:rsidR="009D0095">
        <w:rPr>
          <w:rFonts w:asciiTheme="minorHAnsi" w:hAnsiTheme="minorHAnsi" w:cs="Calibri"/>
          <w:lang w:val="mk-MK"/>
        </w:rPr>
        <w:t>нацрт</w:t>
      </w:r>
      <w:r w:rsidR="00182C7E" w:rsidRPr="002968EC">
        <w:rPr>
          <w:rFonts w:asciiTheme="minorHAnsi" w:hAnsiTheme="minorHAnsi" w:cs="Calibri"/>
          <w:lang w:val="mk-MK"/>
        </w:rPr>
        <w:t xml:space="preserve"> документ</w:t>
      </w:r>
      <w:r w:rsidR="009D0095">
        <w:rPr>
          <w:rFonts w:asciiTheme="minorHAnsi" w:hAnsiTheme="minorHAnsi" w:cs="Calibri"/>
          <w:lang w:val="mk-MK"/>
        </w:rPr>
        <w:t>от</w:t>
      </w:r>
      <w:r w:rsidR="00182C7E" w:rsidRPr="002968EC">
        <w:rPr>
          <w:rFonts w:asciiTheme="minorHAnsi" w:hAnsiTheme="minorHAnsi" w:cs="Calibri"/>
          <w:lang w:val="mk-MK"/>
        </w:rPr>
        <w:t xml:space="preserve"> на веб страната на </w:t>
      </w:r>
      <w:r w:rsidRPr="002968EC">
        <w:rPr>
          <w:rFonts w:asciiTheme="minorHAnsi" w:hAnsiTheme="minorHAnsi" w:cs="Calibri"/>
          <w:lang w:val="mk-MK"/>
        </w:rPr>
        <w:t>АЕК</w:t>
      </w:r>
      <w:r w:rsidR="00182C7E" w:rsidRPr="002968EC">
        <w:rPr>
          <w:rFonts w:asciiTheme="minorHAnsi" w:hAnsiTheme="minorHAnsi" w:cs="Calibri"/>
          <w:lang w:val="mk-MK"/>
        </w:rPr>
        <w:t xml:space="preserve">. Согласно член </w:t>
      </w:r>
      <w:r w:rsidR="00F8036E" w:rsidRPr="002968EC">
        <w:rPr>
          <w:rFonts w:asciiTheme="minorHAnsi" w:hAnsiTheme="minorHAnsi" w:cs="Calibri"/>
          <w:lang w:val="mk-MK"/>
        </w:rPr>
        <w:t xml:space="preserve"> 13 </w:t>
      </w:r>
      <w:r w:rsidR="00182C7E" w:rsidRPr="002968EC">
        <w:rPr>
          <w:rFonts w:asciiTheme="minorHAnsi" w:hAnsiTheme="minorHAnsi" w:cs="Calibri"/>
          <w:lang w:val="mk-MK"/>
        </w:rPr>
        <w:t xml:space="preserve">од </w:t>
      </w:r>
      <w:r w:rsidR="003945E7" w:rsidRPr="002968EC">
        <w:rPr>
          <w:rFonts w:asciiTheme="minorHAnsi" w:hAnsiTheme="minorHAnsi" w:cs="Calibri"/>
          <w:lang w:val="mk-MK"/>
        </w:rPr>
        <w:t>ЗЕК</w:t>
      </w:r>
      <w:r w:rsidR="00B72FC9" w:rsidRPr="002968EC">
        <w:rPr>
          <w:rFonts w:asciiTheme="minorHAnsi" w:hAnsiTheme="minorHAnsi" w:cs="Calibri"/>
        </w:rPr>
        <w:t>,</w:t>
      </w:r>
      <w:r w:rsidR="00182C7E" w:rsidRPr="002968EC">
        <w:rPr>
          <w:rFonts w:asciiTheme="minorHAnsi" w:hAnsiTheme="minorHAnsi" w:cs="Calibri"/>
          <w:lang w:val="mk-MK"/>
        </w:rPr>
        <w:t xml:space="preserve"> </w:t>
      </w:r>
      <w:r w:rsidRPr="002968EC">
        <w:rPr>
          <w:rFonts w:asciiTheme="minorHAnsi" w:hAnsiTheme="minorHAnsi" w:cs="Calibri"/>
          <w:lang w:val="mk-MK"/>
        </w:rPr>
        <w:t xml:space="preserve">AЕК </w:t>
      </w:r>
      <w:r w:rsidR="00182C7E" w:rsidRPr="002968EC">
        <w:rPr>
          <w:rFonts w:asciiTheme="minorHAnsi" w:hAnsiTheme="minorHAnsi" w:cs="Calibri"/>
          <w:lang w:val="mk-MK"/>
        </w:rPr>
        <w:t xml:space="preserve">јавно ќе ги објави имињата на субјектите и доставените мислења и коментари, при што доверливите информации и податоци нема да бидат објавени. Информациите и податоците кои имаат ознака “строго доверливо” ќе имаат таков третман во </w:t>
      </w:r>
      <w:r w:rsidRPr="002968EC">
        <w:rPr>
          <w:rFonts w:asciiTheme="minorHAnsi" w:hAnsiTheme="minorHAnsi" w:cs="Calibri"/>
          <w:lang w:val="mk-MK"/>
        </w:rPr>
        <w:t xml:space="preserve">AЕК </w:t>
      </w:r>
      <w:r w:rsidR="00182C7E" w:rsidRPr="002968EC">
        <w:rPr>
          <w:rFonts w:asciiTheme="minorHAnsi" w:hAnsiTheme="minorHAnsi" w:cs="Calibri"/>
          <w:lang w:val="mk-MK"/>
        </w:rPr>
        <w:t xml:space="preserve">со почитување на доверливоста на истите и ќе се користат единствено од страна на вработените на </w:t>
      </w:r>
      <w:r w:rsidRPr="002968EC">
        <w:rPr>
          <w:rFonts w:asciiTheme="minorHAnsi" w:hAnsiTheme="minorHAnsi" w:cs="Calibri"/>
          <w:lang w:val="mk-MK"/>
        </w:rPr>
        <w:t>AЕК</w:t>
      </w:r>
      <w:r w:rsidR="00182C7E" w:rsidRPr="002968EC">
        <w:rPr>
          <w:rFonts w:asciiTheme="minorHAnsi" w:hAnsiTheme="minorHAnsi" w:cs="Calibri"/>
          <w:lang w:val="mk-MK"/>
        </w:rPr>
        <w:t>, за потребите за кои се побарани и нема да бидат објавени или дистрибуирани во други регулаторни тела.</w:t>
      </w:r>
    </w:p>
    <w:p w:rsidR="00280E1F" w:rsidRPr="002968EC" w:rsidRDefault="00182C7E" w:rsidP="00781AEE">
      <w:pPr>
        <w:rPr>
          <w:rFonts w:asciiTheme="minorHAnsi" w:hAnsiTheme="minorHAnsi" w:cs="Calibri"/>
          <w:lang w:val="mk-MK"/>
        </w:rPr>
      </w:pPr>
      <w:r w:rsidRPr="002968EC">
        <w:rPr>
          <w:rFonts w:asciiTheme="minorHAnsi" w:hAnsiTheme="minorHAnsi" w:cs="Calibri"/>
          <w:lang w:val="mk-MK"/>
        </w:rPr>
        <w:t xml:space="preserve">Овој документ ги презентира заклучоците на </w:t>
      </w:r>
      <w:r w:rsidR="0093034B" w:rsidRPr="002968EC">
        <w:rPr>
          <w:rFonts w:asciiTheme="minorHAnsi" w:hAnsiTheme="minorHAnsi" w:cs="Calibri"/>
          <w:lang w:val="mk-MK"/>
        </w:rPr>
        <w:t xml:space="preserve">AЕК </w:t>
      </w:r>
      <w:r w:rsidRPr="002968EC">
        <w:rPr>
          <w:rFonts w:asciiTheme="minorHAnsi" w:hAnsiTheme="minorHAnsi" w:cs="Calibri"/>
          <w:lang w:val="mk-MK"/>
        </w:rPr>
        <w:t>од аспект на дефинирање на релевантни</w:t>
      </w:r>
      <w:r w:rsidR="00D36463" w:rsidRPr="002968EC">
        <w:rPr>
          <w:rFonts w:asciiTheme="minorHAnsi" w:hAnsiTheme="minorHAnsi" w:cs="Calibri"/>
          <w:lang w:val="mk-MK"/>
        </w:rPr>
        <w:t>о</w:t>
      </w:r>
      <w:r w:rsidRPr="002968EC">
        <w:rPr>
          <w:rFonts w:asciiTheme="minorHAnsi" w:hAnsiTheme="minorHAnsi" w:cs="Calibri"/>
          <w:lang w:val="mk-MK"/>
        </w:rPr>
        <w:t>т пазар</w:t>
      </w:r>
      <w:r w:rsidR="00D36463" w:rsidRPr="002968EC">
        <w:rPr>
          <w:rFonts w:asciiTheme="minorHAnsi" w:hAnsiTheme="minorHAnsi" w:cs="Calibri"/>
          <w:lang w:val="mk-MK"/>
        </w:rPr>
        <w:t xml:space="preserve"> 1</w:t>
      </w:r>
      <w:r w:rsidRPr="002968EC">
        <w:rPr>
          <w:rFonts w:asciiTheme="minorHAnsi" w:hAnsiTheme="minorHAnsi" w:cs="Calibri"/>
          <w:lang w:val="mk-MK"/>
        </w:rPr>
        <w:t xml:space="preserve">, анализа на истите врз основа на податоци и финансиски информации низ критериумите согласно член </w:t>
      </w:r>
      <w:r w:rsidR="001E1A34" w:rsidRPr="002968EC">
        <w:rPr>
          <w:rFonts w:asciiTheme="minorHAnsi" w:hAnsiTheme="minorHAnsi" w:cs="Calibri"/>
          <w:lang w:val="mk-MK"/>
        </w:rPr>
        <w:t xml:space="preserve"> 76 и</w:t>
      </w:r>
      <w:r w:rsidR="005149A9" w:rsidRPr="002968EC">
        <w:rPr>
          <w:rFonts w:asciiTheme="minorHAnsi" w:hAnsiTheme="minorHAnsi" w:cs="Calibri"/>
          <w:lang w:val="mk-MK"/>
        </w:rPr>
        <w:t xml:space="preserve"> 77 </w:t>
      </w:r>
      <w:r w:rsidRPr="002968EC">
        <w:rPr>
          <w:rFonts w:asciiTheme="minorHAnsi" w:hAnsiTheme="minorHAnsi" w:cs="Calibri"/>
          <w:lang w:val="mk-MK"/>
        </w:rPr>
        <w:t>од ЗЕК, одредување дали релевантни</w:t>
      </w:r>
      <w:r w:rsidR="00D36463" w:rsidRPr="002968EC">
        <w:rPr>
          <w:rFonts w:asciiTheme="minorHAnsi" w:hAnsiTheme="minorHAnsi" w:cs="Calibri"/>
          <w:lang w:val="mk-MK"/>
        </w:rPr>
        <w:t>о</w:t>
      </w:r>
      <w:r w:rsidRPr="002968EC">
        <w:rPr>
          <w:rFonts w:asciiTheme="minorHAnsi" w:hAnsiTheme="minorHAnsi" w:cs="Calibri"/>
          <w:lang w:val="mk-MK"/>
        </w:rPr>
        <w:t>т пазар 1</w:t>
      </w:r>
      <w:r w:rsidR="00D36463" w:rsidRPr="002968EC">
        <w:rPr>
          <w:rFonts w:asciiTheme="minorHAnsi" w:hAnsiTheme="minorHAnsi" w:cs="Calibri"/>
          <w:lang w:val="mk-MK"/>
        </w:rPr>
        <w:t xml:space="preserve"> Пристап до јавна </w:t>
      </w:r>
      <w:r w:rsidR="00250611" w:rsidRPr="002968EC">
        <w:rPr>
          <w:rFonts w:asciiTheme="minorHAnsi" w:hAnsiTheme="minorHAnsi" w:cs="Calibri"/>
          <w:lang w:val="mk-MK"/>
        </w:rPr>
        <w:t xml:space="preserve">електронска комуникациска </w:t>
      </w:r>
      <w:r w:rsidR="00D36463" w:rsidRPr="002968EC">
        <w:rPr>
          <w:rFonts w:asciiTheme="minorHAnsi" w:hAnsiTheme="minorHAnsi" w:cs="Calibri"/>
          <w:lang w:val="mk-MK"/>
        </w:rPr>
        <w:t xml:space="preserve"> мрежа на фиксна локација</w:t>
      </w:r>
      <w:r w:rsidRPr="002968EC">
        <w:rPr>
          <w:rFonts w:asciiTheme="minorHAnsi" w:hAnsiTheme="minorHAnsi" w:cs="Calibri"/>
          <w:lang w:val="mk-MK"/>
        </w:rPr>
        <w:t xml:space="preserve"> е конкурент</w:t>
      </w:r>
      <w:r w:rsidR="00D36463" w:rsidRPr="002968EC">
        <w:rPr>
          <w:rFonts w:asciiTheme="minorHAnsi" w:hAnsiTheme="minorHAnsi" w:cs="Calibri"/>
          <w:lang w:val="mk-MK"/>
        </w:rPr>
        <w:t>е</w:t>
      </w:r>
      <w:r w:rsidRPr="002968EC">
        <w:rPr>
          <w:rFonts w:asciiTheme="minorHAnsi" w:hAnsiTheme="minorHAnsi" w:cs="Calibri"/>
          <w:lang w:val="mk-MK"/>
        </w:rPr>
        <w:t xml:space="preserve">н </w:t>
      </w:r>
      <w:r w:rsidR="00D36463" w:rsidRPr="002968EC">
        <w:rPr>
          <w:rFonts w:asciiTheme="minorHAnsi" w:hAnsiTheme="minorHAnsi" w:cs="Calibri"/>
          <w:lang w:val="mk-MK"/>
        </w:rPr>
        <w:t xml:space="preserve">пазар </w:t>
      </w:r>
      <w:r w:rsidRPr="002968EC">
        <w:rPr>
          <w:rFonts w:asciiTheme="minorHAnsi" w:hAnsiTheme="minorHAnsi" w:cs="Calibri"/>
          <w:lang w:val="mk-MK"/>
        </w:rPr>
        <w:t xml:space="preserve">или има оператор/ и кој поседува значителна пазарна моќ да дејствува независно од конкурентите и корисниците на истите во однос на цените или понудата, определување на оператор со значителна пазарна моќ на </w:t>
      </w:r>
      <w:r w:rsidR="00D36463" w:rsidRPr="002968EC">
        <w:rPr>
          <w:rFonts w:asciiTheme="minorHAnsi" w:hAnsiTheme="minorHAnsi" w:cs="Calibri"/>
          <w:lang w:val="mk-MK"/>
        </w:rPr>
        <w:t xml:space="preserve">релевантниот пазар 1 Пристап до јавна </w:t>
      </w:r>
      <w:r w:rsidR="00250611" w:rsidRPr="002968EC">
        <w:rPr>
          <w:rFonts w:asciiTheme="minorHAnsi" w:hAnsiTheme="minorHAnsi" w:cs="Calibri"/>
          <w:lang w:val="mk-MK"/>
        </w:rPr>
        <w:t xml:space="preserve">електронска комуникациска </w:t>
      </w:r>
      <w:r w:rsidR="00D36463" w:rsidRPr="002968EC">
        <w:rPr>
          <w:rFonts w:asciiTheme="minorHAnsi" w:hAnsiTheme="minorHAnsi" w:cs="Calibri"/>
          <w:lang w:val="mk-MK"/>
        </w:rPr>
        <w:t xml:space="preserve"> мрежа на фиксна локација </w:t>
      </w:r>
      <w:r w:rsidRPr="002968EC">
        <w:rPr>
          <w:rFonts w:asciiTheme="minorHAnsi" w:hAnsiTheme="minorHAnsi" w:cs="Calibri"/>
          <w:lang w:val="mk-MK"/>
        </w:rPr>
        <w:t>и определување на обврски на операторот со значителна пазарна моќ на релевантни</w:t>
      </w:r>
      <w:r w:rsidR="00D36463" w:rsidRPr="002968EC">
        <w:rPr>
          <w:rFonts w:asciiTheme="minorHAnsi" w:hAnsiTheme="minorHAnsi" w:cs="Calibri"/>
          <w:lang w:val="mk-MK"/>
        </w:rPr>
        <w:t>от пазар</w:t>
      </w:r>
      <w:r w:rsidRPr="002968EC">
        <w:rPr>
          <w:rFonts w:asciiTheme="minorHAnsi" w:hAnsiTheme="minorHAnsi" w:cs="Calibri"/>
          <w:lang w:val="mk-MK"/>
        </w:rPr>
        <w:t xml:space="preserve"> 1</w:t>
      </w:r>
      <w:r w:rsidR="00D36463" w:rsidRPr="002968EC">
        <w:rPr>
          <w:rFonts w:asciiTheme="minorHAnsi" w:hAnsiTheme="minorHAnsi" w:cs="Calibri"/>
          <w:lang w:val="mk-MK"/>
        </w:rPr>
        <w:t xml:space="preserve"> Пристап до јавна </w:t>
      </w:r>
      <w:r w:rsidR="00250611" w:rsidRPr="002968EC">
        <w:rPr>
          <w:rFonts w:asciiTheme="minorHAnsi" w:hAnsiTheme="minorHAnsi" w:cs="Calibri"/>
          <w:lang w:val="mk-MK"/>
        </w:rPr>
        <w:t xml:space="preserve">електронска комуникациска </w:t>
      </w:r>
      <w:r w:rsidR="00D36463" w:rsidRPr="002968EC">
        <w:rPr>
          <w:rFonts w:asciiTheme="minorHAnsi" w:hAnsiTheme="minorHAnsi" w:cs="Calibri"/>
          <w:lang w:val="mk-MK"/>
        </w:rPr>
        <w:t xml:space="preserve"> мрежа на фиксна </w:t>
      </w:r>
      <w:r w:rsidR="00250611" w:rsidRPr="002968EC">
        <w:rPr>
          <w:rFonts w:asciiTheme="minorHAnsi" w:hAnsiTheme="minorHAnsi" w:cs="Calibri"/>
          <w:lang w:val="mk-MK"/>
        </w:rPr>
        <w:t>локација</w:t>
      </w:r>
      <w:r w:rsidR="005D6B3B">
        <w:rPr>
          <w:rFonts w:asciiTheme="minorHAnsi" w:hAnsiTheme="minorHAnsi" w:cs="Calibri"/>
          <w:lang w:val="mk-MK"/>
        </w:rPr>
        <w:t>.</w:t>
      </w:r>
    </w:p>
    <w:p w:rsidR="002968EC" w:rsidRPr="002968EC" w:rsidRDefault="002968EC" w:rsidP="00781AEE">
      <w:pPr>
        <w:rPr>
          <w:rFonts w:asciiTheme="minorHAnsi" w:hAnsiTheme="minorHAnsi" w:cs="Calibri"/>
          <w:lang w:val="mk-MK"/>
        </w:rPr>
      </w:pPr>
    </w:p>
    <w:p w:rsidR="002968EC" w:rsidRPr="002968EC" w:rsidRDefault="002968EC" w:rsidP="00781AEE">
      <w:pPr>
        <w:rPr>
          <w:rFonts w:asciiTheme="minorHAnsi" w:hAnsiTheme="minorHAnsi" w:cs="Calibri"/>
          <w:lang w:val="mk-MK"/>
        </w:rPr>
      </w:pPr>
    </w:p>
    <w:p w:rsidR="005E3B67" w:rsidRPr="002968EC" w:rsidRDefault="005E3B67" w:rsidP="002968EC">
      <w:pPr>
        <w:pStyle w:val="Heading1"/>
        <w:rPr>
          <w:rFonts w:asciiTheme="minorHAnsi" w:hAnsiTheme="minorHAnsi"/>
        </w:rPr>
      </w:pPr>
      <w:bookmarkStart w:id="1" w:name="_Toc461617730"/>
      <w:r w:rsidRPr="002968EC">
        <w:rPr>
          <w:rFonts w:asciiTheme="minorHAnsi" w:hAnsiTheme="minorHAnsi"/>
        </w:rPr>
        <w:lastRenderedPageBreak/>
        <w:t xml:space="preserve">2. Правна основа за анализа на пазар 1- Пристап до јавна </w:t>
      </w:r>
      <w:r w:rsidR="00250611" w:rsidRPr="002968EC">
        <w:rPr>
          <w:rFonts w:asciiTheme="minorHAnsi" w:hAnsiTheme="minorHAnsi"/>
        </w:rPr>
        <w:t xml:space="preserve">електронска комуникациска </w:t>
      </w:r>
      <w:r w:rsidRPr="002968EC">
        <w:rPr>
          <w:rFonts w:asciiTheme="minorHAnsi" w:hAnsiTheme="minorHAnsi"/>
        </w:rPr>
        <w:t xml:space="preserve"> мрежа на фиксна локација</w:t>
      </w:r>
      <w:bookmarkEnd w:id="1"/>
      <w:r w:rsidRPr="002968EC">
        <w:rPr>
          <w:rFonts w:asciiTheme="minorHAnsi" w:hAnsiTheme="minorHAnsi"/>
        </w:rPr>
        <w:t xml:space="preserve"> </w:t>
      </w:r>
    </w:p>
    <w:p w:rsidR="002E3620" w:rsidRPr="002968EC" w:rsidRDefault="002E3620" w:rsidP="002E3620">
      <w:pPr>
        <w:rPr>
          <w:rFonts w:asciiTheme="minorHAnsi" w:hAnsiTheme="minorHAnsi"/>
          <w:lang w:val="mk-MK"/>
        </w:rPr>
      </w:pPr>
    </w:p>
    <w:p w:rsidR="00E42557" w:rsidRPr="002968EC" w:rsidRDefault="005E3B67" w:rsidP="00E42557">
      <w:pPr>
        <w:rPr>
          <w:rFonts w:asciiTheme="minorHAnsi" w:hAnsiTheme="minorHAnsi" w:cs="Calibri"/>
          <w:lang w:val="mk-MK"/>
        </w:rPr>
      </w:pPr>
      <w:r w:rsidRPr="002968EC">
        <w:rPr>
          <w:rFonts w:asciiTheme="minorHAnsi" w:hAnsiTheme="minorHAnsi" w:cs="Calibri"/>
          <w:lang w:val="mk-MK"/>
        </w:rPr>
        <w:t>А</w:t>
      </w:r>
      <w:r w:rsidR="0093034B" w:rsidRPr="002968EC">
        <w:rPr>
          <w:rFonts w:asciiTheme="minorHAnsi" w:hAnsiTheme="minorHAnsi" w:cs="Calibri"/>
          <w:lang w:val="mk-MK"/>
        </w:rPr>
        <w:t>ЕК</w:t>
      </w:r>
      <w:r w:rsidRPr="002968EC">
        <w:rPr>
          <w:rFonts w:asciiTheme="minorHAnsi" w:hAnsiTheme="minorHAnsi" w:cs="Calibri"/>
          <w:lang w:val="mk-MK"/>
        </w:rPr>
        <w:t xml:space="preserve"> </w:t>
      </w:r>
      <w:r w:rsidR="00E42557" w:rsidRPr="002968EC">
        <w:rPr>
          <w:rFonts w:asciiTheme="minorHAnsi" w:hAnsiTheme="minorHAnsi" w:cs="Calibri"/>
          <w:lang w:val="mk-MK"/>
        </w:rPr>
        <w:t xml:space="preserve">врз основа на целта на </w:t>
      </w:r>
      <w:r w:rsidR="003945E7" w:rsidRPr="002968EC">
        <w:rPr>
          <w:rFonts w:asciiTheme="minorHAnsi" w:hAnsiTheme="minorHAnsi" w:cs="Calibri"/>
          <w:lang w:val="mk-MK"/>
        </w:rPr>
        <w:t>ЗЕК</w:t>
      </w:r>
      <w:r w:rsidRPr="002968EC">
        <w:rPr>
          <w:rFonts w:asciiTheme="minorHAnsi" w:hAnsiTheme="minorHAnsi" w:cs="Calibri"/>
          <w:lang w:val="mk-MK"/>
        </w:rPr>
        <w:t xml:space="preserve"> (“Службен весник на Република Македонија“, бр.</w:t>
      </w:r>
      <w:r w:rsidR="003945E7" w:rsidRPr="002968EC">
        <w:rPr>
          <w:rFonts w:asciiTheme="minorHAnsi" w:hAnsiTheme="minorHAnsi" w:cs="Calibri"/>
          <w:lang w:val="mk-MK"/>
        </w:rPr>
        <w:t>39/2014</w:t>
      </w:r>
      <w:r w:rsidRPr="002968EC">
        <w:rPr>
          <w:rFonts w:asciiTheme="minorHAnsi" w:hAnsiTheme="minorHAnsi" w:cs="Calibri"/>
          <w:lang w:val="mk-MK"/>
        </w:rPr>
        <w:t xml:space="preserve">) </w:t>
      </w:r>
      <w:r w:rsidR="00E42557" w:rsidRPr="002968EC">
        <w:rPr>
          <w:rFonts w:asciiTheme="minorHAnsi" w:hAnsiTheme="minorHAnsi" w:cs="Calibri"/>
          <w:lang w:val="mk-MK"/>
        </w:rPr>
        <w:t>треба да обезбеди:</w:t>
      </w:r>
    </w:p>
    <w:p w:rsidR="00032CF5" w:rsidRDefault="00E42557">
      <w:pPr>
        <w:pStyle w:val="ListParagraph"/>
        <w:numPr>
          <w:ilvl w:val="0"/>
          <w:numId w:val="7"/>
        </w:numPr>
        <w:rPr>
          <w:rFonts w:asciiTheme="minorHAnsi" w:hAnsiTheme="minorHAnsi" w:cs="Calibri"/>
          <w:lang w:val="mk-MK"/>
        </w:rPr>
      </w:pPr>
      <w:r w:rsidRPr="002968EC">
        <w:rPr>
          <w:rFonts w:asciiTheme="minorHAnsi" w:hAnsiTheme="minorHAnsi" w:cs="Calibri"/>
          <w:lang w:val="mk-MK"/>
        </w:rPr>
        <w:t>поттикнување на развојот на јавните електронски комуникациски мрежи и услуги во Република Македонија, со цел да се обезбеди економски и социјален развој,</w:t>
      </w:r>
    </w:p>
    <w:p w:rsidR="00032CF5" w:rsidRDefault="00E42557">
      <w:pPr>
        <w:pStyle w:val="ListParagraph"/>
        <w:numPr>
          <w:ilvl w:val="0"/>
          <w:numId w:val="7"/>
        </w:numPr>
        <w:rPr>
          <w:rFonts w:asciiTheme="minorHAnsi" w:hAnsiTheme="minorHAnsi" w:cs="Calibri"/>
          <w:lang w:val="mk-MK"/>
        </w:rPr>
      </w:pPr>
      <w:r w:rsidRPr="002968EC">
        <w:rPr>
          <w:rFonts w:asciiTheme="minorHAnsi" w:hAnsiTheme="minorHAnsi" w:cs="Calibri"/>
          <w:lang w:val="mk-MK"/>
        </w:rPr>
        <w:t>поттикнување на користењето и развојот на широкопојасен пристап до услуги (broadband),</w:t>
      </w:r>
    </w:p>
    <w:p w:rsidR="00032CF5" w:rsidRDefault="00E42557">
      <w:pPr>
        <w:pStyle w:val="ListParagraph"/>
        <w:numPr>
          <w:ilvl w:val="0"/>
          <w:numId w:val="7"/>
        </w:numPr>
        <w:rPr>
          <w:rFonts w:asciiTheme="minorHAnsi" w:hAnsiTheme="minorHAnsi" w:cs="Calibri"/>
          <w:lang w:val="mk-MK"/>
        </w:rPr>
      </w:pPr>
      <w:r w:rsidRPr="002968EC">
        <w:rPr>
          <w:rFonts w:asciiTheme="minorHAnsi" w:hAnsiTheme="minorHAnsi" w:cs="Calibri"/>
          <w:lang w:val="mk-MK"/>
        </w:rPr>
        <w:t>заштита на правата на корисниците, вклучувајќи ги крајните корисници со</w:t>
      </w:r>
      <w:r w:rsidR="00D01AF4" w:rsidRPr="002968EC">
        <w:rPr>
          <w:rFonts w:asciiTheme="minorHAnsi" w:hAnsiTheme="minorHAnsi" w:cs="Calibri"/>
        </w:rPr>
        <w:t xml:space="preserve"> </w:t>
      </w:r>
      <w:r w:rsidRPr="002968EC">
        <w:rPr>
          <w:rFonts w:asciiTheme="minorHAnsi" w:hAnsiTheme="minorHAnsi" w:cs="Calibri"/>
          <w:lang w:val="mk-MK"/>
        </w:rPr>
        <w:t>инвалидитет и крајните корисници со посебни социјални потреби</w:t>
      </w:r>
    </w:p>
    <w:p w:rsidR="00032CF5" w:rsidRDefault="00E42557">
      <w:pPr>
        <w:pStyle w:val="ListParagraph"/>
        <w:numPr>
          <w:ilvl w:val="0"/>
          <w:numId w:val="7"/>
        </w:numPr>
        <w:rPr>
          <w:rFonts w:asciiTheme="minorHAnsi" w:hAnsiTheme="minorHAnsi" w:cs="Calibri"/>
          <w:lang w:val="mk-MK"/>
        </w:rPr>
      </w:pPr>
      <w:r w:rsidRPr="002968EC">
        <w:rPr>
          <w:rFonts w:asciiTheme="minorHAnsi" w:hAnsiTheme="minorHAnsi" w:cs="Calibri"/>
          <w:lang w:val="mk-MK"/>
        </w:rPr>
        <w:t>обезбедување на ефикасна и одржлива конкуренција на пазарот за електронски</w:t>
      </w:r>
      <w:r w:rsidR="00D01AF4" w:rsidRPr="002968EC">
        <w:rPr>
          <w:rFonts w:asciiTheme="minorHAnsi" w:hAnsiTheme="minorHAnsi" w:cs="Calibri"/>
        </w:rPr>
        <w:t xml:space="preserve"> </w:t>
      </w:r>
      <w:r w:rsidRPr="002968EC">
        <w:rPr>
          <w:rFonts w:asciiTheme="minorHAnsi" w:hAnsiTheme="minorHAnsi" w:cs="Calibri"/>
          <w:lang w:val="mk-MK"/>
        </w:rPr>
        <w:t>комуникации,</w:t>
      </w:r>
    </w:p>
    <w:p w:rsidR="00032CF5" w:rsidRDefault="00E42557">
      <w:pPr>
        <w:pStyle w:val="ListParagraph"/>
        <w:numPr>
          <w:ilvl w:val="0"/>
          <w:numId w:val="7"/>
        </w:numPr>
        <w:rPr>
          <w:rFonts w:asciiTheme="minorHAnsi" w:hAnsiTheme="minorHAnsi" w:cs="Calibri"/>
          <w:lang w:val="mk-MK"/>
        </w:rPr>
      </w:pPr>
      <w:r w:rsidRPr="002968EC">
        <w:rPr>
          <w:rFonts w:asciiTheme="minorHAnsi" w:hAnsiTheme="minorHAnsi" w:cs="Calibri"/>
          <w:lang w:val="mk-MK"/>
        </w:rPr>
        <w:t>обезбедување на универзална услуга,</w:t>
      </w:r>
    </w:p>
    <w:p w:rsidR="00032CF5" w:rsidRDefault="00E42557">
      <w:pPr>
        <w:pStyle w:val="ListParagraph"/>
        <w:numPr>
          <w:ilvl w:val="0"/>
          <w:numId w:val="7"/>
        </w:numPr>
        <w:rPr>
          <w:rFonts w:asciiTheme="minorHAnsi" w:hAnsiTheme="minorHAnsi" w:cs="Calibri"/>
          <w:lang w:val="mk-MK"/>
        </w:rPr>
      </w:pPr>
      <w:r w:rsidRPr="002968EC">
        <w:rPr>
          <w:rFonts w:asciiTheme="minorHAnsi" w:hAnsiTheme="minorHAnsi" w:cs="Calibri"/>
          <w:lang w:val="mk-MK"/>
        </w:rPr>
        <w:t>ефикасно користење на радиофреквенцискиот спектар и нумерацијата,</w:t>
      </w:r>
    </w:p>
    <w:p w:rsidR="00032CF5" w:rsidRDefault="00E42557">
      <w:pPr>
        <w:pStyle w:val="ListParagraph"/>
        <w:numPr>
          <w:ilvl w:val="0"/>
          <w:numId w:val="7"/>
        </w:numPr>
        <w:rPr>
          <w:rFonts w:asciiTheme="minorHAnsi" w:hAnsiTheme="minorHAnsi" w:cs="Calibri"/>
          <w:lang w:val="mk-MK"/>
        </w:rPr>
      </w:pPr>
      <w:r w:rsidRPr="002968EC">
        <w:rPr>
          <w:rFonts w:asciiTheme="minorHAnsi" w:hAnsiTheme="minorHAnsi" w:cs="Calibri"/>
          <w:lang w:val="mk-MK"/>
        </w:rPr>
        <w:t>унапредување на развојот и поттикнување на инвестиции во јавните електронски</w:t>
      </w:r>
      <w:r w:rsidR="00D01AF4" w:rsidRPr="002968EC">
        <w:rPr>
          <w:rFonts w:asciiTheme="minorHAnsi" w:hAnsiTheme="minorHAnsi" w:cs="Calibri"/>
        </w:rPr>
        <w:t xml:space="preserve"> </w:t>
      </w:r>
      <w:r w:rsidRPr="002968EC">
        <w:rPr>
          <w:rFonts w:asciiTheme="minorHAnsi" w:hAnsiTheme="minorHAnsi" w:cs="Calibri"/>
          <w:lang w:val="mk-MK"/>
        </w:rPr>
        <w:t>комуникациски мрежи со воведување на нови технологии и услуги, а особено со</w:t>
      </w:r>
      <w:r w:rsidR="00D01AF4" w:rsidRPr="002968EC">
        <w:rPr>
          <w:rFonts w:asciiTheme="minorHAnsi" w:hAnsiTheme="minorHAnsi" w:cs="Calibri"/>
        </w:rPr>
        <w:t xml:space="preserve"> </w:t>
      </w:r>
      <w:r w:rsidRPr="002968EC">
        <w:rPr>
          <w:rFonts w:asciiTheme="minorHAnsi" w:hAnsiTheme="minorHAnsi" w:cs="Calibri"/>
          <w:lang w:val="mk-MK"/>
        </w:rPr>
        <w:t>воведување на следни генерации на јавни електронски комуникациски мрежи и</w:t>
      </w:r>
    </w:p>
    <w:p w:rsidR="00032CF5" w:rsidRDefault="00E42557">
      <w:pPr>
        <w:pStyle w:val="ListParagraph"/>
        <w:numPr>
          <w:ilvl w:val="0"/>
          <w:numId w:val="7"/>
        </w:numPr>
        <w:rPr>
          <w:rFonts w:asciiTheme="minorHAnsi" w:hAnsiTheme="minorHAnsi" w:cs="Calibri"/>
          <w:lang w:val="mk-MK"/>
        </w:rPr>
      </w:pPr>
      <w:r w:rsidRPr="002968EC">
        <w:rPr>
          <w:rFonts w:asciiTheme="minorHAnsi" w:hAnsiTheme="minorHAnsi" w:cs="Calibri"/>
          <w:lang w:val="mk-MK"/>
        </w:rPr>
        <w:t>обезбедување на доверливост на комуникациите.</w:t>
      </w:r>
    </w:p>
    <w:p w:rsidR="00022EB7" w:rsidRPr="002968EC" w:rsidRDefault="00E4488C" w:rsidP="005F2E77">
      <w:pPr>
        <w:rPr>
          <w:rFonts w:asciiTheme="minorHAnsi" w:hAnsiTheme="minorHAnsi" w:cs="Calibri"/>
          <w:lang w:val="mk-MK"/>
        </w:rPr>
      </w:pPr>
      <w:r w:rsidRPr="002968EC">
        <w:rPr>
          <w:rFonts w:asciiTheme="minorHAnsi" w:hAnsiTheme="minorHAnsi" w:cs="Calibri"/>
          <w:lang w:val="mk-MK"/>
        </w:rPr>
        <w:t>АЕК во 20</w:t>
      </w:r>
      <w:r w:rsidR="003C74D8" w:rsidRPr="002968EC">
        <w:rPr>
          <w:rFonts w:asciiTheme="minorHAnsi" w:hAnsiTheme="minorHAnsi" w:cs="Calibri"/>
          <w:lang w:val="mk-MK"/>
        </w:rPr>
        <w:t>14</w:t>
      </w:r>
      <w:r w:rsidRPr="002968EC">
        <w:rPr>
          <w:rFonts w:asciiTheme="minorHAnsi" w:hAnsiTheme="minorHAnsi" w:cs="Calibri"/>
          <w:lang w:val="mk-MK"/>
        </w:rPr>
        <w:t xml:space="preserve"> година спроведе </w:t>
      </w:r>
      <w:r w:rsidR="003C74D8" w:rsidRPr="002968EC">
        <w:rPr>
          <w:rFonts w:asciiTheme="minorHAnsi" w:hAnsiTheme="minorHAnsi" w:cs="Calibri"/>
          <w:lang w:val="mk-MK"/>
        </w:rPr>
        <w:t xml:space="preserve">втора </w:t>
      </w:r>
      <w:r w:rsidRPr="002968EC">
        <w:rPr>
          <w:rFonts w:asciiTheme="minorHAnsi" w:hAnsiTheme="minorHAnsi" w:cs="Calibri"/>
          <w:lang w:val="mk-MK"/>
        </w:rPr>
        <w:t>Анализа на релевантни</w:t>
      </w:r>
      <w:r w:rsidR="003C74D8" w:rsidRPr="002968EC">
        <w:rPr>
          <w:rFonts w:asciiTheme="minorHAnsi" w:hAnsiTheme="minorHAnsi" w:cs="Calibri"/>
          <w:lang w:val="mk-MK"/>
        </w:rPr>
        <w:t>от</w:t>
      </w:r>
      <w:r w:rsidRPr="002968EC">
        <w:rPr>
          <w:rFonts w:asciiTheme="minorHAnsi" w:hAnsiTheme="minorHAnsi" w:cs="Calibri"/>
          <w:lang w:val="mk-MK"/>
        </w:rPr>
        <w:t xml:space="preserve"> малопродаж</w:t>
      </w:r>
      <w:r w:rsidR="003C74D8" w:rsidRPr="002968EC">
        <w:rPr>
          <w:rFonts w:asciiTheme="minorHAnsi" w:hAnsiTheme="minorHAnsi" w:cs="Calibri"/>
          <w:lang w:val="mk-MK"/>
        </w:rPr>
        <w:t>ен</w:t>
      </w:r>
      <w:r w:rsidRPr="002968EC">
        <w:rPr>
          <w:rFonts w:asciiTheme="minorHAnsi" w:hAnsiTheme="minorHAnsi" w:cs="Calibri"/>
          <w:lang w:val="mk-MK"/>
        </w:rPr>
        <w:t xml:space="preserve"> пазар </w:t>
      </w:r>
      <w:r w:rsidR="003C74D8" w:rsidRPr="002968EC">
        <w:rPr>
          <w:rFonts w:asciiTheme="minorHAnsi" w:hAnsiTheme="minorHAnsi" w:cs="Calibri"/>
          <w:lang w:val="mk-MK"/>
        </w:rPr>
        <w:t>за Пристап до јавна електронска комуникациска мрежа на фиксна локација</w:t>
      </w:r>
      <w:r w:rsidRPr="002968EC">
        <w:rPr>
          <w:rFonts w:asciiTheme="minorHAnsi" w:hAnsiTheme="minorHAnsi" w:cs="Calibri"/>
          <w:lang w:val="mk-MK"/>
        </w:rPr>
        <w:t>, со што Македонски Телеком АД го прогласи за оператор кој поседува значителна пазарна моќ на ов</w:t>
      </w:r>
      <w:r w:rsidR="003C74D8" w:rsidRPr="002968EC">
        <w:rPr>
          <w:rFonts w:asciiTheme="minorHAnsi" w:hAnsiTheme="minorHAnsi" w:cs="Calibri"/>
          <w:lang w:val="mk-MK"/>
        </w:rPr>
        <w:t>ој</w:t>
      </w:r>
      <w:r w:rsidRPr="002968EC">
        <w:rPr>
          <w:rFonts w:asciiTheme="minorHAnsi" w:hAnsiTheme="minorHAnsi" w:cs="Calibri"/>
          <w:lang w:val="mk-MK"/>
        </w:rPr>
        <w:t xml:space="preserve"> релевант</w:t>
      </w:r>
      <w:r w:rsidR="003C74D8" w:rsidRPr="002968EC">
        <w:rPr>
          <w:rFonts w:asciiTheme="minorHAnsi" w:hAnsiTheme="minorHAnsi" w:cs="Calibri"/>
          <w:lang w:val="mk-MK"/>
        </w:rPr>
        <w:t>ен</w:t>
      </w:r>
      <w:r w:rsidRPr="002968EC">
        <w:rPr>
          <w:rFonts w:asciiTheme="minorHAnsi" w:hAnsiTheme="minorHAnsi" w:cs="Calibri"/>
          <w:lang w:val="mk-MK"/>
        </w:rPr>
        <w:t xml:space="preserve"> пазар. </w:t>
      </w:r>
    </w:p>
    <w:p w:rsidR="005E3B67" w:rsidRPr="002968EC" w:rsidRDefault="00D01AF4" w:rsidP="00781AEE">
      <w:pPr>
        <w:rPr>
          <w:rFonts w:asciiTheme="minorHAnsi" w:hAnsiTheme="minorHAnsi" w:cs="Calibri"/>
          <w:lang w:val="mk-MK"/>
        </w:rPr>
      </w:pPr>
      <w:r w:rsidRPr="002968EC">
        <w:rPr>
          <w:rFonts w:asciiTheme="minorHAnsi" w:hAnsiTheme="minorHAnsi" w:cs="Calibri"/>
          <w:lang w:val="mk-MK"/>
        </w:rPr>
        <w:t>Оваа</w:t>
      </w:r>
      <w:r w:rsidR="005E3B67" w:rsidRPr="002968EC">
        <w:rPr>
          <w:rFonts w:asciiTheme="minorHAnsi" w:hAnsiTheme="minorHAnsi" w:cs="Calibri"/>
          <w:lang w:val="mk-MK"/>
        </w:rPr>
        <w:t xml:space="preserve"> </w:t>
      </w:r>
      <w:r w:rsidR="0085340C">
        <w:rPr>
          <w:rFonts w:asciiTheme="minorHAnsi" w:hAnsiTheme="minorHAnsi" w:cs="Calibri"/>
          <w:lang w:val="mk-MK"/>
        </w:rPr>
        <w:t>анализа на релевантниот пазар 1</w:t>
      </w:r>
      <w:r w:rsidR="005E3B67" w:rsidRPr="002968EC">
        <w:rPr>
          <w:rFonts w:asciiTheme="minorHAnsi" w:hAnsiTheme="minorHAnsi" w:cs="Calibri"/>
          <w:lang w:val="mk-MK"/>
        </w:rPr>
        <w:t xml:space="preserve"> </w:t>
      </w:r>
      <w:r w:rsidR="009A0355" w:rsidRPr="002968EC">
        <w:rPr>
          <w:rFonts w:asciiTheme="minorHAnsi" w:hAnsiTheme="minorHAnsi" w:cs="Calibri"/>
          <w:lang w:val="mk-MK"/>
        </w:rPr>
        <w:t xml:space="preserve">– </w:t>
      </w:r>
      <w:r w:rsidR="00E4488C" w:rsidRPr="002968EC">
        <w:rPr>
          <w:rFonts w:asciiTheme="minorHAnsi" w:hAnsiTheme="minorHAnsi" w:cs="Calibri"/>
          <w:lang w:val="mk-MK"/>
        </w:rPr>
        <w:t xml:space="preserve">пристап до </w:t>
      </w:r>
      <w:r w:rsidR="008A38F9" w:rsidRPr="002968EC">
        <w:rPr>
          <w:rFonts w:asciiTheme="minorHAnsi" w:hAnsiTheme="minorHAnsi" w:cs="Calibri"/>
          <w:lang w:val="mk-MK"/>
        </w:rPr>
        <w:t>јавна електронска комуникациска мрежа на фиксна локација</w:t>
      </w:r>
      <w:r w:rsidR="00E4488C" w:rsidRPr="002968EC">
        <w:rPr>
          <w:rFonts w:asciiTheme="minorHAnsi" w:hAnsiTheme="minorHAnsi" w:cs="Calibri"/>
          <w:lang w:val="mk-MK"/>
        </w:rPr>
        <w:t>,</w:t>
      </w:r>
      <w:r w:rsidR="005E3B67" w:rsidRPr="002968EC">
        <w:rPr>
          <w:rFonts w:asciiTheme="minorHAnsi" w:hAnsiTheme="minorHAnsi" w:cs="Calibri"/>
          <w:lang w:val="mk-MK"/>
        </w:rPr>
        <w:t xml:space="preserve"> </w:t>
      </w:r>
      <w:r w:rsidRPr="002968EC">
        <w:rPr>
          <w:rFonts w:asciiTheme="minorHAnsi" w:hAnsiTheme="minorHAnsi" w:cs="Calibri"/>
          <w:lang w:val="mk-MK"/>
        </w:rPr>
        <w:t>се спроведува</w:t>
      </w:r>
      <w:r w:rsidR="005E3B67" w:rsidRPr="002968EC">
        <w:rPr>
          <w:rFonts w:asciiTheme="minorHAnsi" w:hAnsiTheme="minorHAnsi" w:cs="Calibri"/>
          <w:lang w:val="mk-MK"/>
        </w:rPr>
        <w:t xml:space="preserve"> во согласност со Законот за електронски комуникации (“Службен весник на Република Македонија“, бр.</w:t>
      </w:r>
      <w:r w:rsidRPr="002968EC">
        <w:rPr>
          <w:rFonts w:asciiTheme="minorHAnsi" w:hAnsiTheme="minorHAnsi" w:cs="Calibri"/>
          <w:lang w:val="mk-MK"/>
        </w:rPr>
        <w:t xml:space="preserve"> 39/2014 </w:t>
      </w:r>
      <w:r w:rsidR="005E3B67" w:rsidRPr="002968EC">
        <w:rPr>
          <w:rFonts w:asciiTheme="minorHAnsi" w:hAnsiTheme="minorHAnsi" w:cs="Calibri"/>
          <w:lang w:val="mk-MK"/>
        </w:rPr>
        <w:t>)</w:t>
      </w:r>
      <w:r w:rsidRPr="002968EC">
        <w:rPr>
          <w:rFonts w:asciiTheme="minorHAnsi" w:hAnsiTheme="minorHAnsi" w:cs="Calibri"/>
          <w:lang w:val="mk-MK"/>
        </w:rPr>
        <w:t>,</w:t>
      </w:r>
      <w:r w:rsidR="005E3B67" w:rsidRPr="002968EC">
        <w:rPr>
          <w:rFonts w:asciiTheme="minorHAnsi" w:hAnsiTheme="minorHAnsi" w:cs="Calibri"/>
          <w:lang w:val="mk-MK"/>
        </w:rPr>
        <w:t xml:space="preserve"> </w:t>
      </w:r>
      <w:r w:rsidRPr="002968EC">
        <w:rPr>
          <w:rFonts w:asciiTheme="minorHAnsi" w:hAnsiTheme="minorHAnsi" w:cs="Calibri"/>
          <w:lang w:val="mk-MK"/>
        </w:rPr>
        <w:t xml:space="preserve">важечките </w:t>
      </w:r>
      <w:r w:rsidR="005E3B67" w:rsidRPr="002968EC">
        <w:rPr>
          <w:rFonts w:asciiTheme="minorHAnsi" w:hAnsiTheme="minorHAnsi" w:cs="Calibri"/>
          <w:lang w:val="mk-MK"/>
        </w:rPr>
        <w:t>подзаконски акти и Методологијата за анализа на релевантни пазари изготвена од страна на АЕК земајќи ги во предвид основните напатствија од Европската комисија</w:t>
      </w:r>
      <w:r w:rsidR="0093034B" w:rsidRPr="002968EC">
        <w:rPr>
          <w:rFonts w:asciiTheme="minorHAnsi" w:hAnsiTheme="minorHAnsi" w:cs="Calibri"/>
          <w:lang w:val="mk-MK"/>
        </w:rPr>
        <w:t xml:space="preserve"> (2002/C 165/03)</w:t>
      </w:r>
      <w:r w:rsidR="0093034B" w:rsidRPr="002968EC">
        <w:rPr>
          <w:rStyle w:val="FootnoteReference"/>
          <w:rFonts w:asciiTheme="minorHAnsi" w:hAnsiTheme="minorHAnsi" w:cs="Calibri"/>
          <w:lang w:val="mk-MK"/>
        </w:rPr>
        <w:footnoteReference w:id="1"/>
      </w:r>
      <w:r w:rsidR="005E3B67" w:rsidRPr="002968EC">
        <w:rPr>
          <w:rFonts w:asciiTheme="minorHAnsi" w:hAnsiTheme="minorHAnsi" w:cs="Calibri"/>
          <w:lang w:val="mk-MK"/>
        </w:rPr>
        <w:t xml:space="preserve"> за вршење на анализа на релевантни пазари и утврдување на значителна пазарна моќ согласно ЕК регулаторна рамка за електронс</w:t>
      </w:r>
      <w:r w:rsidR="009A0355" w:rsidRPr="002968EC">
        <w:rPr>
          <w:rFonts w:asciiTheme="minorHAnsi" w:hAnsiTheme="minorHAnsi" w:cs="Calibri"/>
          <w:lang w:val="mk-MK"/>
        </w:rPr>
        <w:t>ки комуникациски мрежи и услуги.</w:t>
      </w:r>
    </w:p>
    <w:p w:rsidR="009A0355" w:rsidRPr="002968EC" w:rsidRDefault="009A0355" w:rsidP="00781AEE">
      <w:pPr>
        <w:rPr>
          <w:rFonts w:asciiTheme="minorHAnsi" w:hAnsiTheme="minorHAnsi" w:cs="Calibri"/>
          <w:lang w:val="mk-MK"/>
        </w:rPr>
      </w:pPr>
    </w:p>
    <w:p w:rsidR="00C4119C" w:rsidRPr="002968EC" w:rsidRDefault="007D35B1" w:rsidP="002968EC">
      <w:pPr>
        <w:pStyle w:val="Heading1"/>
        <w:rPr>
          <w:rFonts w:asciiTheme="minorHAnsi" w:hAnsiTheme="minorHAnsi"/>
        </w:rPr>
      </w:pPr>
      <w:bookmarkStart w:id="2" w:name="_Toc461617731"/>
      <w:r w:rsidRPr="002968EC">
        <w:rPr>
          <w:rFonts w:asciiTheme="minorHAnsi" w:hAnsiTheme="minorHAnsi"/>
        </w:rPr>
        <w:t>3</w:t>
      </w:r>
      <w:r w:rsidR="003B6704" w:rsidRPr="002968EC">
        <w:rPr>
          <w:rFonts w:asciiTheme="minorHAnsi" w:hAnsiTheme="minorHAnsi"/>
        </w:rPr>
        <w:t>.</w:t>
      </w:r>
      <w:r w:rsidR="008554A7" w:rsidRPr="002968EC">
        <w:rPr>
          <w:rFonts w:asciiTheme="minorHAnsi" w:hAnsiTheme="minorHAnsi"/>
        </w:rPr>
        <w:t xml:space="preserve"> </w:t>
      </w:r>
      <w:r w:rsidRPr="002968EC">
        <w:rPr>
          <w:rFonts w:asciiTheme="minorHAnsi" w:hAnsiTheme="minorHAnsi"/>
        </w:rPr>
        <w:t xml:space="preserve">Цели за спроведување на анализа на пазар 1 – </w:t>
      </w:r>
      <w:r w:rsidR="00323D0F" w:rsidRPr="002968EC">
        <w:rPr>
          <w:rFonts w:asciiTheme="minorHAnsi" w:hAnsiTheme="minorHAnsi"/>
        </w:rPr>
        <w:t xml:space="preserve">Пристап до </w:t>
      </w:r>
      <w:r w:rsidR="008A38F9" w:rsidRPr="002968EC">
        <w:rPr>
          <w:rFonts w:asciiTheme="minorHAnsi" w:hAnsiTheme="minorHAnsi"/>
        </w:rPr>
        <w:t>јавна електронска комуникациска мрежа на фиксна локација</w:t>
      </w:r>
      <w:r w:rsidR="00FC6D4E" w:rsidRPr="002968EC">
        <w:rPr>
          <w:rFonts w:asciiTheme="minorHAnsi" w:hAnsiTheme="minorHAnsi"/>
        </w:rPr>
        <w:t xml:space="preserve"> </w:t>
      </w:r>
      <w:r w:rsidR="00323D0F" w:rsidRPr="002968EC">
        <w:rPr>
          <w:rFonts w:asciiTheme="minorHAnsi" w:hAnsiTheme="minorHAnsi"/>
        </w:rPr>
        <w:t>за резиденцијални и деловни корисници</w:t>
      </w:r>
      <w:bookmarkEnd w:id="2"/>
    </w:p>
    <w:p w:rsidR="00C4119C" w:rsidRPr="002968EC" w:rsidRDefault="00C4119C" w:rsidP="00781AEE">
      <w:pPr>
        <w:rPr>
          <w:rFonts w:asciiTheme="minorHAnsi" w:hAnsiTheme="minorHAnsi" w:cs="Calibri"/>
          <w:lang w:val="mk-MK"/>
        </w:rPr>
      </w:pPr>
      <w:r w:rsidRPr="002968EC">
        <w:rPr>
          <w:rFonts w:asciiTheme="minorHAnsi" w:hAnsiTheme="minorHAnsi" w:cs="Calibri"/>
          <w:lang w:val="mk-MK"/>
        </w:rPr>
        <w:t xml:space="preserve">Основната цел за спроведување на анализа на овој пазар е да се дефинира пазарот и услугите кои се обезбедуваат на истиот, да се определат операторите кои делуваат на овој пазар, да се определи дали пазарот </w:t>
      </w:r>
      <w:r w:rsidR="003B6704" w:rsidRPr="002968EC">
        <w:rPr>
          <w:rFonts w:asciiTheme="minorHAnsi" w:hAnsiTheme="minorHAnsi" w:cs="Calibri"/>
          <w:lang w:val="mk-MK"/>
        </w:rPr>
        <w:t xml:space="preserve">е </w:t>
      </w:r>
      <w:r w:rsidRPr="002968EC">
        <w:rPr>
          <w:rFonts w:asciiTheme="minorHAnsi" w:hAnsiTheme="minorHAnsi" w:cs="Calibri"/>
          <w:lang w:val="mk-MK"/>
        </w:rPr>
        <w:t>доволно конкурен</w:t>
      </w:r>
      <w:r w:rsidR="003B6704" w:rsidRPr="002968EC">
        <w:rPr>
          <w:rFonts w:asciiTheme="minorHAnsi" w:hAnsiTheme="minorHAnsi" w:cs="Calibri"/>
          <w:lang w:val="mk-MK"/>
        </w:rPr>
        <w:t>тен</w:t>
      </w:r>
      <w:r w:rsidRPr="002968EC">
        <w:rPr>
          <w:rFonts w:asciiTheme="minorHAnsi" w:hAnsiTheme="minorHAnsi" w:cs="Calibri"/>
          <w:lang w:val="mk-MK"/>
        </w:rPr>
        <w:t xml:space="preserve"> или се приближува кон состојба на ефективна </w:t>
      </w:r>
      <w:r w:rsidRPr="002968EC">
        <w:rPr>
          <w:rFonts w:asciiTheme="minorHAnsi" w:hAnsiTheme="minorHAnsi" w:cs="Calibri"/>
          <w:lang w:val="mk-MK"/>
        </w:rPr>
        <w:lastRenderedPageBreak/>
        <w:t xml:space="preserve">конкуренција, </w:t>
      </w:r>
      <w:r w:rsidR="003B6704" w:rsidRPr="002968EC">
        <w:rPr>
          <w:rFonts w:asciiTheme="minorHAnsi" w:hAnsiTheme="minorHAnsi" w:cs="Calibri"/>
          <w:lang w:val="mk-MK"/>
        </w:rPr>
        <w:t>дали</w:t>
      </w:r>
      <w:r w:rsidRPr="002968EC">
        <w:rPr>
          <w:rFonts w:asciiTheme="minorHAnsi" w:hAnsiTheme="minorHAnsi" w:cs="Calibri"/>
          <w:lang w:val="mk-MK"/>
        </w:rPr>
        <w:t xml:space="preserve"> постои оператор на јавна електронска комуникациска мрежа кој поседува економска моќ и капацитет да дејствува во забележителни размери независно од конкурентите и корисниците на тој пазар, односно да се определи дали на пазарот постои оператор со значителна пазарна моќ.</w:t>
      </w:r>
    </w:p>
    <w:p w:rsidR="00B55EFD" w:rsidRPr="002968EC" w:rsidRDefault="003B6704" w:rsidP="002968EC">
      <w:pPr>
        <w:pStyle w:val="Heading1"/>
        <w:rPr>
          <w:rFonts w:asciiTheme="minorHAnsi" w:hAnsiTheme="minorHAnsi"/>
        </w:rPr>
      </w:pPr>
      <w:bookmarkStart w:id="3" w:name="_Toc461617732"/>
      <w:r w:rsidRPr="002968EC">
        <w:rPr>
          <w:rFonts w:asciiTheme="minorHAnsi" w:hAnsiTheme="minorHAnsi"/>
        </w:rPr>
        <w:t>4</w:t>
      </w:r>
      <w:r w:rsidR="00B55EFD" w:rsidRPr="002968EC">
        <w:rPr>
          <w:rFonts w:asciiTheme="minorHAnsi" w:hAnsiTheme="minorHAnsi"/>
        </w:rPr>
        <w:t xml:space="preserve">. Постапка во анализата на пазар 1- Пристап до </w:t>
      </w:r>
      <w:r w:rsidR="008A38F9" w:rsidRPr="002968EC">
        <w:rPr>
          <w:rFonts w:asciiTheme="minorHAnsi" w:hAnsiTheme="minorHAnsi"/>
        </w:rPr>
        <w:t>јавна електронска комуникациска мрежа на фиксна локација</w:t>
      </w:r>
      <w:r w:rsidR="007967C2" w:rsidRPr="002968EC">
        <w:rPr>
          <w:rFonts w:asciiTheme="minorHAnsi" w:hAnsiTheme="minorHAnsi"/>
        </w:rPr>
        <w:t xml:space="preserve"> </w:t>
      </w:r>
      <w:r w:rsidR="00B55EFD" w:rsidRPr="002968EC">
        <w:rPr>
          <w:rFonts w:asciiTheme="minorHAnsi" w:hAnsiTheme="minorHAnsi"/>
        </w:rPr>
        <w:t>за резиденцијални и деловн</w:t>
      </w:r>
      <w:r w:rsidR="00C1631F" w:rsidRPr="002968EC">
        <w:rPr>
          <w:rFonts w:asciiTheme="minorHAnsi" w:hAnsiTheme="minorHAnsi"/>
        </w:rPr>
        <w:t>и</w:t>
      </w:r>
      <w:r w:rsidR="00B55EFD" w:rsidRPr="002968EC">
        <w:rPr>
          <w:rFonts w:asciiTheme="minorHAnsi" w:hAnsiTheme="minorHAnsi"/>
        </w:rPr>
        <w:t xml:space="preserve"> корисници</w:t>
      </w:r>
      <w:bookmarkEnd w:id="3"/>
    </w:p>
    <w:p w:rsidR="00280E1F" w:rsidRPr="002968EC" w:rsidRDefault="00280E1F" w:rsidP="00280E1F">
      <w:pPr>
        <w:rPr>
          <w:rFonts w:asciiTheme="minorHAnsi" w:hAnsiTheme="minorHAnsi"/>
          <w:lang w:val="mk-MK"/>
        </w:rPr>
      </w:pPr>
    </w:p>
    <w:p w:rsidR="00B55EFD" w:rsidRPr="002968EC" w:rsidRDefault="00B55EFD" w:rsidP="00781AEE">
      <w:pPr>
        <w:rPr>
          <w:rFonts w:asciiTheme="minorHAnsi" w:hAnsiTheme="minorHAnsi" w:cs="Calibri"/>
          <w:lang w:val="mk-MK"/>
        </w:rPr>
      </w:pPr>
      <w:r w:rsidRPr="002968EC">
        <w:rPr>
          <w:rFonts w:asciiTheme="minorHAnsi" w:hAnsiTheme="minorHAnsi" w:cs="Calibri"/>
          <w:lang w:val="mk-MK"/>
        </w:rPr>
        <w:t>Постапката на определување на оператори со значителна пазарна моќ во областа на електронските комуникации се состои од четири основни чекори:</w:t>
      </w:r>
    </w:p>
    <w:p w:rsidR="00032CF5" w:rsidRDefault="00B8478B">
      <w:pPr>
        <w:pStyle w:val="ListParagraph"/>
        <w:numPr>
          <w:ilvl w:val="0"/>
          <w:numId w:val="5"/>
        </w:numPr>
        <w:rPr>
          <w:rFonts w:asciiTheme="minorHAnsi" w:hAnsiTheme="minorHAnsi" w:cs="Calibri"/>
          <w:lang w:val="mk-MK"/>
        </w:rPr>
      </w:pPr>
      <w:r w:rsidRPr="002968EC">
        <w:rPr>
          <w:rFonts w:asciiTheme="minorHAnsi" w:hAnsiTheme="minorHAnsi" w:cs="Calibri"/>
          <w:lang w:val="mk-MK"/>
        </w:rPr>
        <w:t xml:space="preserve">Дефинирање на релевантниот пазар - АЕК врши проценка на релевантните производи и услуги кои се обезбедуваат на релевантниот пазар за </w:t>
      </w:r>
      <w:r w:rsidR="00D94D9A" w:rsidRPr="002968EC">
        <w:rPr>
          <w:rFonts w:asciiTheme="minorHAnsi" w:hAnsiTheme="minorHAnsi" w:cs="Calibri"/>
          <w:lang w:val="mk-MK"/>
        </w:rPr>
        <w:t xml:space="preserve">пристап до </w:t>
      </w:r>
      <w:r w:rsidR="008A38F9" w:rsidRPr="002968EC">
        <w:rPr>
          <w:rFonts w:asciiTheme="minorHAnsi" w:hAnsiTheme="minorHAnsi" w:cs="Calibri"/>
          <w:lang w:val="mk-MK"/>
        </w:rPr>
        <w:t>јавна електронска комуникациска мрежа на фиксна локација</w:t>
      </w:r>
      <w:r w:rsidR="009133B6" w:rsidRPr="002968EC">
        <w:rPr>
          <w:rFonts w:asciiTheme="minorHAnsi" w:hAnsiTheme="minorHAnsi" w:cs="Calibri"/>
          <w:lang w:val="mk-MK"/>
        </w:rPr>
        <w:t>. Врз основа на член 80 од ЗЕК, во процесот на дефинирање на релевантниот пазар, неопходен чекор е и спроведување на три критериум тест со кој се одлучува дали определениот релевантен пазар е подложен на претходна (</w:t>
      </w:r>
      <w:r w:rsidR="0004728D">
        <w:rPr>
          <w:rFonts w:asciiTheme="minorHAnsi" w:hAnsiTheme="minorHAnsi" w:cs="Calibri"/>
        </w:rPr>
        <w:t>ex-</w:t>
      </w:r>
      <w:r w:rsidR="009133B6" w:rsidRPr="002968EC">
        <w:rPr>
          <w:rFonts w:asciiTheme="minorHAnsi" w:hAnsiTheme="minorHAnsi" w:cs="Calibri"/>
        </w:rPr>
        <w:t>ante)</w:t>
      </w:r>
      <w:r w:rsidR="009133B6" w:rsidRPr="002968EC">
        <w:rPr>
          <w:rFonts w:asciiTheme="minorHAnsi" w:hAnsiTheme="minorHAnsi" w:cs="Calibri"/>
          <w:lang w:val="mk-MK"/>
        </w:rPr>
        <w:t xml:space="preserve"> регулација.</w:t>
      </w:r>
    </w:p>
    <w:p w:rsidR="00D01AF4" w:rsidRPr="002968EC" w:rsidRDefault="00D01AF4">
      <w:pPr>
        <w:pStyle w:val="ListParagraph"/>
        <w:rPr>
          <w:rFonts w:asciiTheme="minorHAnsi" w:hAnsiTheme="minorHAnsi" w:cs="Calibri"/>
          <w:lang w:val="mk-MK"/>
        </w:rPr>
      </w:pPr>
    </w:p>
    <w:p w:rsidR="00032CF5" w:rsidRDefault="00B8478B">
      <w:pPr>
        <w:pStyle w:val="ListParagraph"/>
        <w:numPr>
          <w:ilvl w:val="0"/>
          <w:numId w:val="5"/>
        </w:numPr>
        <w:rPr>
          <w:rFonts w:asciiTheme="minorHAnsi" w:hAnsiTheme="minorHAnsi" w:cs="Calibri"/>
          <w:lang w:val="mk-MK"/>
        </w:rPr>
      </w:pPr>
      <w:r w:rsidRPr="002968EC">
        <w:rPr>
          <w:rFonts w:asciiTheme="minorHAnsi" w:hAnsiTheme="minorHAnsi" w:cs="Calibri"/>
          <w:lang w:val="mk-MK"/>
        </w:rPr>
        <w:t>Анализа на релевантниот пазар – АЕК ја спроведува анализата на релевантниот пазар во соработка со Комисијата за заштита на конкуренцијата. Во рамките</w:t>
      </w:r>
      <w:r w:rsidR="00741F53">
        <w:rPr>
          <w:rFonts w:asciiTheme="minorHAnsi" w:hAnsiTheme="minorHAnsi" w:cs="Calibri"/>
          <w:lang w:val="mk-MK"/>
        </w:rPr>
        <w:t xml:space="preserve"> на</w:t>
      </w:r>
      <w:r w:rsidRPr="002968EC">
        <w:rPr>
          <w:rFonts w:asciiTheme="minorHAnsi" w:hAnsiTheme="minorHAnsi" w:cs="Calibri"/>
          <w:lang w:val="mk-MK"/>
        </w:rPr>
        <w:t xml:space="preserve"> оваа фаза се утврдува дали на пазарот има доволно конкуренција или тој се приближува кон состојба на ефективна конкуренција, или пак постои оператор на јавна електронска комуникациска мрежа кој поседува економска моќ и капацитет да дејствува во забележителни размери независно од конкурентите и корисниците на тој пазар. </w:t>
      </w:r>
    </w:p>
    <w:p w:rsidR="00D01AF4" w:rsidRPr="002968EC" w:rsidRDefault="00D01AF4">
      <w:pPr>
        <w:pStyle w:val="ListParagraph"/>
        <w:rPr>
          <w:rFonts w:asciiTheme="minorHAnsi" w:hAnsiTheme="minorHAnsi" w:cs="Calibri"/>
          <w:lang w:val="mk-MK"/>
        </w:rPr>
      </w:pPr>
    </w:p>
    <w:p w:rsidR="00032CF5" w:rsidRDefault="00B8478B">
      <w:pPr>
        <w:pStyle w:val="ListParagraph"/>
        <w:numPr>
          <w:ilvl w:val="0"/>
          <w:numId w:val="5"/>
        </w:numPr>
        <w:rPr>
          <w:rFonts w:asciiTheme="minorHAnsi" w:hAnsiTheme="minorHAnsi" w:cs="Calibri"/>
          <w:lang w:val="mk-MK"/>
        </w:rPr>
      </w:pPr>
      <w:r w:rsidRPr="002968EC">
        <w:rPr>
          <w:rFonts w:asciiTheme="minorHAnsi" w:hAnsiTheme="minorHAnsi" w:cs="Calibri"/>
          <w:lang w:val="mk-MK"/>
        </w:rPr>
        <w:t>Определување на оператор со значителна пазарна моќ - согласно член</w:t>
      </w:r>
      <w:r w:rsidR="00CA7C23">
        <w:rPr>
          <w:rFonts w:asciiTheme="minorHAnsi" w:hAnsiTheme="minorHAnsi" w:cs="Calibri"/>
          <w:lang w:val="mk-MK"/>
        </w:rPr>
        <w:t>от</w:t>
      </w:r>
      <w:r w:rsidRPr="002968EC">
        <w:rPr>
          <w:rFonts w:asciiTheme="minorHAnsi" w:hAnsiTheme="minorHAnsi" w:cs="Calibri"/>
          <w:lang w:val="mk-MK"/>
        </w:rPr>
        <w:t xml:space="preserve"> 82 став</w:t>
      </w:r>
      <w:r w:rsidR="00CA7C23">
        <w:rPr>
          <w:rFonts w:asciiTheme="minorHAnsi" w:hAnsiTheme="minorHAnsi" w:cs="Calibri"/>
          <w:lang w:val="mk-MK"/>
        </w:rPr>
        <w:t>от</w:t>
      </w:r>
      <w:r w:rsidRPr="002968EC">
        <w:rPr>
          <w:rFonts w:asciiTheme="minorHAnsi" w:hAnsiTheme="minorHAnsi" w:cs="Calibri"/>
          <w:lang w:val="mk-MK"/>
        </w:rPr>
        <w:t xml:space="preserve"> (1) од ЗЕК доколку АЕК врз основа на анализа на релевантен пазар утврди дека на тој пазар нема доволно ефективна конкуренција има обврска да одлучи кој или кои оператори имаат значителна пазарна моќ на тој пазар во согласност со членот 76 ставови</w:t>
      </w:r>
      <w:r w:rsidR="00CA7C23">
        <w:rPr>
          <w:rFonts w:asciiTheme="minorHAnsi" w:hAnsiTheme="minorHAnsi" w:cs="Calibri"/>
          <w:lang w:val="mk-MK"/>
        </w:rPr>
        <w:t>те</w:t>
      </w:r>
      <w:r w:rsidRPr="002968EC">
        <w:rPr>
          <w:rFonts w:asciiTheme="minorHAnsi" w:hAnsiTheme="minorHAnsi" w:cs="Calibri"/>
          <w:lang w:val="mk-MK"/>
        </w:rPr>
        <w:t xml:space="preserve"> (1) и (2) од ЗЕК</w:t>
      </w:r>
      <w:r w:rsidR="004625A9">
        <w:rPr>
          <w:rFonts w:asciiTheme="minorHAnsi" w:hAnsiTheme="minorHAnsi" w:cs="Calibri"/>
          <w:lang w:val="mk-MK"/>
        </w:rPr>
        <w:t>.</w:t>
      </w:r>
    </w:p>
    <w:p w:rsidR="00FC6D4E" w:rsidRPr="002968EC" w:rsidRDefault="00FC6D4E" w:rsidP="00FC6D4E">
      <w:pPr>
        <w:pStyle w:val="ListParagraph"/>
        <w:ind w:left="360"/>
        <w:rPr>
          <w:rFonts w:asciiTheme="minorHAnsi" w:hAnsiTheme="minorHAnsi" w:cs="Calibri"/>
          <w:lang w:val="mk-MK"/>
        </w:rPr>
      </w:pPr>
    </w:p>
    <w:p w:rsidR="00032CF5" w:rsidRDefault="00B8478B">
      <w:pPr>
        <w:pStyle w:val="ListParagraph"/>
        <w:numPr>
          <w:ilvl w:val="0"/>
          <w:numId w:val="5"/>
        </w:numPr>
        <w:rPr>
          <w:rFonts w:asciiTheme="minorHAnsi" w:hAnsiTheme="minorHAnsi" w:cs="Calibri"/>
          <w:lang w:val="mk-MK"/>
        </w:rPr>
      </w:pPr>
      <w:r w:rsidRPr="002968EC">
        <w:rPr>
          <w:rFonts w:asciiTheme="minorHAnsi" w:hAnsiTheme="minorHAnsi" w:cs="Calibri"/>
          <w:lang w:val="mk-MK"/>
        </w:rPr>
        <w:t xml:space="preserve">Определување на обврски на оператор со значителна пазарна моќ на </w:t>
      </w:r>
      <w:r w:rsidR="00032CF5">
        <w:rPr>
          <w:rFonts w:asciiTheme="minorHAnsi" w:hAnsiTheme="minorHAnsi" w:cs="Calibri"/>
          <w:lang w:val="mk-MK"/>
        </w:rPr>
        <w:t>мало</w:t>
      </w:r>
      <w:r w:rsidRPr="002968EC">
        <w:rPr>
          <w:rFonts w:asciiTheme="minorHAnsi" w:hAnsiTheme="minorHAnsi" w:cs="Calibri"/>
          <w:lang w:val="mk-MK"/>
        </w:rPr>
        <w:t xml:space="preserve">продажниот пазар за </w:t>
      </w:r>
      <w:r w:rsidR="00D94D9A" w:rsidRPr="002968EC">
        <w:rPr>
          <w:rFonts w:asciiTheme="minorHAnsi" w:hAnsiTheme="minorHAnsi" w:cs="Calibri"/>
          <w:lang w:val="mk-MK"/>
        </w:rPr>
        <w:t xml:space="preserve">пристап до </w:t>
      </w:r>
      <w:r w:rsidR="008A38F9" w:rsidRPr="002968EC">
        <w:rPr>
          <w:rFonts w:asciiTheme="minorHAnsi" w:hAnsiTheme="minorHAnsi" w:cs="Calibri"/>
          <w:lang w:val="mk-MK"/>
        </w:rPr>
        <w:t>јавна електронска комуникациска мрежа на фиксна локација</w:t>
      </w:r>
      <w:r w:rsidR="00BF3B01" w:rsidRPr="002968EC">
        <w:rPr>
          <w:rFonts w:asciiTheme="minorHAnsi" w:hAnsiTheme="minorHAnsi" w:cs="Calibri"/>
          <w:lang w:val="mk-MK"/>
        </w:rPr>
        <w:t xml:space="preserve"> </w:t>
      </w:r>
      <w:r w:rsidRPr="002968EC">
        <w:rPr>
          <w:rFonts w:asciiTheme="minorHAnsi" w:hAnsiTheme="minorHAnsi" w:cs="Calibri"/>
          <w:lang w:val="mk-MK"/>
        </w:rPr>
        <w:t>во насока на обезбедување на фер и целосна конкуренција на пазарот. На операторот кој е определен како оператор со значителна пазарна моќ согласно член</w:t>
      </w:r>
      <w:r w:rsidR="00CA7C23">
        <w:rPr>
          <w:rFonts w:asciiTheme="minorHAnsi" w:hAnsiTheme="minorHAnsi" w:cs="Calibri"/>
          <w:lang w:val="mk-MK"/>
        </w:rPr>
        <w:t>от</w:t>
      </w:r>
      <w:r w:rsidRPr="002968EC">
        <w:rPr>
          <w:rFonts w:asciiTheme="minorHAnsi" w:hAnsiTheme="minorHAnsi" w:cs="Calibri"/>
          <w:lang w:val="mk-MK"/>
        </w:rPr>
        <w:t xml:space="preserve"> 82 став (1), АЕК може да му наметне, продолжи или измени некои од постоечките обврски согласно ЗЕК, кои треба да бидат базирани на природата на идентификуваниот проблем и да бидат пропорционални и оправдани, а во насока на исполнување на регулаторните цели и начела од член 7 од ЗЕК.</w:t>
      </w:r>
    </w:p>
    <w:p w:rsidR="00B55EFD" w:rsidRPr="002968EC" w:rsidRDefault="007D35B1" w:rsidP="009133B6">
      <w:pPr>
        <w:rPr>
          <w:rFonts w:asciiTheme="minorHAnsi" w:hAnsiTheme="minorHAnsi" w:cs="Calibri"/>
          <w:lang w:val="mk-MK"/>
        </w:rPr>
      </w:pPr>
      <w:r w:rsidRPr="002968EC">
        <w:rPr>
          <w:rFonts w:asciiTheme="minorHAnsi" w:hAnsiTheme="minorHAnsi" w:cs="Calibri"/>
          <w:lang w:val="mk-MK"/>
        </w:rPr>
        <w:t xml:space="preserve">Согласно член </w:t>
      </w:r>
      <w:r w:rsidR="009133B6" w:rsidRPr="002968EC">
        <w:rPr>
          <w:rFonts w:asciiTheme="minorHAnsi" w:hAnsiTheme="minorHAnsi" w:cs="Calibri"/>
          <w:lang w:val="mk-MK"/>
        </w:rPr>
        <w:t>79</w:t>
      </w:r>
      <w:r w:rsidRPr="002968EC">
        <w:rPr>
          <w:rFonts w:asciiTheme="minorHAnsi" w:hAnsiTheme="minorHAnsi" w:cs="Calibri"/>
          <w:lang w:val="mk-MK"/>
        </w:rPr>
        <w:t xml:space="preserve"> од ЗЕК</w:t>
      </w:r>
      <w:r w:rsidR="009133B6" w:rsidRPr="002968EC">
        <w:rPr>
          <w:rFonts w:asciiTheme="minorHAnsi" w:hAnsiTheme="minorHAnsi" w:cs="Calibri"/>
          <w:lang w:val="mk-MK"/>
        </w:rPr>
        <w:t xml:space="preserve"> </w:t>
      </w:r>
      <w:r w:rsidRPr="002968EC">
        <w:rPr>
          <w:rFonts w:asciiTheme="minorHAnsi" w:hAnsiTheme="minorHAnsi" w:cs="Calibri"/>
          <w:lang w:val="mk-MK"/>
        </w:rPr>
        <w:t xml:space="preserve"> </w:t>
      </w:r>
      <w:r w:rsidR="00C8446C" w:rsidRPr="002968EC">
        <w:rPr>
          <w:rFonts w:asciiTheme="minorHAnsi" w:hAnsiTheme="minorHAnsi" w:cs="Calibri"/>
        </w:rPr>
        <w:t>“</w:t>
      </w:r>
      <w:r w:rsidR="007967C2" w:rsidRPr="002968EC">
        <w:rPr>
          <w:rFonts w:asciiTheme="minorHAnsi" w:hAnsiTheme="minorHAnsi" w:cs="Calibri"/>
          <w:lang w:val="mk-MK"/>
        </w:rPr>
        <w:t>АЕК</w:t>
      </w:r>
      <w:r w:rsidR="009133B6" w:rsidRPr="002968EC">
        <w:rPr>
          <w:rFonts w:asciiTheme="minorHAnsi" w:hAnsiTheme="minorHAnsi" w:cs="Calibri"/>
          <w:lang w:val="mk-MK"/>
        </w:rPr>
        <w:t xml:space="preserve"> спроведува анализа на релевентнати пазари имајќи ги предвид препораките на Европската комисија за утврдување на релевантни пазари на производи и </w:t>
      </w:r>
      <w:r w:rsidR="009133B6" w:rsidRPr="002968EC">
        <w:rPr>
          <w:rFonts w:asciiTheme="minorHAnsi" w:hAnsiTheme="minorHAnsi" w:cs="Calibri"/>
          <w:lang w:val="mk-MK"/>
        </w:rPr>
        <w:lastRenderedPageBreak/>
        <w:t>услуги и каде што е соодветно во соработка со органот надлежен за заштита на конкуренцијата</w:t>
      </w:r>
      <w:r w:rsidR="00C8446C" w:rsidRPr="002968EC">
        <w:rPr>
          <w:rFonts w:asciiTheme="minorHAnsi" w:hAnsiTheme="minorHAnsi" w:cs="Calibri"/>
        </w:rPr>
        <w:t>”</w:t>
      </w:r>
      <w:r w:rsidR="00C8446C" w:rsidRPr="002968EC">
        <w:rPr>
          <w:rFonts w:asciiTheme="minorHAnsi" w:hAnsiTheme="minorHAnsi" w:cs="Calibri"/>
          <w:lang w:val="mk-MK"/>
        </w:rPr>
        <w:t>.</w:t>
      </w:r>
    </w:p>
    <w:p w:rsidR="00787BA8" w:rsidRDefault="00AE07B1" w:rsidP="008F4698">
      <w:pPr>
        <w:rPr>
          <w:b/>
        </w:rPr>
      </w:pPr>
      <w:r w:rsidRPr="00AE07B1">
        <w:rPr>
          <w:lang w:val="mk-MK"/>
        </w:rPr>
        <w:t xml:space="preserve">Анализата на релевантниот пазар 1 е со современ (forward looking) пристап. Согласно член 81 од ЗЕК – преиспитување на утврден релевантен пазар на производи и услуги </w:t>
      </w:r>
      <w:r w:rsidRPr="00AE07B1">
        <w:t>“</w:t>
      </w:r>
      <w:r w:rsidRPr="00AE07B1">
        <w:rPr>
          <w:lang w:val="mk-MK"/>
        </w:rPr>
        <w:t>АЕК во определени временски периоди кои не можат да бидат подолги од три</w:t>
      </w:r>
      <w:r w:rsidRPr="00AE07B1">
        <w:t xml:space="preserve"> </w:t>
      </w:r>
      <w:r w:rsidRPr="00AE07B1">
        <w:rPr>
          <w:lang w:val="mk-MK"/>
        </w:rPr>
        <w:t>години во соработка со органот надлежен за заштита на конкуренцијата, е должна да го</w:t>
      </w:r>
      <w:r w:rsidRPr="00AE07B1">
        <w:t xml:space="preserve"> </w:t>
      </w:r>
      <w:r w:rsidRPr="00AE07B1">
        <w:rPr>
          <w:lang w:val="mk-MK"/>
        </w:rPr>
        <w:t>преиспита утврдениот релевантен пазар на производи и услуги</w:t>
      </w:r>
      <w:r w:rsidRPr="00AE07B1">
        <w:t>”</w:t>
      </w:r>
      <w:bookmarkStart w:id="4" w:name="_GoBack"/>
      <w:bookmarkEnd w:id="4"/>
      <w:r w:rsidRPr="00AE07B1">
        <w:rPr>
          <w:lang w:val="mk-MK"/>
        </w:rPr>
        <w:t>.</w:t>
      </w:r>
      <w:r w:rsidRPr="00AE07B1">
        <w:t xml:space="preserve"> </w:t>
      </w:r>
    </w:p>
    <w:p w:rsidR="00032CF5" w:rsidRDefault="00032CF5"/>
    <w:p w:rsidR="00B55EFD" w:rsidRPr="002968EC" w:rsidRDefault="00B55EFD" w:rsidP="00D32C1E">
      <w:pPr>
        <w:pStyle w:val="Heading1"/>
        <w:numPr>
          <w:ilvl w:val="0"/>
          <w:numId w:val="5"/>
        </w:numPr>
        <w:rPr>
          <w:rFonts w:asciiTheme="minorHAnsi" w:hAnsiTheme="minorHAnsi"/>
        </w:rPr>
      </w:pPr>
      <w:bookmarkStart w:id="5" w:name="_Toc461617733"/>
      <w:r w:rsidRPr="002968EC">
        <w:rPr>
          <w:rFonts w:asciiTheme="minorHAnsi" w:hAnsiTheme="minorHAnsi"/>
        </w:rPr>
        <w:t xml:space="preserve">Нотифицирани оператори на јавна </w:t>
      </w:r>
      <w:r w:rsidR="00910535" w:rsidRPr="002968EC">
        <w:rPr>
          <w:rFonts w:asciiTheme="minorHAnsi" w:hAnsiTheme="minorHAnsi"/>
        </w:rPr>
        <w:t>електронска комуникациска</w:t>
      </w:r>
      <w:r w:rsidRPr="002968EC">
        <w:rPr>
          <w:rFonts w:asciiTheme="minorHAnsi" w:hAnsiTheme="minorHAnsi"/>
        </w:rPr>
        <w:t xml:space="preserve"> мрежа</w:t>
      </w:r>
      <w:bookmarkEnd w:id="5"/>
      <w:r w:rsidRPr="002968EC">
        <w:rPr>
          <w:rFonts w:asciiTheme="minorHAnsi" w:hAnsiTheme="minorHAnsi"/>
        </w:rPr>
        <w:t xml:space="preserve"> </w:t>
      </w:r>
    </w:p>
    <w:p w:rsidR="00131B3A" w:rsidRPr="002968EC" w:rsidRDefault="00131B3A" w:rsidP="00131B3A">
      <w:pPr>
        <w:rPr>
          <w:rFonts w:asciiTheme="minorHAnsi" w:hAnsiTheme="minorHAnsi"/>
          <w:lang w:val="mk-MK"/>
        </w:rPr>
      </w:pPr>
    </w:p>
    <w:p w:rsidR="00131B3A" w:rsidRPr="002968EC" w:rsidRDefault="004F5AFD" w:rsidP="00131B3A">
      <w:pPr>
        <w:rPr>
          <w:rFonts w:asciiTheme="minorHAnsi" w:hAnsiTheme="minorHAnsi"/>
          <w:lang w:val="mk-MK"/>
        </w:rPr>
      </w:pPr>
      <w:r w:rsidRPr="002968EC">
        <w:rPr>
          <w:rFonts w:asciiTheme="minorHAnsi" w:hAnsiTheme="minorHAnsi" w:cs="Calibri"/>
          <w:lang w:val="mk-MK"/>
        </w:rPr>
        <w:t xml:space="preserve">Според </w:t>
      </w:r>
      <w:r w:rsidR="002E01CC" w:rsidRPr="002968EC">
        <w:rPr>
          <w:rFonts w:asciiTheme="minorHAnsi" w:hAnsiTheme="minorHAnsi" w:cs="Calibri"/>
          <w:lang w:val="mk-MK"/>
        </w:rPr>
        <w:t xml:space="preserve"> службената евиденција на </w:t>
      </w:r>
      <w:r w:rsidR="007967C2" w:rsidRPr="002968EC">
        <w:rPr>
          <w:rFonts w:asciiTheme="minorHAnsi" w:hAnsiTheme="minorHAnsi" w:cs="Calibri"/>
          <w:lang w:val="mk-MK"/>
        </w:rPr>
        <w:t>АЕК</w:t>
      </w:r>
      <w:r w:rsidR="00131B3A" w:rsidRPr="002968EC">
        <w:rPr>
          <w:rFonts w:asciiTheme="minorHAnsi" w:hAnsiTheme="minorHAnsi" w:cs="Calibri"/>
          <w:lang w:val="mk-MK"/>
        </w:rPr>
        <w:t>, н</w:t>
      </w:r>
      <w:r w:rsidR="00131B3A" w:rsidRPr="002968EC">
        <w:rPr>
          <w:rFonts w:asciiTheme="minorHAnsi" w:hAnsiTheme="minorHAnsi"/>
          <w:lang w:val="mk-MK"/>
        </w:rPr>
        <w:t>отифицирани субјекти на кои им се доделени серии претплатнички броеви за Јавно достапни телефонски услуги на фиксна локација</w:t>
      </w:r>
      <w:r w:rsidR="00787BA8">
        <w:rPr>
          <w:rFonts w:asciiTheme="minorHAnsi" w:hAnsiTheme="minorHAnsi"/>
        </w:rPr>
        <w:t xml:space="preserve"> </w:t>
      </w:r>
      <w:r w:rsidR="00787BA8">
        <w:rPr>
          <w:rFonts w:asciiTheme="minorHAnsi" w:hAnsiTheme="minorHAnsi"/>
          <w:lang w:val="mk-MK"/>
        </w:rPr>
        <w:t>се</w:t>
      </w:r>
      <w:r w:rsidR="00131B3A" w:rsidRPr="002968EC">
        <w:rPr>
          <w:rFonts w:asciiTheme="minorHAnsi" w:hAnsiTheme="minorHAnsi"/>
          <w:lang w:val="mk-MK"/>
        </w:rPr>
        <w:t>:</w:t>
      </w:r>
    </w:p>
    <w:p w:rsidR="00032CF5" w:rsidRDefault="00131B3A">
      <w:pPr>
        <w:pStyle w:val="ListParagraph"/>
        <w:numPr>
          <w:ilvl w:val="0"/>
          <w:numId w:val="10"/>
        </w:numPr>
        <w:rPr>
          <w:rFonts w:asciiTheme="minorHAnsi" w:hAnsiTheme="minorHAnsi"/>
          <w:lang w:val="mk-MK"/>
        </w:rPr>
      </w:pPr>
      <w:r w:rsidRPr="002968EC">
        <w:rPr>
          <w:rFonts w:asciiTheme="minorHAnsi" w:hAnsiTheme="minorHAnsi"/>
          <w:lang w:val="mk-MK"/>
        </w:rPr>
        <w:t xml:space="preserve">Македонски </w:t>
      </w:r>
      <w:r w:rsidR="005F2E77" w:rsidRPr="002968EC">
        <w:rPr>
          <w:rFonts w:asciiTheme="minorHAnsi" w:hAnsiTheme="minorHAnsi"/>
        </w:rPr>
        <w:t>T</w:t>
      </w:r>
      <w:r w:rsidRPr="002968EC">
        <w:rPr>
          <w:rFonts w:asciiTheme="minorHAnsi" w:hAnsiTheme="minorHAnsi"/>
          <w:lang w:val="mk-MK"/>
        </w:rPr>
        <w:t>елеком Скопје</w:t>
      </w:r>
      <w:r w:rsidRPr="002968EC">
        <w:rPr>
          <w:rFonts w:asciiTheme="minorHAnsi" w:hAnsiTheme="minorHAnsi"/>
        </w:rPr>
        <w:t xml:space="preserve">, ул.„Кеј 13-ти Ноември“ бр.6 </w:t>
      </w:r>
      <w:r w:rsidRPr="002968EC">
        <w:rPr>
          <w:rFonts w:asciiTheme="minorHAnsi" w:hAnsiTheme="minorHAnsi"/>
          <w:lang w:val="mk-MK"/>
        </w:rPr>
        <w:t xml:space="preserve">Скопје, </w:t>
      </w:r>
    </w:p>
    <w:p w:rsidR="00032CF5" w:rsidRDefault="001D7760">
      <w:pPr>
        <w:pStyle w:val="ListParagraph"/>
        <w:numPr>
          <w:ilvl w:val="0"/>
          <w:numId w:val="10"/>
        </w:numPr>
        <w:rPr>
          <w:rFonts w:asciiTheme="minorHAnsi" w:hAnsiTheme="minorHAnsi"/>
          <w:lang w:val="mk-MK"/>
        </w:rPr>
      </w:pPr>
      <w:r w:rsidRPr="002968EC">
        <w:rPr>
          <w:rFonts w:asciiTheme="minorHAnsi" w:hAnsiTheme="minorHAnsi"/>
        </w:rPr>
        <w:t>O</w:t>
      </w:r>
      <w:r w:rsidRPr="002968EC">
        <w:rPr>
          <w:rFonts w:asciiTheme="minorHAnsi" w:hAnsiTheme="minorHAnsi"/>
          <w:lang w:val="mk-MK"/>
        </w:rPr>
        <w:t>не.ВИП</w:t>
      </w:r>
      <w:r w:rsidR="00787BA8">
        <w:rPr>
          <w:rFonts w:asciiTheme="minorHAnsi" w:hAnsiTheme="minorHAnsi"/>
          <w:lang w:val="mk-MK"/>
        </w:rPr>
        <w:t xml:space="preserve"> </w:t>
      </w:r>
      <w:r w:rsidR="00131B3A" w:rsidRPr="002968EC">
        <w:rPr>
          <w:rFonts w:asciiTheme="minorHAnsi" w:hAnsiTheme="minorHAnsi"/>
          <w:lang w:val="mk-MK"/>
        </w:rPr>
        <w:t>Скопје</w:t>
      </w:r>
      <w:r w:rsidR="00131B3A" w:rsidRPr="002968EC">
        <w:rPr>
          <w:rFonts w:asciiTheme="minorHAnsi" w:hAnsiTheme="minorHAnsi"/>
        </w:rPr>
        <w:t xml:space="preserve">, </w:t>
      </w:r>
      <w:r w:rsidR="00131B3A" w:rsidRPr="002968EC">
        <w:rPr>
          <w:rFonts w:asciiTheme="minorHAnsi" w:hAnsiTheme="minorHAnsi"/>
          <w:lang w:val="mk-MK"/>
        </w:rPr>
        <w:t xml:space="preserve"> ул.„</w:t>
      </w:r>
      <w:r w:rsidRPr="002968EC">
        <w:rPr>
          <w:rFonts w:asciiTheme="minorHAnsi" w:hAnsiTheme="minorHAnsi"/>
          <w:lang w:val="mk-MK"/>
        </w:rPr>
        <w:t>Филип Втори Македонски</w:t>
      </w:r>
      <w:r w:rsidR="00131B3A" w:rsidRPr="002968EC">
        <w:rPr>
          <w:rFonts w:asciiTheme="minorHAnsi" w:hAnsiTheme="minorHAnsi"/>
          <w:lang w:val="mk-MK"/>
        </w:rPr>
        <w:t xml:space="preserve">“ бр. </w:t>
      </w:r>
      <w:r w:rsidRPr="002968EC">
        <w:rPr>
          <w:rFonts w:asciiTheme="minorHAnsi" w:hAnsiTheme="minorHAnsi"/>
          <w:lang w:val="mk-MK"/>
        </w:rPr>
        <w:t>3,ДЦ Соравиа,8 кат</w:t>
      </w:r>
      <w:r w:rsidR="00131B3A" w:rsidRPr="002968EC">
        <w:rPr>
          <w:rFonts w:asciiTheme="minorHAnsi" w:hAnsiTheme="minorHAnsi"/>
          <w:lang w:val="mk-MK"/>
        </w:rPr>
        <w:t xml:space="preserve"> Скопје, </w:t>
      </w:r>
    </w:p>
    <w:p w:rsidR="00032CF5" w:rsidRDefault="00131B3A">
      <w:pPr>
        <w:pStyle w:val="ListParagraph"/>
        <w:numPr>
          <w:ilvl w:val="0"/>
          <w:numId w:val="10"/>
        </w:numPr>
        <w:rPr>
          <w:rFonts w:asciiTheme="minorHAnsi" w:hAnsiTheme="minorHAnsi"/>
          <w:lang w:val="mk-MK"/>
        </w:rPr>
      </w:pPr>
      <w:r w:rsidRPr="002968EC">
        <w:rPr>
          <w:rFonts w:asciiTheme="minorHAnsi" w:hAnsiTheme="minorHAnsi"/>
          <w:lang w:val="mk-MK"/>
        </w:rPr>
        <w:t>БЛИЗУ Скопје</w:t>
      </w:r>
      <w:r w:rsidRPr="002968EC">
        <w:rPr>
          <w:rFonts w:asciiTheme="minorHAnsi" w:hAnsiTheme="minorHAnsi"/>
        </w:rPr>
        <w:t xml:space="preserve">, ул.3-та Македонска Бригада бр.ББ, </w:t>
      </w:r>
    </w:p>
    <w:p w:rsidR="00032CF5" w:rsidRDefault="00131B3A">
      <w:pPr>
        <w:pStyle w:val="ListParagraph"/>
        <w:numPr>
          <w:ilvl w:val="0"/>
          <w:numId w:val="10"/>
        </w:numPr>
        <w:rPr>
          <w:rFonts w:asciiTheme="minorHAnsi" w:hAnsiTheme="minorHAnsi"/>
          <w:lang w:val="mk-MK"/>
        </w:rPr>
      </w:pPr>
      <w:r w:rsidRPr="002968EC">
        <w:rPr>
          <w:rFonts w:asciiTheme="minorHAnsi" w:hAnsiTheme="minorHAnsi"/>
          <w:lang w:val="mk-MK"/>
        </w:rPr>
        <w:t xml:space="preserve">НЕОТЕЛ Скопје, Бул. „Кузман Јосифовски Питу“ бр. 15 Скопје, </w:t>
      </w:r>
    </w:p>
    <w:p w:rsidR="00032CF5" w:rsidRDefault="001D7760">
      <w:pPr>
        <w:pStyle w:val="ListParagraph"/>
        <w:numPr>
          <w:ilvl w:val="0"/>
          <w:numId w:val="10"/>
        </w:numPr>
        <w:rPr>
          <w:rFonts w:asciiTheme="minorHAnsi" w:hAnsiTheme="minorHAnsi"/>
          <w:color w:val="0070C0"/>
          <w:lang w:val="mk-MK"/>
        </w:rPr>
      </w:pPr>
      <w:r w:rsidRPr="002968EC">
        <w:rPr>
          <w:rFonts w:asciiTheme="minorHAnsi" w:hAnsiTheme="minorHAnsi"/>
          <w:lang w:val="mk-MK"/>
        </w:rPr>
        <w:t>Роби</w:t>
      </w:r>
      <w:r w:rsidR="00131B3A" w:rsidRPr="002968EC">
        <w:rPr>
          <w:rFonts w:asciiTheme="minorHAnsi" w:hAnsiTheme="minorHAnsi"/>
          <w:lang w:val="mk-MK"/>
        </w:rPr>
        <w:t xml:space="preserve"> Штип</w:t>
      </w:r>
      <w:r w:rsidR="00131B3A" w:rsidRPr="002968EC">
        <w:rPr>
          <w:rFonts w:asciiTheme="minorHAnsi" w:hAnsiTheme="minorHAnsi"/>
        </w:rPr>
        <w:t xml:space="preserve">, ул. Ванчо Прќе  бр.88 Штип, </w:t>
      </w:r>
    </w:p>
    <w:p w:rsidR="00032CF5" w:rsidRDefault="00131B3A">
      <w:pPr>
        <w:pStyle w:val="ListParagraph"/>
        <w:numPr>
          <w:ilvl w:val="0"/>
          <w:numId w:val="10"/>
        </w:numPr>
        <w:rPr>
          <w:rFonts w:asciiTheme="minorHAnsi" w:hAnsiTheme="minorHAnsi"/>
          <w:lang w:val="mk-MK"/>
        </w:rPr>
      </w:pPr>
      <w:r w:rsidRPr="002968EC">
        <w:rPr>
          <w:rFonts w:asciiTheme="minorHAnsi" w:hAnsiTheme="minorHAnsi"/>
          <w:lang w:val="mk-MK"/>
        </w:rPr>
        <w:t xml:space="preserve">АЛТРА САТ Охрид, бул. „Македонски Просветители“ бб Т.Ц. Охриѓанка Охрид, </w:t>
      </w:r>
    </w:p>
    <w:p w:rsidR="00032CF5" w:rsidRDefault="00131B3A">
      <w:pPr>
        <w:pStyle w:val="ListParagraph"/>
        <w:numPr>
          <w:ilvl w:val="0"/>
          <w:numId w:val="10"/>
        </w:numPr>
        <w:rPr>
          <w:rFonts w:asciiTheme="minorHAnsi" w:hAnsiTheme="minorHAnsi"/>
          <w:lang w:val="mk-MK"/>
        </w:rPr>
      </w:pPr>
      <w:r w:rsidRPr="002968EC">
        <w:rPr>
          <w:rFonts w:asciiTheme="minorHAnsi" w:hAnsiTheme="minorHAnsi"/>
          <w:lang w:val="mk-MK"/>
        </w:rPr>
        <w:t>ИНФЕЛ НЕТПЛУС Охрид</w:t>
      </w:r>
      <w:r w:rsidRPr="002968EC">
        <w:rPr>
          <w:rFonts w:asciiTheme="minorHAnsi" w:hAnsiTheme="minorHAnsi"/>
        </w:rPr>
        <w:t xml:space="preserve">, ул. Богомилска бр.Б1, 6000 Охрид,  </w:t>
      </w:r>
    </w:p>
    <w:p w:rsidR="00032CF5" w:rsidRDefault="00131B3A">
      <w:pPr>
        <w:pStyle w:val="ListParagraph"/>
        <w:numPr>
          <w:ilvl w:val="0"/>
          <w:numId w:val="10"/>
        </w:numPr>
        <w:rPr>
          <w:rFonts w:asciiTheme="minorHAnsi" w:hAnsiTheme="minorHAnsi"/>
          <w:lang w:val="mk-MK"/>
        </w:rPr>
      </w:pPr>
      <w:r w:rsidRPr="002968EC">
        <w:rPr>
          <w:rFonts w:asciiTheme="minorHAnsi" w:hAnsiTheme="minorHAnsi"/>
          <w:lang w:val="mk-MK"/>
        </w:rPr>
        <w:t xml:space="preserve">ГИВ Гостивар , Бул.„Браќа Гиноски“ бр.217 Гостивар, </w:t>
      </w:r>
    </w:p>
    <w:p w:rsidR="00032CF5" w:rsidRDefault="00131B3A">
      <w:pPr>
        <w:pStyle w:val="ListParagraph"/>
        <w:numPr>
          <w:ilvl w:val="0"/>
          <w:numId w:val="10"/>
        </w:numPr>
        <w:rPr>
          <w:rFonts w:asciiTheme="minorHAnsi" w:hAnsiTheme="minorHAnsi"/>
          <w:lang w:val="mk-MK"/>
        </w:rPr>
      </w:pPr>
      <w:r w:rsidRPr="002968EC">
        <w:rPr>
          <w:rFonts w:asciiTheme="minorHAnsi" w:hAnsiTheme="minorHAnsi"/>
          <w:lang w:val="mk-MK"/>
        </w:rPr>
        <w:t xml:space="preserve">КАБЛЕ КАЛ Кичево, ул. Тане Цалески ББ Кичево, </w:t>
      </w:r>
    </w:p>
    <w:p w:rsidR="00B55EFD" w:rsidRPr="002968EC" w:rsidRDefault="00061149" w:rsidP="00131B3A">
      <w:pPr>
        <w:ind w:left="90"/>
        <w:rPr>
          <w:rFonts w:asciiTheme="minorHAnsi" w:hAnsiTheme="minorHAnsi" w:cs="Calibri"/>
          <w:lang w:val="mk-MK"/>
        </w:rPr>
      </w:pPr>
      <w:r w:rsidRPr="002968EC">
        <w:rPr>
          <w:rFonts w:asciiTheme="minorHAnsi" w:hAnsiTheme="minorHAnsi" w:cs="Calibri"/>
          <w:lang w:val="mk-MK"/>
        </w:rPr>
        <w:t>Исто така, подолу наведените оператори се нотифицирале во АЕК за обезбедување јавно достапни тел</w:t>
      </w:r>
      <w:r w:rsidR="003622EE">
        <w:rPr>
          <w:rFonts w:asciiTheme="minorHAnsi" w:hAnsiTheme="minorHAnsi" w:cs="Calibri"/>
          <w:lang w:val="mk-MK"/>
        </w:rPr>
        <w:t>е</w:t>
      </w:r>
      <w:r w:rsidRPr="002968EC">
        <w:rPr>
          <w:rFonts w:asciiTheme="minorHAnsi" w:hAnsiTheme="minorHAnsi" w:cs="Calibri"/>
          <w:lang w:val="mk-MK"/>
        </w:rPr>
        <w:t>фонски услуги но не поседуваат серија на претплатнички броеви.</w:t>
      </w:r>
    </w:p>
    <w:p w:rsidR="00032CF5" w:rsidRDefault="00E42186">
      <w:pPr>
        <w:pStyle w:val="ListParagraph"/>
        <w:numPr>
          <w:ilvl w:val="0"/>
          <w:numId w:val="12"/>
        </w:numPr>
        <w:spacing w:after="0"/>
        <w:rPr>
          <w:rFonts w:asciiTheme="minorHAnsi" w:hAnsiTheme="minorHAnsi" w:cs="Calibri"/>
          <w:lang w:val="mk-MK"/>
        </w:rPr>
      </w:pPr>
      <w:r w:rsidRPr="002968EC">
        <w:rPr>
          <w:rFonts w:asciiTheme="minorHAnsi" w:hAnsiTheme="minorHAnsi" w:cs="Calibri"/>
          <w:lang w:val="mk-MK"/>
        </w:rPr>
        <w:t>А</w:t>
      </w:r>
      <w:r w:rsidR="00787BA8">
        <w:rPr>
          <w:rFonts w:asciiTheme="minorHAnsi" w:hAnsiTheme="minorHAnsi" w:cs="Calibri"/>
          <w:lang w:val="mk-MK"/>
        </w:rPr>
        <w:t>ктон</w:t>
      </w:r>
      <w:r w:rsidRPr="002968EC">
        <w:rPr>
          <w:rFonts w:asciiTheme="minorHAnsi" w:hAnsiTheme="minorHAnsi" w:cs="Calibri"/>
          <w:lang w:val="mk-MK"/>
        </w:rPr>
        <w:t xml:space="preserve">  Скопје</w:t>
      </w:r>
    </w:p>
    <w:p w:rsidR="00032CF5" w:rsidRDefault="00E42186">
      <w:pPr>
        <w:pStyle w:val="ListParagraph"/>
        <w:numPr>
          <w:ilvl w:val="0"/>
          <w:numId w:val="12"/>
        </w:numPr>
        <w:spacing w:after="0"/>
        <w:rPr>
          <w:rFonts w:asciiTheme="minorHAnsi" w:hAnsiTheme="minorHAnsi" w:cs="Calibri"/>
          <w:lang w:val="mk-MK"/>
        </w:rPr>
      </w:pPr>
      <w:r w:rsidRPr="002968EC">
        <w:rPr>
          <w:rFonts w:asciiTheme="minorHAnsi" w:hAnsiTheme="minorHAnsi" w:cs="Calibri"/>
          <w:lang w:val="mk-MK"/>
        </w:rPr>
        <w:t>Т</w:t>
      </w:r>
      <w:r w:rsidR="00787BA8">
        <w:rPr>
          <w:rFonts w:asciiTheme="minorHAnsi" w:hAnsiTheme="minorHAnsi" w:cs="Calibri"/>
          <w:lang w:val="mk-MK"/>
        </w:rPr>
        <w:t>елесмарт</w:t>
      </w:r>
      <w:r w:rsidRPr="002968EC">
        <w:rPr>
          <w:rFonts w:asciiTheme="minorHAnsi" w:hAnsiTheme="minorHAnsi" w:cs="Calibri"/>
          <w:lang w:val="mk-MK"/>
        </w:rPr>
        <w:t xml:space="preserve"> Т</w:t>
      </w:r>
      <w:r w:rsidR="00787BA8">
        <w:rPr>
          <w:rFonts w:asciiTheme="minorHAnsi" w:hAnsiTheme="minorHAnsi" w:cs="Calibri"/>
          <w:lang w:val="mk-MK"/>
        </w:rPr>
        <w:t>елеком</w:t>
      </w:r>
      <w:r w:rsidRPr="002968EC">
        <w:rPr>
          <w:rFonts w:asciiTheme="minorHAnsi" w:hAnsiTheme="minorHAnsi" w:cs="Calibri"/>
          <w:lang w:val="mk-MK"/>
        </w:rPr>
        <w:t xml:space="preserve"> Скопје</w:t>
      </w:r>
    </w:p>
    <w:p w:rsidR="00032CF5" w:rsidRDefault="00E42186">
      <w:pPr>
        <w:pStyle w:val="ListParagraph"/>
        <w:numPr>
          <w:ilvl w:val="0"/>
          <w:numId w:val="12"/>
        </w:numPr>
        <w:spacing w:after="0"/>
        <w:rPr>
          <w:rFonts w:asciiTheme="minorHAnsi" w:hAnsiTheme="minorHAnsi" w:cs="Calibri"/>
          <w:lang w:val="mk-MK"/>
        </w:rPr>
      </w:pPr>
      <w:r w:rsidRPr="002968EC">
        <w:rPr>
          <w:rFonts w:asciiTheme="minorHAnsi" w:hAnsiTheme="minorHAnsi" w:cs="Calibri"/>
          <w:lang w:val="mk-MK"/>
        </w:rPr>
        <w:t>С</w:t>
      </w:r>
      <w:r w:rsidR="00787BA8">
        <w:rPr>
          <w:rFonts w:asciiTheme="minorHAnsi" w:hAnsiTheme="minorHAnsi" w:cs="Calibri"/>
          <w:lang w:val="mk-MK"/>
        </w:rPr>
        <w:t>анет</w:t>
      </w:r>
      <w:r w:rsidRPr="002968EC">
        <w:rPr>
          <w:rFonts w:asciiTheme="minorHAnsi" w:hAnsiTheme="minorHAnsi" w:cs="Calibri"/>
          <w:lang w:val="mk-MK"/>
        </w:rPr>
        <w:t xml:space="preserve"> К</w:t>
      </w:r>
      <w:r w:rsidR="00787BA8">
        <w:rPr>
          <w:rFonts w:asciiTheme="minorHAnsi" w:hAnsiTheme="minorHAnsi" w:cs="Calibri"/>
          <w:lang w:val="mk-MK"/>
        </w:rPr>
        <w:t>абелсат</w:t>
      </w:r>
      <w:r w:rsidRPr="002968EC">
        <w:rPr>
          <w:rFonts w:asciiTheme="minorHAnsi" w:hAnsiTheme="minorHAnsi" w:cs="Calibri"/>
          <w:lang w:val="mk-MK"/>
        </w:rPr>
        <w:t xml:space="preserve"> Виница</w:t>
      </w:r>
    </w:p>
    <w:p w:rsidR="00032CF5" w:rsidRDefault="00E42186">
      <w:pPr>
        <w:pStyle w:val="ListParagraph"/>
        <w:numPr>
          <w:ilvl w:val="0"/>
          <w:numId w:val="12"/>
        </w:numPr>
        <w:spacing w:after="0"/>
        <w:rPr>
          <w:rFonts w:asciiTheme="minorHAnsi" w:hAnsiTheme="minorHAnsi" w:cs="Calibri"/>
          <w:lang w:val="mk-MK"/>
        </w:rPr>
      </w:pPr>
      <w:r w:rsidRPr="002968EC">
        <w:rPr>
          <w:rFonts w:asciiTheme="minorHAnsi" w:hAnsiTheme="minorHAnsi" w:cs="Calibri"/>
          <w:lang w:val="mk-MK"/>
        </w:rPr>
        <w:t>В</w:t>
      </w:r>
      <w:r w:rsidR="00787BA8">
        <w:rPr>
          <w:rFonts w:asciiTheme="minorHAnsi" w:hAnsiTheme="minorHAnsi" w:cs="Calibri"/>
          <w:lang w:val="mk-MK"/>
        </w:rPr>
        <w:t>инсат</w:t>
      </w:r>
      <w:r w:rsidRPr="002968EC">
        <w:rPr>
          <w:rFonts w:asciiTheme="minorHAnsi" w:hAnsiTheme="minorHAnsi" w:cs="Calibri"/>
          <w:lang w:val="mk-MK"/>
        </w:rPr>
        <w:t xml:space="preserve"> К</w:t>
      </w:r>
      <w:r w:rsidR="00787BA8">
        <w:rPr>
          <w:rFonts w:asciiTheme="minorHAnsi" w:hAnsiTheme="minorHAnsi" w:cs="Calibri"/>
          <w:lang w:val="mk-MK"/>
        </w:rPr>
        <w:t>абел</w:t>
      </w:r>
      <w:r w:rsidRPr="002968EC">
        <w:rPr>
          <w:rFonts w:asciiTheme="minorHAnsi" w:hAnsiTheme="minorHAnsi" w:cs="Calibri"/>
          <w:lang w:val="mk-MK"/>
        </w:rPr>
        <w:t xml:space="preserve"> Виница</w:t>
      </w:r>
    </w:p>
    <w:p w:rsidR="00032CF5" w:rsidRDefault="00E42186">
      <w:pPr>
        <w:pStyle w:val="ListParagraph"/>
        <w:numPr>
          <w:ilvl w:val="0"/>
          <w:numId w:val="12"/>
        </w:numPr>
        <w:spacing w:after="0"/>
        <w:rPr>
          <w:rFonts w:asciiTheme="minorHAnsi" w:hAnsiTheme="minorHAnsi" w:cs="Calibri"/>
          <w:lang w:val="mk-MK"/>
        </w:rPr>
      </w:pPr>
      <w:r w:rsidRPr="002968EC">
        <w:rPr>
          <w:rFonts w:asciiTheme="minorHAnsi" w:hAnsiTheme="minorHAnsi" w:cs="Calibri"/>
          <w:lang w:val="mk-MK"/>
        </w:rPr>
        <w:t>С</w:t>
      </w:r>
      <w:r w:rsidR="00787BA8">
        <w:rPr>
          <w:rFonts w:asciiTheme="minorHAnsi" w:hAnsiTheme="minorHAnsi" w:cs="Calibri"/>
          <w:lang w:val="mk-MK"/>
        </w:rPr>
        <w:t>торк</w:t>
      </w:r>
      <w:r w:rsidRPr="002968EC">
        <w:rPr>
          <w:rFonts w:asciiTheme="minorHAnsi" w:hAnsiTheme="minorHAnsi" w:cs="Calibri"/>
          <w:lang w:val="mk-MK"/>
        </w:rPr>
        <w:t xml:space="preserve"> И</w:t>
      </w:r>
      <w:r w:rsidR="00787BA8">
        <w:rPr>
          <w:rFonts w:asciiTheme="minorHAnsi" w:hAnsiTheme="minorHAnsi" w:cs="Calibri"/>
          <w:lang w:val="mk-MK"/>
        </w:rPr>
        <w:t>мпекс</w:t>
      </w:r>
      <w:r w:rsidRPr="002968EC">
        <w:rPr>
          <w:rFonts w:asciiTheme="minorHAnsi" w:hAnsiTheme="minorHAnsi" w:cs="Calibri"/>
          <w:lang w:val="mk-MK"/>
        </w:rPr>
        <w:t xml:space="preserve"> Скопје</w:t>
      </w:r>
    </w:p>
    <w:p w:rsidR="00032CF5" w:rsidRDefault="001D7760">
      <w:pPr>
        <w:pStyle w:val="ListParagraph"/>
        <w:numPr>
          <w:ilvl w:val="0"/>
          <w:numId w:val="12"/>
        </w:numPr>
        <w:rPr>
          <w:rFonts w:asciiTheme="minorHAnsi" w:hAnsiTheme="minorHAnsi" w:cs="Calibri"/>
          <w:lang w:val="mk-MK"/>
        </w:rPr>
      </w:pPr>
      <w:r w:rsidRPr="002968EC">
        <w:rPr>
          <w:rFonts w:asciiTheme="minorHAnsi" w:hAnsiTheme="minorHAnsi"/>
          <w:lang w:val="mk-MK"/>
        </w:rPr>
        <w:t>Н</w:t>
      </w:r>
      <w:r w:rsidR="00787BA8">
        <w:rPr>
          <w:rFonts w:asciiTheme="minorHAnsi" w:hAnsiTheme="minorHAnsi"/>
          <w:lang w:val="mk-MK"/>
        </w:rPr>
        <w:t>етконект</w:t>
      </w:r>
      <w:r w:rsidRPr="002968EC">
        <w:rPr>
          <w:rFonts w:asciiTheme="minorHAnsi" w:hAnsiTheme="minorHAnsi"/>
          <w:lang w:val="mk-MK"/>
        </w:rPr>
        <w:t xml:space="preserve"> Скопје</w:t>
      </w:r>
    </w:p>
    <w:p w:rsidR="00032CF5" w:rsidRDefault="001D7760">
      <w:pPr>
        <w:pStyle w:val="ListParagraph"/>
        <w:numPr>
          <w:ilvl w:val="0"/>
          <w:numId w:val="12"/>
        </w:numPr>
        <w:rPr>
          <w:rFonts w:asciiTheme="minorHAnsi" w:hAnsiTheme="minorHAnsi" w:cs="Calibri"/>
          <w:lang w:val="mk-MK"/>
        </w:rPr>
      </w:pPr>
      <w:r w:rsidRPr="002968EC">
        <w:rPr>
          <w:rFonts w:asciiTheme="minorHAnsi" w:hAnsiTheme="minorHAnsi"/>
          <w:lang w:val="mk-MK"/>
        </w:rPr>
        <w:t xml:space="preserve"> ТРД Н</w:t>
      </w:r>
      <w:r w:rsidR="00787BA8">
        <w:rPr>
          <w:rFonts w:asciiTheme="minorHAnsi" w:hAnsiTheme="minorHAnsi"/>
          <w:lang w:val="mk-MK"/>
        </w:rPr>
        <w:t>ет</w:t>
      </w:r>
      <w:r w:rsidRPr="002968EC">
        <w:rPr>
          <w:rFonts w:asciiTheme="minorHAnsi" w:hAnsiTheme="minorHAnsi"/>
          <w:lang w:val="mk-MK"/>
        </w:rPr>
        <w:t xml:space="preserve"> К</w:t>
      </w:r>
      <w:r w:rsidR="00787BA8">
        <w:rPr>
          <w:rFonts w:asciiTheme="minorHAnsi" w:hAnsiTheme="minorHAnsi"/>
          <w:lang w:val="mk-MK"/>
        </w:rPr>
        <w:t>абел</w:t>
      </w:r>
      <w:r w:rsidRPr="002968EC">
        <w:rPr>
          <w:rFonts w:asciiTheme="minorHAnsi" w:hAnsiTheme="minorHAnsi"/>
          <w:lang w:val="mk-MK"/>
        </w:rPr>
        <w:t xml:space="preserve"> Струмица</w:t>
      </w:r>
      <w:r w:rsidRPr="002968EC">
        <w:rPr>
          <w:rFonts w:asciiTheme="minorHAnsi" w:hAnsiTheme="minorHAnsi"/>
        </w:rPr>
        <w:t xml:space="preserve"> </w:t>
      </w:r>
    </w:p>
    <w:p w:rsidR="00032CF5" w:rsidRDefault="005F09CF">
      <w:pPr>
        <w:pStyle w:val="ListParagraph"/>
        <w:numPr>
          <w:ilvl w:val="0"/>
          <w:numId w:val="12"/>
        </w:numPr>
        <w:rPr>
          <w:rFonts w:asciiTheme="minorHAnsi" w:hAnsiTheme="minorHAnsi" w:cs="Calibri"/>
          <w:lang w:val="mk-MK"/>
        </w:rPr>
      </w:pPr>
      <w:r w:rsidRPr="002968EC">
        <w:rPr>
          <w:rFonts w:asciiTheme="minorHAnsi" w:hAnsiTheme="minorHAnsi"/>
          <w:lang w:val="mk-MK"/>
        </w:rPr>
        <w:t>Пц4алл Скопје</w:t>
      </w:r>
    </w:p>
    <w:p w:rsidR="00032CF5" w:rsidRDefault="005F09CF">
      <w:pPr>
        <w:pStyle w:val="ListParagraph"/>
        <w:numPr>
          <w:ilvl w:val="0"/>
          <w:numId w:val="12"/>
        </w:numPr>
        <w:rPr>
          <w:rFonts w:asciiTheme="minorHAnsi" w:hAnsiTheme="minorHAnsi" w:cs="Calibri"/>
          <w:lang w:val="mk-MK"/>
        </w:rPr>
      </w:pPr>
      <w:r w:rsidRPr="002968EC">
        <w:rPr>
          <w:rFonts w:asciiTheme="minorHAnsi" w:hAnsiTheme="minorHAnsi"/>
          <w:lang w:val="mk-MK"/>
        </w:rPr>
        <w:t>Туше Охрид</w:t>
      </w:r>
    </w:p>
    <w:p w:rsidR="00032CF5" w:rsidRDefault="005F09CF">
      <w:pPr>
        <w:pStyle w:val="ListParagraph"/>
        <w:numPr>
          <w:ilvl w:val="0"/>
          <w:numId w:val="12"/>
        </w:numPr>
        <w:rPr>
          <w:rFonts w:asciiTheme="minorHAnsi" w:hAnsiTheme="minorHAnsi" w:cs="Calibri"/>
          <w:lang w:val="mk-MK"/>
        </w:rPr>
      </w:pPr>
      <w:r w:rsidRPr="002968EC">
        <w:rPr>
          <w:rFonts w:asciiTheme="minorHAnsi" w:hAnsiTheme="minorHAnsi"/>
          <w:lang w:val="mk-MK"/>
        </w:rPr>
        <w:t>Нетплус Охрид</w:t>
      </w:r>
    </w:p>
    <w:p w:rsidR="00032CF5" w:rsidRDefault="005F09CF">
      <w:pPr>
        <w:pStyle w:val="ListParagraph"/>
        <w:numPr>
          <w:ilvl w:val="0"/>
          <w:numId w:val="12"/>
        </w:numPr>
        <w:rPr>
          <w:rFonts w:asciiTheme="minorHAnsi" w:hAnsiTheme="minorHAnsi" w:cs="Calibri"/>
          <w:lang w:val="mk-MK"/>
        </w:rPr>
      </w:pPr>
      <w:r w:rsidRPr="002968EC">
        <w:rPr>
          <w:rFonts w:asciiTheme="minorHAnsi" w:hAnsiTheme="minorHAnsi"/>
          <w:lang w:val="mk-MK"/>
        </w:rPr>
        <w:t>Албан Нет Дебар</w:t>
      </w:r>
    </w:p>
    <w:p w:rsidR="00032CF5" w:rsidRDefault="005F09CF">
      <w:pPr>
        <w:pStyle w:val="ListParagraph"/>
        <w:numPr>
          <w:ilvl w:val="0"/>
          <w:numId w:val="12"/>
        </w:numPr>
        <w:rPr>
          <w:rFonts w:asciiTheme="minorHAnsi" w:hAnsiTheme="minorHAnsi" w:cs="Calibri"/>
          <w:lang w:val="mk-MK"/>
        </w:rPr>
      </w:pPr>
      <w:r w:rsidRPr="002968EC">
        <w:rPr>
          <w:rFonts w:asciiTheme="minorHAnsi" w:hAnsiTheme="minorHAnsi"/>
          <w:lang w:val="mk-MK"/>
        </w:rPr>
        <w:t>М-Инженеринг Штип</w:t>
      </w:r>
    </w:p>
    <w:p w:rsidR="00032CF5" w:rsidRDefault="005F09CF">
      <w:pPr>
        <w:pStyle w:val="ListParagraph"/>
        <w:numPr>
          <w:ilvl w:val="0"/>
          <w:numId w:val="12"/>
        </w:numPr>
        <w:rPr>
          <w:rFonts w:asciiTheme="minorHAnsi" w:hAnsiTheme="minorHAnsi" w:cs="Calibri"/>
          <w:lang w:val="mk-MK"/>
        </w:rPr>
      </w:pPr>
      <w:r w:rsidRPr="002968EC">
        <w:rPr>
          <w:rFonts w:asciiTheme="minorHAnsi" w:hAnsiTheme="minorHAnsi"/>
          <w:lang w:val="mk-MK"/>
        </w:rPr>
        <w:t>Ријад Нет Дебар</w:t>
      </w:r>
    </w:p>
    <w:p w:rsidR="00032CF5" w:rsidRDefault="005F09CF">
      <w:pPr>
        <w:pStyle w:val="ListParagraph"/>
        <w:numPr>
          <w:ilvl w:val="0"/>
          <w:numId w:val="12"/>
        </w:numPr>
        <w:rPr>
          <w:rFonts w:asciiTheme="minorHAnsi" w:hAnsiTheme="minorHAnsi" w:cs="Calibri"/>
          <w:lang w:val="mk-MK"/>
        </w:rPr>
      </w:pPr>
      <w:r w:rsidRPr="002968EC">
        <w:rPr>
          <w:rFonts w:asciiTheme="minorHAnsi" w:hAnsiTheme="minorHAnsi"/>
          <w:lang w:val="mk-MK"/>
        </w:rPr>
        <w:t>Нетплус Комуникации Скопје</w:t>
      </w:r>
    </w:p>
    <w:p w:rsidR="00032CF5" w:rsidRDefault="005F09CF">
      <w:pPr>
        <w:pStyle w:val="ListParagraph"/>
        <w:numPr>
          <w:ilvl w:val="0"/>
          <w:numId w:val="12"/>
        </w:numPr>
        <w:rPr>
          <w:rFonts w:asciiTheme="minorHAnsi" w:hAnsiTheme="minorHAnsi" w:cs="Calibri"/>
          <w:lang w:val="mk-MK"/>
        </w:rPr>
      </w:pPr>
      <w:r w:rsidRPr="002968EC">
        <w:rPr>
          <w:rFonts w:asciiTheme="minorHAnsi" w:hAnsiTheme="minorHAnsi"/>
          <w:lang w:val="mk-MK"/>
        </w:rPr>
        <w:t>Турк Телеком Скопје</w:t>
      </w:r>
    </w:p>
    <w:p w:rsidR="00032CF5" w:rsidRDefault="005F09CF">
      <w:pPr>
        <w:pStyle w:val="ListParagraph"/>
        <w:numPr>
          <w:ilvl w:val="0"/>
          <w:numId w:val="12"/>
        </w:numPr>
        <w:rPr>
          <w:rFonts w:asciiTheme="minorHAnsi" w:hAnsiTheme="minorHAnsi" w:cs="Calibri"/>
          <w:lang w:val="mk-MK"/>
        </w:rPr>
      </w:pPr>
      <w:r w:rsidRPr="002968EC">
        <w:rPr>
          <w:rFonts w:asciiTheme="minorHAnsi" w:hAnsiTheme="minorHAnsi"/>
          <w:lang w:val="mk-MK"/>
        </w:rPr>
        <w:lastRenderedPageBreak/>
        <w:t>Филаделфија 2002 Скопје</w:t>
      </w:r>
    </w:p>
    <w:p w:rsidR="003622EE" w:rsidRPr="003622EE" w:rsidRDefault="005F09CF" w:rsidP="00061149">
      <w:pPr>
        <w:pStyle w:val="ListParagraph"/>
        <w:numPr>
          <w:ilvl w:val="0"/>
          <w:numId w:val="12"/>
        </w:numPr>
        <w:rPr>
          <w:rFonts w:asciiTheme="minorHAnsi" w:hAnsiTheme="minorHAnsi" w:cs="Calibri"/>
          <w:lang w:val="mk-MK"/>
        </w:rPr>
      </w:pPr>
      <w:r w:rsidRPr="002968EC">
        <w:rPr>
          <w:rFonts w:asciiTheme="minorHAnsi" w:hAnsiTheme="minorHAnsi"/>
          <w:lang w:val="mk-MK"/>
        </w:rPr>
        <w:t>ФНС Глобал Скопје</w:t>
      </w:r>
    </w:p>
    <w:p w:rsidR="00061149" w:rsidRPr="003622EE" w:rsidRDefault="005F09CF" w:rsidP="00061149">
      <w:pPr>
        <w:pStyle w:val="ListParagraph"/>
        <w:numPr>
          <w:ilvl w:val="0"/>
          <w:numId w:val="12"/>
        </w:numPr>
        <w:rPr>
          <w:rFonts w:asciiTheme="minorHAnsi" w:hAnsiTheme="minorHAnsi" w:cs="Calibri"/>
          <w:lang w:val="mk-MK"/>
        </w:rPr>
      </w:pPr>
      <w:r w:rsidRPr="003622EE">
        <w:rPr>
          <w:rFonts w:asciiTheme="minorHAnsi" w:hAnsiTheme="minorHAnsi"/>
          <w:lang w:val="mk-MK"/>
        </w:rPr>
        <w:t>Дип Блу Плус Прилеп</w:t>
      </w:r>
    </w:p>
    <w:p w:rsidR="00B55EFD" w:rsidRPr="002968EC" w:rsidRDefault="003B7497" w:rsidP="00061149">
      <w:pPr>
        <w:spacing w:after="0"/>
        <w:rPr>
          <w:rFonts w:asciiTheme="minorHAnsi" w:hAnsiTheme="minorHAnsi"/>
          <w:lang w:val="mk-MK"/>
        </w:rPr>
      </w:pPr>
      <w:r w:rsidRPr="002968EC">
        <w:rPr>
          <w:rFonts w:asciiTheme="minorHAnsi" w:hAnsiTheme="minorHAnsi"/>
          <w:lang w:val="mk-MK"/>
        </w:rPr>
        <w:t>Дел од</w:t>
      </w:r>
      <w:r w:rsidR="00061149" w:rsidRPr="002968EC">
        <w:rPr>
          <w:rFonts w:asciiTheme="minorHAnsi" w:hAnsiTheme="minorHAnsi"/>
          <w:lang w:val="mk-MK"/>
        </w:rPr>
        <w:t xml:space="preserve"> оператори</w:t>
      </w:r>
      <w:r w:rsidRPr="002968EC">
        <w:rPr>
          <w:rFonts w:asciiTheme="minorHAnsi" w:hAnsiTheme="minorHAnsi"/>
          <w:lang w:val="mk-MK"/>
        </w:rPr>
        <w:t>те</w:t>
      </w:r>
      <w:r w:rsidR="00061149" w:rsidRPr="002968EC">
        <w:rPr>
          <w:rFonts w:asciiTheme="minorHAnsi" w:hAnsiTheme="minorHAnsi"/>
          <w:lang w:val="mk-MK"/>
        </w:rPr>
        <w:t xml:space="preserve"> кои </w:t>
      </w:r>
      <w:r w:rsidR="0024305E">
        <w:rPr>
          <w:rFonts w:asciiTheme="minorHAnsi" w:hAnsiTheme="minorHAnsi"/>
          <w:lang w:val="mk-MK"/>
        </w:rPr>
        <w:t>не поседуваат серија на претплатнички броеви</w:t>
      </w:r>
      <w:r w:rsidR="00061149" w:rsidRPr="002968EC">
        <w:rPr>
          <w:rFonts w:asciiTheme="minorHAnsi" w:hAnsiTheme="minorHAnsi"/>
          <w:lang w:val="mk-MK"/>
        </w:rPr>
        <w:t xml:space="preserve"> се оператори ткн. “ воипери ”, кои обезбедуваат само меѓународни повици до одредени меѓународни дестинации и со тоа соодветно се третираат во мал</w:t>
      </w:r>
      <w:r w:rsidR="003622EE">
        <w:rPr>
          <w:rFonts w:asciiTheme="minorHAnsi" w:hAnsiTheme="minorHAnsi"/>
          <w:lang w:val="mk-MK"/>
        </w:rPr>
        <w:t>о</w:t>
      </w:r>
      <w:r w:rsidR="00061149" w:rsidRPr="002968EC">
        <w:rPr>
          <w:rFonts w:asciiTheme="minorHAnsi" w:hAnsiTheme="minorHAnsi"/>
          <w:lang w:val="mk-MK"/>
        </w:rPr>
        <w:t>продажниот пазар 2 – јавно достапни телефонски услуги на фиксна локација за резиденциј</w:t>
      </w:r>
      <w:r w:rsidR="003622EE">
        <w:rPr>
          <w:rFonts w:asciiTheme="minorHAnsi" w:hAnsiTheme="minorHAnsi"/>
          <w:lang w:val="mk-MK"/>
        </w:rPr>
        <w:t>ал</w:t>
      </w:r>
      <w:r w:rsidR="00061149" w:rsidRPr="002968EC">
        <w:rPr>
          <w:rFonts w:asciiTheme="minorHAnsi" w:hAnsiTheme="minorHAnsi"/>
          <w:lang w:val="mk-MK"/>
        </w:rPr>
        <w:t>ни и деловни корисници. Овие оператори не ја обезбедуваат услугата пристап која е предмет на релевантниот малопродажен пазар 1.</w:t>
      </w:r>
      <w:r w:rsidR="00FC6D4E" w:rsidRPr="002968EC">
        <w:rPr>
          <w:rFonts w:asciiTheme="minorHAnsi" w:hAnsiTheme="minorHAnsi"/>
          <w:lang w:val="mk-MK"/>
        </w:rPr>
        <w:br w:type="page"/>
      </w:r>
      <w:bookmarkStart w:id="6" w:name="_Toc461617734"/>
      <w:r w:rsidR="002968EC">
        <w:rPr>
          <w:rStyle w:val="Heading1Char"/>
          <w:rFonts w:asciiTheme="minorHAnsi" w:eastAsia="Calibri" w:hAnsiTheme="minorHAnsi"/>
          <w:lang w:val="mk-MK"/>
        </w:rPr>
        <w:lastRenderedPageBreak/>
        <w:t>6</w:t>
      </w:r>
      <w:r w:rsidR="00B55EFD" w:rsidRPr="002968EC">
        <w:rPr>
          <w:rStyle w:val="Heading1Char"/>
          <w:rFonts w:asciiTheme="minorHAnsi" w:eastAsia="Calibri" w:hAnsiTheme="minorHAnsi"/>
        </w:rPr>
        <w:t>. Соработка со Комисијата за заштита на конкуренцијата</w:t>
      </w:r>
      <w:bookmarkEnd w:id="6"/>
    </w:p>
    <w:p w:rsidR="00280E1F" w:rsidRPr="002968EC" w:rsidRDefault="00280E1F" w:rsidP="00280E1F">
      <w:pPr>
        <w:rPr>
          <w:rFonts w:asciiTheme="minorHAnsi" w:hAnsiTheme="minorHAnsi"/>
          <w:lang w:val="mk-MK"/>
        </w:rPr>
      </w:pPr>
    </w:p>
    <w:p w:rsidR="00C31430" w:rsidRPr="002968EC" w:rsidRDefault="00C31430" w:rsidP="00781AEE">
      <w:pPr>
        <w:rPr>
          <w:rFonts w:asciiTheme="minorHAnsi" w:hAnsiTheme="minorHAnsi" w:cs="Calibri"/>
          <w:lang w:val="mk-MK"/>
        </w:rPr>
      </w:pPr>
      <w:r w:rsidRPr="002968EC">
        <w:rPr>
          <w:rFonts w:asciiTheme="minorHAnsi" w:hAnsiTheme="minorHAnsi" w:cs="Calibri"/>
          <w:lang w:val="mk-MK"/>
        </w:rPr>
        <w:t>Согласно член 79, 80, 81 и 82 од ЗЕК при спроведување на анализа на релевантните пазари, преиспитување на утврдени релевантни пазари на производи и услуги како и определување на оператор со значителна пазарна моќ, АЕК соработуваше со Комисијата за заштита на конкуренцијата, која со допис</w:t>
      </w:r>
      <w:r w:rsidR="00F9467C">
        <w:rPr>
          <w:rFonts w:asciiTheme="minorHAnsi" w:hAnsiTheme="minorHAnsi" w:cs="Calibri"/>
          <w:lang w:val="mk-MK"/>
        </w:rPr>
        <w:t xml:space="preserve"> нивни</w:t>
      </w:r>
      <w:r w:rsidRPr="002968EC">
        <w:rPr>
          <w:rFonts w:asciiTheme="minorHAnsi" w:hAnsiTheme="minorHAnsi" w:cs="Calibri"/>
          <w:lang w:val="mk-MK"/>
        </w:rPr>
        <w:t xml:space="preserve"> бр. </w:t>
      </w:r>
      <w:r w:rsidR="00051BF0">
        <w:rPr>
          <w:rFonts w:asciiTheme="minorHAnsi" w:hAnsiTheme="minorHAnsi" w:cs="Calibri"/>
          <w:lang w:val="mk-MK"/>
        </w:rPr>
        <w:t>03-180/2 од 31.10.2016</w:t>
      </w:r>
      <w:r w:rsidRPr="002968EC">
        <w:rPr>
          <w:rFonts w:asciiTheme="minorHAnsi" w:hAnsiTheme="minorHAnsi" w:cs="Calibri"/>
          <w:lang w:val="mk-MK"/>
        </w:rPr>
        <w:t xml:space="preserve"> година</w:t>
      </w:r>
      <w:r w:rsidR="00F9467C">
        <w:rPr>
          <w:rFonts w:asciiTheme="minorHAnsi" w:hAnsiTheme="minorHAnsi" w:cs="Calibri"/>
          <w:lang w:val="mk-MK"/>
        </w:rPr>
        <w:t xml:space="preserve"> и наш бр. 0201-2837/4 од 31.10.2016 година</w:t>
      </w:r>
      <w:r w:rsidRPr="002968EC">
        <w:rPr>
          <w:rFonts w:asciiTheme="minorHAnsi" w:hAnsiTheme="minorHAnsi" w:cs="Calibri"/>
          <w:lang w:val="mk-MK"/>
        </w:rPr>
        <w:t>, го даде следното</w:t>
      </w:r>
    </w:p>
    <w:p w:rsidR="00B55EFD" w:rsidRPr="002968EC" w:rsidRDefault="00B55EFD" w:rsidP="00781AEE">
      <w:pPr>
        <w:rPr>
          <w:rFonts w:asciiTheme="minorHAnsi" w:hAnsiTheme="minorHAnsi" w:cs="Calibri"/>
          <w:lang w:val="mk-MK"/>
        </w:rPr>
      </w:pPr>
    </w:p>
    <w:p w:rsidR="00B55EFD" w:rsidRDefault="00B55EFD" w:rsidP="00781AEE">
      <w:pPr>
        <w:jc w:val="center"/>
        <w:rPr>
          <w:rFonts w:asciiTheme="minorHAnsi" w:hAnsiTheme="minorHAnsi" w:cs="Calibri"/>
          <w:lang w:val="mk-MK"/>
        </w:rPr>
      </w:pPr>
      <w:r w:rsidRPr="002968EC">
        <w:rPr>
          <w:rFonts w:asciiTheme="minorHAnsi" w:hAnsiTheme="minorHAnsi" w:cs="Calibri"/>
          <w:lang w:val="mk-MK"/>
        </w:rPr>
        <w:t>М и с л е њ е</w:t>
      </w:r>
    </w:p>
    <w:p w:rsidR="00051BF0" w:rsidRPr="002968EC" w:rsidRDefault="00051BF0" w:rsidP="00781AEE">
      <w:pPr>
        <w:jc w:val="center"/>
        <w:rPr>
          <w:rFonts w:asciiTheme="minorHAnsi" w:hAnsiTheme="minorHAnsi" w:cs="Calibri"/>
          <w:lang w:val="mk-MK"/>
        </w:rPr>
      </w:pPr>
    </w:p>
    <w:p w:rsidR="002E3620" w:rsidRPr="00051BF0" w:rsidRDefault="00051BF0" w:rsidP="00051BF0">
      <w:pPr>
        <w:rPr>
          <w:rFonts w:asciiTheme="minorHAnsi" w:hAnsiTheme="minorHAnsi" w:cs="Calibri"/>
          <w:lang w:val="mk-MK"/>
        </w:rPr>
      </w:pPr>
      <w:r>
        <w:rPr>
          <w:rFonts w:asciiTheme="minorHAnsi" w:hAnsiTheme="minorHAnsi" w:cs="Calibri"/>
        </w:rPr>
        <w:tab/>
      </w:r>
      <w:r>
        <w:rPr>
          <w:rFonts w:asciiTheme="minorHAnsi" w:hAnsiTheme="minorHAnsi" w:cs="Calibri"/>
          <w:lang w:val="mk-MK"/>
        </w:rPr>
        <w:t xml:space="preserve">Комисијата за заштита на конкуренцијата го разгледа Предлог Нацрт документот за анализа на пазар 1 – Пристап до јавна електронска комуникациска мрежа на фиксна локација за резиденцијални и деловни крајни корисници (ваш допис бр. 0201-2937/3 од 15.09.2016 година) и е согласна со истиот. </w:t>
      </w:r>
    </w:p>
    <w:p w:rsidR="002E3620" w:rsidRPr="002968EC" w:rsidRDefault="002E3620" w:rsidP="00781AEE">
      <w:pPr>
        <w:jc w:val="center"/>
        <w:rPr>
          <w:rFonts w:asciiTheme="minorHAnsi" w:hAnsiTheme="minorHAnsi" w:cs="Calibri"/>
          <w:lang w:val="mk-MK"/>
        </w:rPr>
      </w:pPr>
    </w:p>
    <w:p w:rsidR="00280E1F" w:rsidRPr="002968EC" w:rsidRDefault="00280E1F" w:rsidP="00781AEE">
      <w:pPr>
        <w:jc w:val="center"/>
        <w:rPr>
          <w:rFonts w:asciiTheme="minorHAnsi" w:hAnsiTheme="minorHAnsi" w:cs="Calibri"/>
          <w:lang w:val="mk-MK"/>
        </w:rPr>
      </w:pPr>
    </w:p>
    <w:p w:rsidR="00F9467C" w:rsidRDefault="00F9467C" w:rsidP="002968EC">
      <w:pPr>
        <w:pStyle w:val="Heading1"/>
        <w:rPr>
          <w:lang w:val="mk-MK"/>
        </w:rPr>
      </w:pPr>
    </w:p>
    <w:p w:rsidR="00F9467C" w:rsidRPr="00F9467C" w:rsidRDefault="00F9467C" w:rsidP="00F9467C">
      <w:pPr>
        <w:rPr>
          <w:lang w:val="mk-MK"/>
        </w:rPr>
      </w:pPr>
    </w:p>
    <w:p w:rsidR="00F9467C" w:rsidRDefault="00F9467C" w:rsidP="002968EC">
      <w:pPr>
        <w:pStyle w:val="Heading1"/>
        <w:rPr>
          <w:lang w:val="mk-MK"/>
        </w:rPr>
      </w:pPr>
    </w:p>
    <w:p w:rsidR="00F9467C" w:rsidRPr="00F9467C" w:rsidRDefault="00F9467C" w:rsidP="00F9467C">
      <w:pPr>
        <w:pStyle w:val="Heading1"/>
        <w:tabs>
          <w:tab w:val="left" w:pos="5280"/>
        </w:tabs>
        <w:spacing w:before="0" w:after="0"/>
        <w:rPr>
          <w:rFonts w:asciiTheme="minorHAnsi" w:hAnsiTheme="minorHAnsi"/>
          <w:b w:val="0"/>
          <w:sz w:val="24"/>
          <w:szCs w:val="24"/>
          <w:lang w:val="mk-MK"/>
        </w:rPr>
      </w:pPr>
      <w:r>
        <w:rPr>
          <w:lang w:val="mk-MK"/>
        </w:rPr>
        <w:tab/>
        <w:t xml:space="preserve">         </w:t>
      </w:r>
      <w:r w:rsidRPr="00F9467C">
        <w:rPr>
          <w:rFonts w:asciiTheme="minorHAnsi" w:hAnsiTheme="minorHAnsi"/>
          <w:b w:val="0"/>
          <w:sz w:val="24"/>
          <w:szCs w:val="24"/>
          <w:lang w:val="mk-MK"/>
        </w:rPr>
        <w:t>Претседател</w:t>
      </w:r>
    </w:p>
    <w:p w:rsidR="00F9467C" w:rsidRDefault="00F9467C" w:rsidP="00F9467C">
      <w:pPr>
        <w:pStyle w:val="Heading1"/>
        <w:spacing w:before="0" w:after="0" w:line="240" w:lineRule="auto"/>
        <w:rPr>
          <w:lang w:val="mk-MK"/>
        </w:rPr>
      </w:pPr>
      <w:r>
        <w:rPr>
          <w:lang w:val="mk-MK"/>
        </w:rPr>
        <w:t xml:space="preserve">       </w:t>
      </w:r>
      <w:r w:rsidRPr="00F9467C">
        <w:rPr>
          <w:rFonts w:asciiTheme="minorHAnsi" w:hAnsiTheme="minorHAnsi"/>
          <w:b w:val="0"/>
          <w:sz w:val="24"/>
          <w:szCs w:val="24"/>
          <w:lang w:val="mk-MK"/>
        </w:rPr>
        <w:t xml:space="preserve">                    </w:t>
      </w:r>
      <w:r>
        <w:rPr>
          <w:rFonts w:asciiTheme="minorHAnsi" w:hAnsiTheme="minorHAnsi"/>
          <w:b w:val="0"/>
          <w:sz w:val="24"/>
          <w:szCs w:val="24"/>
          <w:lang w:val="mk-MK"/>
        </w:rPr>
        <w:t xml:space="preserve">                                                   </w:t>
      </w:r>
      <w:r w:rsidRPr="00F9467C">
        <w:rPr>
          <w:rFonts w:asciiTheme="minorHAnsi" w:hAnsiTheme="minorHAnsi"/>
          <w:b w:val="0"/>
          <w:sz w:val="24"/>
          <w:szCs w:val="24"/>
          <w:lang w:val="mk-MK"/>
        </w:rPr>
        <w:t xml:space="preserve">     На комисија за заштита на конкуренција</w:t>
      </w:r>
    </w:p>
    <w:p w:rsidR="00F9467C" w:rsidRPr="00F9467C" w:rsidRDefault="00F9467C" w:rsidP="00F9467C">
      <w:pPr>
        <w:pStyle w:val="Heading1"/>
        <w:tabs>
          <w:tab w:val="left" w:pos="5520"/>
        </w:tabs>
        <w:spacing w:before="0" w:after="0" w:line="240" w:lineRule="auto"/>
        <w:rPr>
          <w:rFonts w:asciiTheme="minorHAnsi" w:hAnsiTheme="minorHAnsi"/>
          <w:sz w:val="24"/>
          <w:szCs w:val="24"/>
          <w:lang w:val="mk-MK"/>
        </w:rPr>
      </w:pPr>
      <w:r>
        <w:rPr>
          <w:lang w:val="mk-MK"/>
        </w:rPr>
        <w:tab/>
        <w:t xml:space="preserve">   </w:t>
      </w:r>
      <w:r w:rsidRPr="00F9467C">
        <w:rPr>
          <w:rFonts w:asciiTheme="minorHAnsi" w:hAnsiTheme="minorHAnsi"/>
          <w:sz w:val="24"/>
          <w:szCs w:val="24"/>
          <w:lang w:val="mk-MK"/>
        </w:rPr>
        <w:t>Благој Чурлинов</w:t>
      </w:r>
    </w:p>
    <w:p w:rsidR="00CE5DC4" w:rsidRPr="002968EC" w:rsidRDefault="00FC6D4E" w:rsidP="00F9467C">
      <w:pPr>
        <w:pStyle w:val="Heading1"/>
        <w:spacing w:before="0" w:after="0" w:line="240" w:lineRule="auto"/>
        <w:rPr>
          <w:rFonts w:asciiTheme="minorHAnsi" w:hAnsiTheme="minorHAnsi"/>
        </w:rPr>
      </w:pPr>
      <w:r w:rsidRPr="00F9467C">
        <w:rPr>
          <w:lang w:val="mk-MK"/>
        </w:rPr>
        <w:br w:type="page"/>
      </w:r>
      <w:bookmarkStart w:id="7" w:name="_Toc461617735"/>
      <w:r w:rsidR="002968EC">
        <w:rPr>
          <w:rFonts w:asciiTheme="minorHAnsi" w:hAnsiTheme="minorHAnsi"/>
          <w:lang w:val="mk-MK"/>
        </w:rPr>
        <w:lastRenderedPageBreak/>
        <w:t>7</w:t>
      </w:r>
      <w:r w:rsidR="00CE5DC4" w:rsidRPr="002968EC">
        <w:rPr>
          <w:rFonts w:asciiTheme="minorHAnsi" w:hAnsiTheme="minorHAnsi"/>
        </w:rPr>
        <w:t xml:space="preserve">. </w:t>
      </w:r>
      <w:r w:rsidR="00757351" w:rsidRPr="002968EC">
        <w:rPr>
          <w:rFonts w:asciiTheme="minorHAnsi" w:hAnsiTheme="minorHAnsi"/>
        </w:rPr>
        <w:t>Развој</w:t>
      </w:r>
      <w:r w:rsidR="00CE5DC4" w:rsidRPr="002968EC">
        <w:rPr>
          <w:rFonts w:asciiTheme="minorHAnsi" w:hAnsiTheme="minorHAnsi"/>
        </w:rPr>
        <w:t xml:space="preserve"> на пазарот на пристап до </w:t>
      </w:r>
      <w:r w:rsidR="008A38F9" w:rsidRPr="002968EC">
        <w:rPr>
          <w:rFonts w:asciiTheme="minorHAnsi" w:hAnsiTheme="minorHAnsi"/>
        </w:rPr>
        <w:t xml:space="preserve">јавна електронска комуникациска </w:t>
      </w:r>
      <w:proofErr w:type="spellStart"/>
      <w:r w:rsidR="008A38F9" w:rsidRPr="002968EC">
        <w:rPr>
          <w:rFonts w:asciiTheme="minorHAnsi" w:hAnsiTheme="minorHAnsi"/>
        </w:rPr>
        <w:t>мрежа</w:t>
      </w:r>
      <w:proofErr w:type="spellEnd"/>
      <w:r w:rsidR="008A38F9" w:rsidRPr="002968EC">
        <w:rPr>
          <w:rFonts w:asciiTheme="minorHAnsi" w:hAnsiTheme="minorHAnsi"/>
        </w:rPr>
        <w:t xml:space="preserve"> </w:t>
      </w:r>
      <w:proofErr w:type="spellStart"/>
      <w:r w:rsidR="008A38F9" w:rsidRPr="002968EC">
        <w:rPr>
          <w:rFonts w:asciiTheme="minorHAnsi" w:hAnsiTheme="minorHAnsi"/>
        </w:rPr>
        <w:t>на</w:t>
      </w:r>
      <w:proofErr w:type="spellEnd"/>
      <w:r w:rsidR="008A38F9" w:rsidRPr="002968EC">
        <w:rPr>
          <w:rFonts w:asciiTheme="minorHAnsi" w:hAnsiTheme="minorHAnsi"/>
        </w:rPr>
        <w:t xml:space="preserve"> </w:t>
      </w:r>
      <w:proofErr w:type="spellStart"/>
      <w:r w:rsidR="008A38F9" w:rsidRPr="002968EC">
        <w:rPr>
          <w:rFonts w:asciiTheme="minorHAnsi" w:hAnsiTheme="minorHAnsi"/>
        </w:rPr>
        <w:t>фиксна</w:t>
      </w:r>
      <w:proofErr w:type="spellEnd"/>
      <w:r w:rsidR="008A38F9" w:rsidRPr="002968EC">
        <w:rPr>
          <w:rFonts w:asciiTheme="minorHAnsi" w:hAnsiTheme="minorHAnsi"/>
        </w:rPr>
        <w:t xml:space="preserve"> </w:t>
      </w:r>
      <w:proofErr w:type="spellStart"/>
      <w:r w:rsidR="008A38F9" w:rsidRPr="002968EC">
        <w:rPr>
          <w:rFonts w:asciiTheme="minorHAnsi" w:hAnsiTheme="minorHAnsi"/>
        </w:rPr>
        <w:t>локација</w:t>
      </w:r>
      <w:bookmarkEnd w:id="7"/>
      <w:proofErr w:type="spellEnd"/>
      <w:r w:rsidR="00BF3B01" w:rsidRPr="002968EC">
        <w:rPr>
          <w:rFonts w:asciiTheme="minorHAnsi" w:hAnsiTheme="minorHAnsi"/>
        </w:rPr>
        <w:t xml:space="preserve"> </w:t>
      </w:r>
    </w:p>
    <w:p w:rsidR="00280E1F" w:rsidRPr="002968EC" w:rsidRDefault="00280E1F" w:rsidP="00280E1F">
      <w:pPr>
        <w:rPr>
          <w:rFonts w:asciiTheme="minorHAnsi" w:hAnsiTheme="minorHAnsi"/>
          <w:lang w:val="mk-MK"/>
        </w:rPr>
      </w:pPr>
    </w:p>
    <w:p w:rsidR="00EA7450" w:rsidRDefault="00CB3EB7" w:rsidP="00781AEE">
      <w:pPr>
        <w:rPr>
          <w:rFonts w:asciiTheme="minorHAnsi" w:hAnsiTheme="minorHAnsi"/>
          <w:lang w:val="mk-MK"/>
        </w:rPr>
      </w:pPr>
      <w:r w:rsidRPr="002968EC">
        <w:rPr>
          <w:rFonts w:asciiTheme="minorHAnsi" w:hAnsiTheme="minorHAnsi"/>
          <w:lang w:val="mk-MK"/>
        </w:rPr>
        <w:t>Во графиконот бр.</w:t>
      </w:r>
      <w:r w:rsidR="0017503D" w:rsidRPr="002968EC">
        <w:rPr>
          <w:rFonts w:asciiTheme="minorHAnsi" w:hAnsiTheme="minorHAnsi"/>
          <w:lang w:val="mk-MK"/>
        </w:rPr>
        <w:t>1</w:t>
      </w:r>
      <w:r w:rsidRPr="002968EC">
        <w:rPr>
          <w:rFonts w:asciiTheme="minorHAnsi" w:hAnsiTheme="minorHAnsi"/>
          <w:lang w:val="mk-MK"/>
        </w:rPr>
        <w:t xml:space="preserve"> се прикажани бројот на фиксни линии и промена на индикатор број на фиксни линии според популација 100 на пазарот на пристап до </w:t>
      </w:r>
      <w:r w:rsidR="008A38F9" w:rsidRPr="002968EC">
        <w:rPr>
          <w:rFonts w:asciiTheme="minorHAnsi" w:hAnsiTheme="minorHAnsi" w:cs="Calibri"/>
          <w:lang w:val="mk-MK"/>
        </w:rPr>
        <w:t>јавна електронска комуникациска мрежа на фиксна локација</w:t>
      </w:r>
      <w:r w:rsidR="00BF3B01" w:rsidRPr="002968EC">
        <w:rPr>
          <w:rFonts w:asciiTheme="minorHAnsi" w:hAnsiTheme="minorHAnsi" w:cs="Calibri"/>
          <w:lang w:val="mk-MK"/>
        </w:rPr>
        <w:t xml:space="preserve"> </w:t>
      </w:r>
      <w:r w:rsidRPr="002968EC">
        <w:rPr>
          <w:rFonts w:asciiTheme="minorHAnsi" w:hAnsiTheme="minorHAnsi"/>
          <w:lang w:val="mk-MK"/>
        </w:rPr>
        <w:t xml:space="preserve">во текот на </w:t>
      </w:r>
      <w:r w:rsidR="0017503D" w:rsidRPr="002968EC">
        <w:rPr>
          <w:rFonts w:asciiTheme="minorHAnsi" w:hAnsiTheme="minorHAnsi"/>
          <w:lang w:val="mk-MK"/>
        </w:rPr>
        <w:t xml:space="preserve">периодот </w:t>
      </w:r>
      <w:r w:rsidR="00032CF5">
        <w:rPr>
          <w:rFonts w:asciiTheme="minorHAnsi" w:hAnsiTheme="minorHAnsi"/>
          <w:lang w:val="mk-MK"/>
        </w:rPr>
        <w:t>2012-2015 година</w:t>
      </w:r>
      <w:r w:rsidR="0072746E" w:rsidRPr="002968EC">
        <w:rPr>
          <w:rFonts w:asciiTheme="minorHAnsi" w:hAnsiTheme="minorHAnsi"/>
        </w:rPr>
        <w:t>.</w:t>
      </w:r>
      <w:r w:rsidR="0072746E" w:rsidRPr="002968EC">
        <w:rPr>
          <w:rFonts w:asciiTheme="minorHAnsi" w:hAnsiTheme="minorHAnsi"/>
          <w:lang w:val="mk-MK"/>
        </w:rPr>
        <w:t xml:space="preserve"> Податоците прикажани во графикот се однесуваат</w:t>
      </w:r>
      <w:r w:rsidR="002B341F" w:rsidRPr="002968EC">
        <w:rPr>
          <w:rFonts w:asciiTheme="minorHAnsi" w:hAnsiTheme="minorHAnsi"/>
          <w:lang w:val="mk-MK"/>
        </w:rPr>
        <w:t xml:space="preserve"> на </w:t>
      </w:r>
      <w:r w:rsidR="003B7497" w:rsidRPr="002968EC">
        <w:rPr>
          <w:rFonts w:asciiTheme="minorHAnsi" w:hAnsiTheme="minorHAnsi"/>
          <w:lang w:val="mk-MK"/>
        </w:rPr>
        <w:t>четвртиот</w:t>
      </w:r>
      <w:r w:rsidR="009B65A0" w:rsidRPr="002968EC">
        <w:rPr>
          <w:rFonts w:asciiTheme="minorHAnsi" w:hAnsiTheme="minorHAnsi"/>
          <w:lang w:val="mk-MK"/>
        </w:rPr>
        <w:t xml:space="preserve"> </w:t>
      </w:r>
      <w:r w:rsidR="002B341F" w:rsidRPr="002968EC">
        <w:rPr>
          <w:rFonts w:asciiTheme="minorHAnsi" w:hAnsiTheme="minorHAnsi"/>
          <w:lang w:val="mk-MK"/>
        </w:rPr>
        <w:t>квартал во период</w:t>
      </w:r>
      <w:r w:rsidR="0072746E" w:rsidRPr="002968EC">
        <w:rPr>
          <w:rFonts w:asciiTheme="minorHAnsi" w:hAnsiTheme="minorHAnsi"/>
          <w:lang w:val="mk-MK"/>
        </w:rPr>
        <w:t xml:space="preserve"> </w:t>
      </w:r>
      <w:r w:rsidR="0017503D" w:rsidRPr="002968EC">
        <w:rPr>
          <w:rFonts w:asciiTheme="minorHAnsi" w:hAnsiTheme="minorHAnsi"/>
          <w:lang w:val="mk-MK"/>
        </w:rPr>
        <w:t xml:space="preserve"> од 20</w:t>
      </w:r>
      <w:r w:rsidR="003B7497" w:rsidRPr="002968EC">
        <w:rPr>
          <w:rFonts w:asciiTheme="minorHAnsi" w:hAnsiTheme="minorHAnsi"/>
          <w:lang w:val="mk-MK"/>
        </w:rPr>
        <w:t>12</w:t>
      </w:r>
      <w:r w:rsidR="0017503D" w:rsidRPr="002968EC">
        <w:rPr>
          <w:rFonts w:asciiTheme="minorHAnsi" w:hAnsiTheme="minorHAnsi"/>
          <w:lang w:val="mk-MK"/>
        </w:rPr>
        <w:t xml:space="preserve"> </w:t>
      </w:r>
      <w:r w:rsidR="002B341F" w:rsidRPr="002968EC">
        <w:rPr>
          <w:rFonts w:asciiTheme="minorHAnsi" w:hAnsiTheme="minorHAnsi"/>
          <w:lang w:val="mk-MK"/>
        </w:rPr>
        <w:t xml:space="preserve"> до 201</w:t>
      </w:r>
      <w:r w:rsidR="003B7497" w:rsidRPr="002968EC">
        <w:rPr>
          <w:rFonts w:asciiTheme="minorHAnsi" w:hAnsiTheme="minorHAnsi"/>
          <w:lang w:val="mk-MK"/>
        </w:rPr>
        <w:t>5</w:t>
      </w:r>
      <w:r w:rsidR="0024305E">
        <w:rPr>
          <w:rFonts w:asciiTheme="minorHAnsi" w:hAnsiTheme="minorHAnsi"/>
        </w:rPr>
        <w:t xml:space="preserve"> </w:t>
      </w:r>
      <w:r w:rsidRPr="002968EC">
        <w:rPr>
          <w:rFonts w:asciiTheme="minorHAnsi" w:hAnsiTheme="minorHAnsi"/>
          <w:lang w:val="mk-MK"/>
        </w:rPr>
        <w:t xml:space="preserve">година. </w:t>
      </w:r>
    </w:p>
    <w:p w:rsidR="003622EE" w:rsidRPr="003622EE" w:rsidRDefault="003622EE" w:rsidP="00781AEE">
      <w:pPr>
        <w:rPr>
          <w:rFonts w:asciiTheme="minorHAnsi" w:hAnsiTheme="minorHAnsi"/>
          <w:lang w:val="mk-MK"/>
        </w:rPr>
      </w:pPr>
    </w:p>
    <w:p w:rsidR="0024305E" w:rsidRPr="0024305E" w:rsidRDefault="0024305E" w:rsidP="00781AEE">
      <w:pPr>
        <w:rPr>
          <w:rFonts w:asciiTheme="minorHAnsi" w:hAnsiTheme="minorHAnsi"/>
        </w:rPr>
      </w:pPr>
    </w:p>
    <w:p w:rsidR="005A7EDF" w:rsidRDefault="00E0707D" w:rsidP="00781AEE">
      <w:pPr>
        <w:rPr>
          <w:rFonts w:asciiTheme="minorHAnsi" w:hAnsiTheme="minorHAnsi"/>
          <w:noProof/>
          <w:color w:val="FF0000"/>
          <w:lang w:val="mk-MK"/>
        </w:rPr>
      </w:pPr>
      <w:r>
        <w:rPr>
          <w:rFonts w:asciiTheme="minorHAnsi" w:hAnsiTheme="minorHAnsi"/>
          <w:noProof/>
          <w:color w:val="FF0000"/>
        </w:rPr>
        <w:drawing>
          <wp:inline distT="0" distB="0" distL="0" distR="0">
            <wp:extent cx="5686425" cy="4127500"/>
            <wp:effectExtent l="19050" t="0" r="9525" b="635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7C60" w:rsidRPr="000D5333" w:rsidRDefault="003E409F" w:rsidP="000D5333">
      <w:pPr>
        <w:pStyle w:val="Caption"/>
      </w:pPr>
      <w:bookmarkStart w:id="8" w:name="_Toc461546194"/>
      <w:r w:rsidRPr="000D5333">
        <w:t xml:space="preserve">Графикон </w:t>
      </w:r>
      <w:r w:rsidR="00EF29D5" w:rsidRPr="000D5333">
        <w:fldChar w:fldCharType="begin"/>
      </w:r>
      <w:r w:rsidRPr="000D5333">
        <w:instrText xml:space="preserve"> SEQ Графикон \* ARABIC </w:instrText>
      </w:r>
      <w:r w:rsidR="00EF29D5" w:rsidRPr="000D5333">
        <w:fldChar w:fldCharType="separate"/>
      </w:r>
      <w:r w:rsidR="00870C45">
        <w:rPr>
          <w:noProof/>
        </w:rPr>
        <w:t>1</w:t>
      </w:r>
      <w:r w:rsidR="00EF29D5" w:rsidRPr="000D5333">
        <w:fldChar w:fldCharType="end"/>
      </w:r>
      <w:r w:rsidRPr="000D5333">
        <w:t xml:space="preserve"> Движење на пазарот според број на фиксни линии (пенетрација)</w:t>
      </w:r>
      <w:bookmarkEnd w:id="8"/>
    </w:p>
    <w:p w:rsidR="00B90B56" w:rsidRDefault="00B90B56" w:rsidP="001508FA">
      <w:pPr>
        <w:rPr>
          <w:rFonts w:asciiTheme="minorHAnsi" w:hAnsiTheme="minorHAnsi"/>
          <w:lang w:val="mk-MK"/>
        </w:rPr>
      </w:pPr>
      <w:r w:rsidRPr="002968EC">
        <w:rPr>
          <w:rFonts w:asciiTheme="minorHAnsi" w:hAnsiTheme="minorHAnsi"/>
          <w:lang w:val="mk-MK"/>
        </w:rPr>
        <w:t xml:space="preserve">Во текот на </w:t>
      </w:r>
      <w:r w:rsidR="00E47941">
        <w:rPr>
          <w:rFonts w:asciiTheme="minorHAnsi" w:hAnsiTheme="minorHAnsi"/>
          <w:lang w:val="mk-MK"/>
        </w:rPr>
        <w:t>временскиот</w:t>
      </w:r>
      <w:r w:rsidRPr="002968EC">
        <w:rPr>
          <w:rFonts w:asciiTheme="minorHAnsi" w:hAnsiTheme="minorHAnsi"/>
          <w:lang w:val="mk-MK"/>
        </w:rPr>
        <w:t xml:space="preserve"> период</w:t>
      </w:r>
      <w:r w:rsidR="00E47941">
        <w:rPr>
          <w:rFonts w:asciiTheme="minorHAnsi" w:hAnsiTheme="minorHAnsi"/>
          <w:lang w:val="mk-MK"/>
        </w:rPr>
        <w:t xml:space="preserve"> претставен на графиконот</w:t>
      </w:r>
      <w:r w:rsidRPr="002968EC">
        <w:rPr>
          <w:rFonts w:asciiTheme="minorHAnsi" w:hAnsiTheme="minorHAnsi"/>
          <w:lang w:val="mk-MK"/>
        </w:rPr>
        <w:t xml:space="preserve"> може да се забележи дека вредноста на индикаторот број на фиксни линии според популација 100</w:t>
      </w:r>
      <w:r w:rsidR="00E47941">
        <w:rPr>
          <w:rFonts w:asciiTheme="minorHAnsi" w:hAnsiTheme="minorHAnsi"/>
          <w:lang w:val="mk-MK"/>
        </w:rPr>
        <w:t xml:space="preserve"> од година во година опаѓа поточно</w:t>
      </w:r>
      <w:r w:rsidRPr="002968EC">
        <w:rPr>
          <w:rFonts w:asciiTheme="minorHAnsi" w:hAnsiTheme="minorHAnsi"/>
          <w:lang w:val="mk-MK"/>
        </w:rPr>
        <w:t xml:space="preserve">, </w:t>
      </w:r>
      <w:r w:rsidR="005A07B0" w:rsidRPr="002968EC">
        <w:rPr>
          <w:rFonts w:asciiTheme="minorHAnsi" w:hAnsiTheme="minorHAnsi"/>
          <w:lang w:val="mk-MK"/>
        </w:rPr>
        <w:t>во 20</w:t>
      </w:r>
      <w:r w:rsidR="003B7497" w:rsidRPr="002968EC">
        <w:rPr>
          <w:rFonts w:asciiTheme="minorHAnsi" w:hAnsiTheme="minorHAnsi"/>
          <w:lang w:val="mk-MK"/>
        </w:rPr>
        <w:t>12</w:t>
      </w:r>
      <w:r w:rsidR="005A07B0" w:rsidRPr="002968EC">
        <w:rPr>
          <w:rFonts w:asciiTheme="minorHAnsi" w:hAnsiTheme="minorHAnsi"/>
          <w:lang w:val="mk-MK"/>
        </w:rPr>
        <w:t xml:space="preserve"> година изнесува </w:t>
      </w:r>
      <w:r w:rsidR="003B7497" w:rsidRPr="002968EC">
        <w:rPr>
          <w:rFonts w:asciiTheme="minorHAnsi" w:hAnsiTheme="minorHAnsi"/>
          <w:lang w:val="mk-MK"/>
        </w:rPr>
        <w:t>19.82</w:t>
      </w:r>
      <w:r w:rsidR="003622EE">
        <w:rPr>
          <w:rFonts w:asciiTheme="minorHAnsi" w:hAnsiTheme="minorHAnsi"/>
          <w:lang w:val="mk-MK"/>
        </w:rPr>
        <w:t>,</w:t>
      </w:r>
      <w:r w:rsidR="00E1474F" w:rsidRPr="002968EC">
        <w:rPr>
          <w:rFonts w:asciiTheme="minorHAnsi" w:hAnsiTheme="minorHAnsi"/>
          <w:lang w:val="mk-MK"/>
        </w:rPr>
        <w:t xml:space="preserve"> </w:t>
      </w:r>
      <w:r w:rsidR="00CC7096" w:rsidRPr="002968EC">
        <w:rPr>
          <w:rFonts w:asciiTheme="minorHAnsi" w:hAnsiTheme="minorHAnsi"/>
          <w:lang w:val="mk-MK"/>
        </w:rPr>
        <w:t>во 20</w:t>
      </w:r>
      <w:r w:rsidR="003B7497" w:rsidRPr="002968EC">
        <w:rPr>
          <w:rFonts w:asciiTheme="minorHAnsi" w:hAnsiTheme="minorHAnsi"/>
          <w:lang w:val="mk-MK"/>
        </w:rPr>
        <w:t>13</w:t>
      </w:r>
      <w:r w:rsidR="00CC7096" w:rsidRPr="002968EC">
        <w:rPr>
          <w:rFonts w:asciiTheme="minorHAnsi" w:hAnsiTheme="minorHAnsi"/>
          <w:lang w:val="mk-MK"/>
        </w:rPr>
        <w:t xml:space="preserve"> </w:t>
      </w:r>
      <w:r w:rsidR="00E47941">
        <w:rPr>
          <w:rFonts w:asciiTheme="minorHAnsi" w:hAnsiTheme="minorHAnsi"/>
          <w:lang w:val="mk-MK"/>
        </w:rPr>
        <w:t>година</w:t>
      </w:r>
      <w:r w:rsidR="00CC7096" w:rsidRPr="002968EC">
        <w:rPr>
          <w:rFonts w:asciiTheme="minorHAnsi" w:hAnsiTheme="minorHAnsi"/>
          <w:lang w:val="mk-MK"/>
        </w:rPr>
        <w:t xml:space="preserve"> изнесува </w:t>
      </w:r>
      <w:r w:rsidR="003B7497" w:rsidRPr="002968EC">
        <w:rPr>
          <w:rFonts w:asciiTheme="minorHAnsi" w:hAnsiTheme="minorHAnsi"/>
          <w:lang w:val="mk-MK"/>
        </w:rPr>
        <w:t>19.22</w:t>
      </w:r>
      <w:r w:rsidR="00CC7096" w:rsidRPr="002968EC">
        <w:rPr>
          <w:rFonts w:asciiTheme="minorHAnsi" w:hAnsiTheme="minorHAnsi"/>
        </w:rPr>
        <w:t>;</w:t>
      </w:r>
      <w:r w:rsidR="00CC7096" w:rsidRPr="002968EC">
        <w:rPr>
          <w:rFonts w:asciiTheme="minorHAnsi" w:hAnsiTheme="minorHAnsi"/>
          <w:lang w:val="mk-MK"/>
        </w:rPr>
        <w:t xml:space="preserve"> </w:t>
      </w:r>
      <w:r w:rsidR="00E02A98" w:rsidRPr="002968EC">
        <w:rPr>
          <w:rFonts w:asciiTheme="minorHAnsi" w:hAnsiTheme="minorHAnsi"/>
          <w:lang w:val="mk-MK"/>
        </w:rPr>
        <w:t>во 201</w:t>
      </w:r>
      <w:r w:rsidR="003B7497" w:rsidRPr="002968EC">
        <w:rPr>
          <w:rFonts w:asciiTheme="minorHAnsi" w:hAnsiTheme="minorHAnsi"/>
          <w:lang w:val="mk-MK"/>
        </w:rPr>
        <w:t>4</w:t>
      </w:r>
      <w:r w:rsidR="00E02A98" w:rsidRPr="002968EC">
        <w:rPr>
          <w:rFonts w:asciiTheme="minorHAnsi" w:hAnsiTheme="minorHAnsi"/>
          <w:lang w:val="mk-MK"/>
        </w:rPr>
        <w:t xml:space="preserve"> се </w:t>
      </w:r>
      <w:r w:rsidR="003B7497" w:rsidRPr="002968EC">
        <w:rPr>
          <w:rFonts w:asciiTheme="minorHAnsi" w:hAnsiTheme="minorHAnsi"/>
          <w:lang w:val="mk-MK"/>
        </w:rPr>
        <w:t>намалува</w:t>
      </w:r>
      <w:r w:rsidR="00E02A98" w:rsidRPr="002968EC">
        <w:rPr>
          <w:rFonts w:asciiTheme="minorHAnsi" w:hAnsiTheme="minorHAnsi"/>
          <w:lang w:val="mk-MK"/>
        </w:rPr>
        <w:t xml:space="preserve"> на </w:t>
      </w:r>
      <w:r w:rsidR="003B7497" w:rsidRPr="002968EC">
        <w:rPr>
          <w:rFonts w:asciiTheme="minorHAnsi" w:hAnsiTheme="minorHAnsi"/>
          <w:lang w:val="mk-MK"/>
        </w:rPr>
        <w:t>18.59</w:t>
      </w:r>
      <w:r w:rsidR="005A07B0" w:rsidRPr="002968EC">
        <w:rPr>
          <w:rFonts w:asciiTheme="minorHAnsi" w:hAnsiTheme="minorHAnsi"/>
          <w:lang w:val="mk-MK"/>
        </w:rPr>
        <w:t xml:space="preserve"> </w:t>
      </w:r>
      <w:r w:rsidR="003B7497" w:rsidRPr="002968EC">
        <w:rPr>
          <w:rFonts w:asciiTheme="minorHAnsi" w:hAnsiTheme="minorHAnsi"/>
          <w:lang w:val="mk-MK"/>
        </w:rPr>
        <w:t>додека</w:t>
      </w:r>
      <w:r w:rsidR="0068520F" w:rsidRPr="002968EC">
        <w:rPr>
          <w:rFonts w:asciiTheme="minorHAnsi" w:hAnsiTheme="minorHAnsi"/>
          <w:lang w:val="mk-MK"/>
        </w:rPr>
        <w:t xml:space="preserve"> во </w:t>
      </w:r>
      <w:r w:rsidR="00E02A98" w:rsidRPr="002968EC">
        <w:rPr>
          <w:rFonts w:asciiTheme="minorHAnsi" w:hAnsiTheme="minorHAnsi"/>
          <w:lang w:val="mk-MK"/>
        </w:rPr>
        <w:t xml:space="preserve">четвртиот </w:t>
      </w:r>
      <w:r w:rsidR="0068520F" w:rsidRPr="002968EC">
        <w:rPr>
          <w:rFonts w:asciiTheme="minorHAnsi" w:hAnsiTheme="minorHAnsi"/>
          <w:lang w:val="mk-MK"/>
        </w:rPr>
        <w:t>квартал од 201</w:t>
      </w:r>
      <w:r w:rsidR="003B7497" w:rsidRPr="002968EC">
        <w:rPr>
          <w:rFonts w:asciiTheme="minorHAnsi" w:hAnsiTheme="minorHAnsi"/>
          <w:lang w:val="mk-MK"/>
        </w:rPr>
        <w:t>5</w:t>
      </w:r>
      <w:r w:rsidR="0068520F" w:rsidRPr="002968EC">
        <w:rPr>
          <w:rFonts w:asciiTheme="minorHAnsi" w:hAnsiTheme="minorHAnsi"/>
          <w:lang w:val="mk-MK"/>
        </w:rPr>
        <w:t xml:space="preserve"> година</w:t>
      </w:r>
      <w:r w:rsidR="00D9089E" w:rsidRPr="002968EC">
        <w:rPr>
          <w:rFonts w:asciiTheme="minorHAnsi" w:hAnsiTheme="minorHAnsi"/>
          <w:lang w:val="mk-MK"/>
        </w:rPr>
        <w:t xml:space="preserve"> индикаторот</w:t>
      </w:r>
      <w:r w:rsidR="00E47941">
        <w:rPr>
          <w:rFonts w:asciiTheme="minorHAnsi" w:hAnsiTheme="minorHAnsi"/>
          <w:lang w:val="mk-MK"/>
        </w:rPr>
        <w:t xml:space="preserve"> број на фискни линии според популација 100</w:t>
      </w:r>
      <w:r w:rsidR="0068520F" w:rsidRPr="002968EC">
        <w:rPr>
          <w:rFonts w:asciiTheme="minorHAnsi" w:hAnsiTheme="minorHAnsi"/>
          <w:lang w:val="mk-MK"/>
        </w:rPr>
        <w:t xml:space="preserve"> изнесува </w:t>
      </w:r>
      <w:r w:rsidR="003B7497" w:rsidRPr="002968EC">
        <w:rPr>
          <w:rFonts w:asciiTheme="minorHAnsi" w:hAnsiTheme="minorHAnsi"/>
          <w:lang w:val="mk-MK"/>
        </w:rPr>
        <w:t>17.93</w:t>
      </w:r>
      <w:r w:rsidR="0068520F" w:rsidRPr="002968EC">
        <w:rPr>
          <w:rFonts w:asciiTheme="minorHAnsi" w:hAnsiTheme="minorHAnsi"/>
          <w:lang w:val="mk-MK"/>
        </w:rPr>
        <w:t xml:space="preserve"> </w:t>
      </w:r>
      <w:r w:rsidRPr="002968EC">
        <w:rPr>
          <w:rFonts w:asciiTheme="minorHAnsi" w:hAnsiTheme="minorHAnsi"/>
          <w:lang w:val="mk-MK"/>
        </w:rPr>
        <w:t>.</w:t>
      </w:r>
    </w:p>
    <w:p w:rsidR="00904CAB" w:rsidRPr="002968EC" w:rsidRDefault="00904CAB" w:rsidP="001508FA">
      <w:pPr>
        <w:rPr>
          <w:rFonts w:asciiTheme="minorHAnsi" w:hAnsiTheme="minorHAnsi"/>
          <w:lang w:val="mk-MK"/>
        </w:rPr>
      </w:pPr>
    </w:p>
    <w:p w:rsidR="00454A81" w:rsidRPr="002968EC" w:rsidRDefault="006F270C" w:rsidP="00781AEE">
      <w:pPr>
        <w:rPr>
          <w:rFonts w:asciiTheme="minorHAnsi" w:hAnsiTheme="minorHAnsi"/>
        </w:rPr>
      </w:pPr>
      <w:r w:rsidRPr="002968EC">
        <w:rPr>
          <w:rFonts w:asciiTheme="minorHAnsi" w:hAnsiTheme="minorHAnsi"/>
          <w:lang w:val="mk-MK"/>
        </w:rPr>
        <w:lastRenderedPageBreak/>
        <w:t>Во графиконот бр.</w:t>
      </w:r>
      <w:r w:rsidR="00B25CD2" w:rsidRPr="002968EC">
        <w:rPr>
          <w:rFonts w:asciiTheme="minorHAnsi" w:hAnsiTheme="minorHAnsi"/>
          <w:lang w:val="mk-MK"/>
        </w:rPr>
        <w:t>2</w:t>
      </w:r>
      <w:r w:rsidRPr="002968EC">
        <w:rPr>
          <w:rFonts w:asciiTheme="minorHAnsi" w:hAnsiTheme="minorHAnsi"/>
          <w:lang w:val="mk-MK"/>
        </w:rPr>
        <w:t xml:space="preserve"> е прикажан уделот на алтернативните оператори </w:t>
      </w:r>
      <w:r w:rsidR="00B76341" w:rsidRPr="002968EC">
        <w:rPr>
          <w:rFonts w:asciiTheme="minorHAnsi" w:hAnsiTheme="minorHAnsi"/>
          <w:lang w:val="mk-MK"/>
        </w:rPr>
        <w:t>и операторот</w:t>
      </w:r>
      <w:r w:rsidR="00904CAB">
        <w:rPr>
          <w:rFonts w:asciiTheme="minorHAnsi" w:hAnsiTheme="minorHAnsi"/>
          <w:lang w:val="mk-MK"/>
        </w:rPr>
        <w:t xml:space="preserve"> кој со претходната анализа беше прогласен за оператор</w:t>
      </w:r>
      <w:r w:rsidR="00B76341" w:rsidRPr="002968EC">
        <w:rPr>
          <w:rFonts w:asciiTheme="minorHAnsi" w:hAnsiTheme="minorHAnsi"/>
          <w:lang w:val="mk-MK"/>
        </w:rPr>
        <w:t xml:space="preserve"> со значителна пазарна моќ на овој пазар </w:t>
      </w:r>
      <w:r w:rsidR="004C38B8" w:rsidRPr="002968EC">
        <w:rPr>
          <w:rFonts w:asciiTheme="minorHAnsi" w:hAnsiTheme="minorHAnsi"/>
          <w:lang w:val="mk-MK"/>
        </w:rPr>
        <w:t xml:space="preserve">Македонски Телеком АД </w:t>
      </w:r>
      <w:r w:rsidR="00B76341" w:rsidRPr="002968EC">
        <w:rPr>
          <w:rFonts w:asciiTheme="minorHAnsi" w:hAnsiTheme="minorHAnsi"/>
          <w:lang w:val="mk-MK"/>
        </w:rPr>
        <w:t xml:space="preserve">(во понатамошниот текст МКТ) </w:t>
      </w:r>
      <w:r w:rsidRPr="002968EC">
        <w:rPr>
          <w:rFonts w:asciiTheme="minorHAnsi" w:hAnsiTheme="minorHAnsi"/>
          <w:lang w:val="mk-MK"/>
        </w:rPr>
        <w:t xml:space="preserve">според фиксни линии и приходи од обезбедување на </w:t>
      </w:r>
      <w:r w:rsidR="00BF3B01" w:rsidRPr="002968EC">
        <w:rPr>
          <w:rFonts w:asciiTheme="minorHAnsi" w:hAnsiTheme="minorHAnsi" w:cs="Calibri"/>
          <w:lang w:val="mk-MK"/>
        </w:rPr>
        <w:t xml:space="preserve">пристап до </w:t>
      </w:r>
      <w:r w:rsidR="008A38F9" w:rsidRPr="002968EC">
        <w:rPr>
          <w:rFonts w:asciiTheme="minorHAnsi" w:hAnsiTheme="minorHAnsi" w:cs="Calibri"/>
          <w:lang w:val="mk-MK"/>
        </w:rPr>
        <w:t>јавна електронска комуникациска мрежа на фиксна локација</w:t>
      </w:r>
      <w:r w:rsidR="00BF3B01" w:rsidRPr="002968EC">
        <w:rPr>
          <w:rFonts w:asciiTheme="minorHAnsi" w:hAnsiTheme="minorHAnsi" w:cs="Calibri"/>
          <w:lang w:val="mk-MK"/>
        </w:rPr>
        <w:t xml:space="preserve"> </w:t>
      </w:r>
      <w:r w:rsidRPr="002968EC">
        <w:rPr>
          <w:rFonts w:asciiTheme="minorHAnsi" w:hAnsiTheme="minorHAnsi"/>
          <w:lang w:val="mk-MK"/>
        </w:rPr>
        <w:t xml:space="preserve">и јавно достапни телефонски услуги </w:t>
      </w:r>
      <w:r w:rsidR="00BF3B01" w:rsidRPr="002968EC">
        <w:rPr>
          <w:rFonts w:asciiTheme="minorHAnsi" w:hAnsiTheme="minorHAnsi"/>
          <w:lang w:val="mk-MK"/>
        </w:rPr>
        <w:t>на фиксна локација</w:t>
      </w:r>
      <w:r w:rsidRPr="002968EC">
        <w:rPr>
          <w:rFonts w:asciiTheme="minorHAnsi" w:hAnsiTheme="minorHAnsi"/>
          <w:lang w:val="mk-MK"/>
        </w:rPr>
        <w:t xml:space="preserve"> по квартали </w:t>
      </w:r>
      <w:r w:rsidR="00C5423B" w:rsidRPr="002968EC">
        <w:rPr>
          <w:rFonts w:asciiTheme="minorHAnsi" w:hAnsiTheme="minorHAnsi"/>
          <w:lang w:val="mk-MK"/>
        </w:rPr>
        <w:t xml:space="preserve">во периодот </w:t>
      </w:r>
      <w:r w:rsidR="00904CAB">
        <w:rPr>
          <w:rFonts w:asciiTheme="minorHAnsi" w:hAnsiTheme="minorHAnsi"/>
          <w:lang w:val="mk-MK"/>
        </w:rPr>
        <w:t xml:space="preserve">од </w:t>
      </w:r>
      <w:r w:rsidR="00C5423B" w:rsidRPr="002968EC">
        <w:rPr>
          <w:rFonts w:asciiTheme="minorHAnsi" w:hAnsiTheme="minorHAnsi"/>
          <w:lang w:val="mk-MK"/>
        </w:rPr>
        <w:t>20</w:t>
      </w:r>
      <w:r w:rsidR="009D3F64" w:rsidRPr="002968EC">
        <w:rPr>
          <w:rFonts w:asciiTheme="minorHAnsi" w:hAnsiTheme="minorHAnsi"/>
        </w:rPr>
        <w:t>12</w:t>
      </w:r>
      <w:r w:rsidR="00904CAB">
        <w:rPr>
          <w:rFonts w:asciiTheme="minorHAnsi" w:hAnsiTheme="minorHAnsi"/>
          <w:lang w:val="mk-MK"/>
        </w:rPr>
        <w:t xml:space="preserve"> до</w:t>
      </w:r>
      <w:r w:rsidR="00C5423B" w:rsidRPr="002968EC">
        <w:rPr>
          <w:rFonts w:asciiTheme="minorHAnsi" w:hAnsiTheme="minorHAnsi"/>
          <w:lang w:val="mk-MK"/>
        </w:rPr>
        <w:t>201</w:t>
      </w:r>
      <w:r w:rsidR="009D3F64" w:rsidRPr="002968EC">
        <w:rPr>
          <w:rFonts w:asciiTheme="minorHAnsi" w:hAnsiTheme="minorHAnsi"/>
        </w:rPr>
        <w:t>5</w:t>
      </w:r>
      <w:r w:rsidR="00C5423B" w:rsidRPr="002968EC">
        <w:rPr>
          <w:rFonts w:asciiTheme="minorHAnsi" w:hAnsiTheme="minorHAnsi"/>
          <w:lang w:val="mk-MK"/>
        </w:rPr>
        <w:t xml:space="preserve"> година</w:t>
      </w:r>
      <w:r w:rsidRPr="002968EC">
        <w:rPr>
          <w:rFonts w:asciiTheme="minorHAnsi" w:hAnsiTheme="minorHAnsi"/>
          <w:lang w:val="mk-MK"/>
        </w:rPr>
        <w:t xml:space="preserve">. </w:t>
      </w:r>
    </w:p>
    <w:p w:rsidR="006F270C" w:rsidRDefault="00E0707D" w:rsidP="00781AEE">
      <w:pPr>
        <w:rPr>
          <w:rFonts w:asciiTheme="minorHAnsi" w:hAnsiTheme="minorHAnsi"/>
          <w:noProof/>
          <w:color w:val="FF0000"/>
          <w:lang w:val="mk-MK"/>
        </w:rPr>
      </w:pPr>
      <w:r>
        <w:rPr>
          <w:rFonts w:asciiTheme="minorHAnsi" w:hAnsiTheme="minorHAnsi"/>
          <w:noProof/>
          <w:color w:val="FF0000"/>
        </w:rPr>
        <w:drawing>
          <wp:inline distT="0" distB="0" distL="0" distR="0">
            <wp:extent cx="5327650" cy="5715000"/>
            <wp:effectExtent l="0" t="0" r="0" b="0"/>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E409F" w:rsidRPr="000D5333" w:rsidRDefault="003E409F" w:rsidP="000D5333">
      <w:pPr>
        <w:pStyle w:val="Caption"/>
      </w:pPr>
      <w:bookmarkStart w:id="9" w:name="_Toc461546195"/>
      <w:r w:rsidRPr="000D5333">
        <w:t xml:space="preserve">Графикон </w:t>
      </w:r>
      <w:r w:rsidR="00EF29D5" w:rsidRPr="000D5333">
        <w:fldChar w:fldCharType="begin"/>
      </w:r>
      <w:r w:rsidRPr="000D5333">
        <w:instrText xml:space="preserve"> SEQ Графикон \* ARABIC </w:instrText>
      </w:r>
      <w:r w:rsidR="00EF29D5" w:rsidRPr="000D5333">
        <w:fldChar w:fldCharType="separate"/>
      </w:r>
      <w:r w:rsidR="00870C45">
        <w:rPr>
          <w:noProof/>
        </w:rPr>
        <w:t>2</w:t>
      </w:r>
      <w:r w:rsidR="00EF29D5" w:rsidRPr="000D5333">
        <w:fldChar w:fldCharType="end"/>
      </w:r>
      <w:r w:rsidRPr="000D5333">
        <w:t xml:space="preserve"> Удел на АО и МКТ според број на фиксни линии за пристап и приходи 2012-2015</w:t>
      </w:r>
      <w:bookmarkEnd w:id="9"/>
    </w:p>
    <w:p w:rsidR="00E80D69" w:rsidRPr="002968EC" w:rsidRDefault="00B90B56" w:rsidP="001508FA">
      <w:pPr>
        <w:rPr>
          <w:rFonts w:asciiTheme="minorHAnsi" w:hAnsiTheme="minorHAnsi"/>
          <w:lang w:val="mk-MK"/>
        </w:rPr>
      </w:pPr>
      <w:r w:rsidRPr="002968EC">
        <w:rPr>
          <w:rFonts w:asciiTheme="minorHAnsi" w:hAnsiTheme="minorHAnsi"/>
          <w:lang w:val="mk-MK"/>
        </w:rPr>
        <w:t>Почнувајќи од вториот квартал во 2008 година на пазарот влегуваат најголем дел од алтернативните оператори кои со текот на времето го зголемуваат своето учество (според приходи и сообраќај)  на пазарот на фиксна телефонија, што не е исклучок и за 201</w:t>
      </w:r>
      <w:r w:rsidR="009D3F64" w:rsidRPr="002968EC">
        <w:rPr>
          <w:rFonts w:asciiTheme="minorHAnsi" w:hAnsiTheme="minorHAnsi"/>
          <w:lang w:val="mk-MK"/>
        </w:rPr>
        <w:t>5</w:t>
      </w:r>
      <w:r w:rsidRPr="002968EC">
        <w:rPr>
          <w:rFonts w:asciiTheme="minorHAnsi" w:hAnsiTheme="minorHAnsi"/>
          <w:lang w:val="mk-MK"/>
        </w:rPr>
        <w:t xml:space="preserve"> година. Пазарниот удел на </w:t>
      </w:r>
      <w:r w:rsidR="00BF3B01" w:rsidRPr="002968EC">
        <w:rPr>
          <w:rFonts w:asciiTheme="minorHAnsi" w:hAnsiTheme="minorHAnsi"/>
          <w:lang w:val="mk-MK"/>
        </w:rPr>
        <w:t>МКТ</w:t>
      </w:r>
      <w:r w:rsidRPr="002968EC">
        <w:rPr>
          <w:rFonts w:asciiTheme="minorHAnsi" w:hAnsiTheme="minorHAnsi"/>
          <w:lang w:val="mk-MK"/>
        </w:rPr>
        <w:t xml:space="preserve"> постојано опаѓа како што може да биде забележано од податоците во овој графикон. Така во периодот </w:t>
      </w:r>
      <w:r w:rsidR="00032CF5">
        <w:rPr>
          <w:rFonts w:asciiTheme="minorHAnsi" w:hAnsiTheme="minorHAnsi"/>
          <w:lang w:val="mk-MK"/>
        </w:rPr>
        <w:t>претставен во графиконот бр.2</w:t>
      </w:r>
      <w:r w:rsidR="009B65A0" w:rsidRPr="002968EC">
        <w:rPr>
          <w:rFonts w:asciiTheme="minorHAnsi" w:hAnsiTheme="minorHAnsi"/>
          <w:lang w:val="mk-MK"/>
        </w:rPr>
        <w:t xml:space="preserve"> </w:t>
      </w:r>
      <w:r w:rsidRPr="002968EC">
        <w:rPr>
          <w:rFonts w:asciiTheme="minorHAnsi" w:hAnsiTheme="minorHAnsi"/>
          <w:lang w:val="mk-MK"/>
        </w:rPr>
        <w:t xml:space="preserve">пазарниот удел на </w:t>
      </w:r>
      <w:r w:rsidR="00BF3B01" w:rsidRPr="002968EC">
        <w:rPr>
          <w:rFonts w:asciiTheme="minorHAnsi" w:hAnsiTheme="minorHAnsi"/>
          <w:lang w:val="mk-MK"/>
        </w:rPr>
        <w:t>МКТ</w:t>
      </w:r>
      <w:r w:rsidRPr="002968EC">
        <w:rPr>
          <w:rFonts w:asciiTheme="minorHAnsi" w:hAnsiTheme="minorHAnsi"/>
          <w:lang w:val="mk-MK"/>
        </w:rPr>
        <w:t xml:space="preserve"> според бројот на фиксни линии од </w:t>
      </w:r>
      <w:r w:rsidR="009D3F64" w:rsidRPr="002968EC">
        <w:rPr>
          <w:rFonts w:asciiTheme="minorHAnsi" w:hAnsiTheme="minorHAnsi"/>
          <w:lang w:val="mk-MK"/>
        </w:rPr>
        <w:t>65.54</w:t>
      </w:r>
      <w:r w:rsidRPr="002968EC">
        <w:rPr>
          <w:rFonts w:asciiTheme="minorHAnsi" w:hAnsiTheme="minorHAnsi"/>
          <w:lang w:val="mk-MK"/>
        </w:rPr>
        <w:t xml:space="preserve">% </w:t>
      </w:r>
      <w:r w:rsidR="00E43854" w:rsidRPr="002968EC">
        <w:rPr>
          <w:rFonts w:asciiTheme="minorHAnsi" w:hAnsiTheme="minorHAnsi"/>
          <w:lang w:val="mk-MK"/>
        </w:rPr>
        <w:t xml:space="preserve">во </w:t>
      </w:r>
      <w:r w:rsidRPr="002968EC">
        <w:rPr>
          <w:rFonts w:asciiTheme="minorHAnsi" w:hAnsiTheme="minorHAnsi"/>
          <w:lang w:val="mk-MK"/>
        </w:rPr>
        <w:t>20</w:t>
      </w:r>
      <w:r w:rsidR="009D3F64" w:rsidRPr="002968EC">
        <w:rPr>
          <w:rFonts w:asciiTheme="minorHAnsi" w:hAnsiTheme="minorHAnsi"/>
          <w:lang w:val="mk-MK"/>
        </w:rPr>
        <w:t>12</w:t>
      </w:r>
      <w:r w:rsidRPr="002968EC">
        <w:rPr>
          <w:rFonts w:asciiTheme="minorHAnsi" w:hAnsiTheme="minorHAnsi"/>
          <w:lang w:val="mk-MK"/>
        </w:rPr>
        <w:t xml:space="preserve"> год </w:t>
      </w:r>
      <w:r w:rsidR="00E43854" w:rsidRPr="002968EC">
        <w:rPr>
          <w:rFonts w:asciiTheme="minorHAnsi" w:hAnsiTheme="minorHAnsi"/>
          <w:lang w:val="mk-MK"/>
        </w:rPr>
        <w:t xml:space="preserve">опаднал </w:t>
      </w:r>
      <w:r w:rsidRPr="002968EC">
        <w:rPr>
          <w:rFonts w:asciiTheme="minorHAnsi" w:hAnsiTheme="minorHAnsi"/>
          <w:lang w:val="mk-MK"/>
        </w:rPr>
        <w:t xml:space="preserve">до </w:t>
      </w:r>
      <w:r w:rsidR="009D3F64" w:rsidRPr="002968EC">
        <w:rPr>
          <w:rFonts w:asciiTheme="minorHAnsi" w:hAnsiTheme="minorHAnsi"/>
          <w:lang w:val="mk-MK"/>
        </w:rPr>
        <w:t>60.59</w:t>
      </w:r>
      <w:r w:rsidRPr="002968EC">
        <w:rPr>
          <w:rFonts w:asciiTheme="minorHAnsi" w:hAnsiTheme="minorHAnsi"/>
          <w:lang w:val="mk-MK"/>
        </w:rPr>
        <w:t xml:space="preserve">% </w:t>
      </w:r>
      <w:r w:rsidR="00E43854" w:rsidRPr="002968EC">
        <w:rPr>
          <w:rFonts w:asciiTheme="minorHAnsi" w:hAnsiTheme="minorHAnsi"/>
          <w:lang w:val="mk-MK"/>
        </w:rPr>
        <w:t xml:space="preserve">во </w:t>
      </w:r>
      <w:r w:rsidRPr="002968EC">
        <w:rPr>
          <w:rFonts w:asciiTheme="minorHAnsi" w:hAnsiTheme="minorHAnsi"/>
          <w:lang w:val="mk-MK"/>
        </w:rPr>
        <w:t>201</w:t>
      </w:r>
      <w:r w:rsidR="009D3F64" w:rsidRPr="002968EC">
        <w:rPr>
          <w:rFonts w:asciiTheme="minorHAnsi" w:hAnsiTheme="minorHAnsi"/>
          <w:lang w:val="mk-MK"/>
        </w:rPr>
        <w:t>5</w:t>
      </w:r>
      <w:r w:rsidRPr="002968EC">
        <w:rPr>
          <w:rFonts w:asciiTheme="minorHAnsi" w:hAnsiTheme="minorHAnsi"/>
          <w:lang w:val="mk-MK"/>
        </w:rPr>
        <w:t xml:space="preserve"> год,. Истовремено од друга страна севкупниот пазарен удел според услугата </w:t>
      </w:r>
      <w:r w:rsidR="00BF3B01" w:rsidRPr="002968EC">
        <w:rPr>
          <w:rFonts w:asciiTheme="minorHAnsi" w:hAnsiTheme="minorHAnsi" w:cs="Calibri"/>
          <w:lang w:val="mk-MK"/>
        </w:rPr>
        <w:t xml:space="preserve">пристап до </w:t>
      </w:r>
      <w:r w:rsidR="008A38F9" w:rsidRPr="002968EC">
        <w:rPr>
          <w:rFonts w:asciiTheme="minorHAnsi" w:hAnsiTheme="minorHAnsi" w:cs="Calibri"/>
          <w:lang w:val="mk-MK"/>
        </w:rPr>
        <w:t xml:space="preserve">јавна електронска </w:t>
      </w:r>
      <w:r w:rsidR="008A38F9" w:rsidRPr="002968EC">
        <w:rPr>
          <w:rFonts w:asciiTheme="minorHAnsi" w:hAnsiTheme="minorHAnsi" w:cs="Calibri"/>
          <w:lang w:val="mk-MK"/>
        </w:rPr>
        <w:lastRenderedPageBreak/>
        <w:t>комуникациска мрежа на фиксна локација</w:t>
      </w:r>
      <w:r w:rsidR="00BF3B01" w:rsidRPr="002968EC">
        <w:rPr>
          <w:rFonts w:asciiTheme="minorHAnsi" w:hAnsiTheme="minorHAnsi" w:cs="Calibri"/>
          <w:lang w:val="mk-MK"/>
        </w:rPr>
        <w:t xml:space="preserve"> </w:t>
      </w:r>
      <w:r w:rsidRPr="002968EC">
        <w:rPr>
          <w:rFonts w:asciiTheme="minorHAnsi" w:hAnsiTheme="minorHAnsi"/>
          <w:lang w:val="mk-MK"/>
        </w:rPr>
        <w:t xml:space="preserve">на алтернативните оператори расте континуирано и тоа од </w:t>
      </w:r>
      <w:r w:rsidR="00545BD7" w:rsidRPr="002968EC">
        <w:rPr>
          <w:rFonts w:asciiTheme="minorHAnsi" w:hAnsiTheme="minorHAnsi"/>
          <w:lang w:val="mk-MK"/>
        </w:rPr>
        <w:t>34.46</w:t>
      </w:r>
      <w:r w:rsidRPr="002968EC">
        <w:rPr>
          <w:rFonts w:asciiTheme="minorHAnsi" w:hAnsiTheme="minorHAnsi"/>
          <w:lang w:val="mk-MK"/>
        </w:rPr>
        <w:t xml:space="preserve">% </w:t>
      </w:r>
      <w:r w:rsidR="00E43854" w:rsidRPr="002968EC">
        <w:rPr>
          <w:rFonts w:asciiTheme="minorHAnsi" w:hAnsiTheme="minorHAnsi"/>
          <w:lang w:val="mk-MK"/>
        </w:rPr>
        <w:t>во</w:t>
      </w:r>
      <w:r w:rsidRPr="002968EC">
        <w:rPr>
          <w:rFonts w:asciiTheme="minorHAnsi" w:hAnsiTheme="minorHAnsi"/>
          <w:lang w:val="mk-MK"/>
        </w:rPr>
        <w:t xml:space="preserve"> 20</w:t>
      </w:r>
      <w:r w:rsidR="00545BD7" w:rsidRPr="002968EC">
        <w:rPr>
          <w:rFonts w:asciiTheme="minorHAnsi" w:hAnsiTheme="minorHAnsi"/>
          <w:lang w:val="mk-MK"/>
        </w:rPr>
        <w:t>12</w:t>
      </w:r>
      <w:r w:rsidRPr="002968EC">
        <w:rPr>
          <w:rFonts w:asciiTheme="minorHAnsi" w:hAnsiTheme="minorHAnsi"/>
          <w:lang w:val="mk-MK"/>
        </w:rPr>
        <w:t xml:space="preserve"> до </w:t>
      </w:r>
      <w:r w:rsidR="00545BD7" w:rsidRPr="002968EC">
        <w:rPr>
          <w:rFonts w:asciiTheme="minorHAnsi" w:hAnsiTheme="minorHAnsi"/>
          <w:lang w:val="mk-MK"/>
        </w:rPr>
        <w:t>39.41</w:t>
      </w:r>
      <w:r w:rsidRPr="002968EC">
        <w:rPr>
          <w:rFonts w:asciiTheme="minorHAnsi" w:hAnsiTheme="minorHAnsi"/>
          <w:lang w:val="mk-MK"/>
        </w:rPr>
        <w:t xml:space="preserve">% </w:t>
      </w:r>
      <w:r w:rsidR="00E43854" w:rsidRPr="002968EC">
        <w:rPr>
          <w:rFonts w:asciiTheme="minorHAnsi" w:hAnsiTheme="minorHAnsi"/>
          <w:lang w:val="mk-MK"/>
        </w:rPr>
        <w:t>во</w:t>
      </w:r>
      <w:r w:rsidRPr="002968EC">
        <w:rPr>
          <w:rFonts w:asciiTheme="minorHAnsi" w:hAnsiTheme="minorHAnsi"/>
          <w:lang w:val="mk-MK"/>
        </w:rPr>
        <w:t xml:space="preserve"> 201</w:t>
      </w:r>
      <w:r w:rsidR="00545BD7" w:rsidRPr="002968EC">
        <w:rPr>
          <w:rFonts w:asciiTheme="minorHAnsi" w:hAnsiTheme="minorHAnsi"/>
          <w:lang w:val="mk-MK"/>
        </w:rPr>
        <w:t>5</w:t>
      </w:r>
      <w:r w:rsidRPr="002968EC">
        <w:rPr>
          <w:rFonts w:asciiTheme="minorHAnsi" w:hAnsiTheme="minorHAnsi"/>
          <w:lang w:val="mk-MK"/>
        </w:rPr>
        <w:t xml:space="preserve"> год. Приходите на пазарот за фиксна телефонија </w:t>
      </w:r>
      <w:r w:rsidR="00545BD7" w:rsidRPr="002968EC">
        <w:rPr>
          <w:rFonts w:asciiTheme="minorHAnsi" w:hAnsiTheme="minorHAnsi"/>
          <w:lang w:val="mk-MK"/>
        </w:rPr>
        <w:t>кои што во последните 2 години се во пораст кај СМП операторот на сметка на алтернативните оператори се должи на спојувањето на операторите Македонски Телеком и Т-Мобиле Македонија.</w:t>
      </w:r>
      <w:r w:rsidRPr="002968EC">
        <w:rPr>
          <w:rFonts w:asciiTheme="minorHAnsi" w:hAnsiTheme="minorHAnsi"/>
          <w:lang w:val="mk-MK"/>
        </w:rPr>
        <w:t>Во приходи се вклучени приходите од: почетно приклучување, месечниот надомест, реализираниот телефонски сообраќај и останати приходи (приходи од привремено исклучување, повторно вклучување, приходи од обезбедување дополнителни услуги поврзани со услугата пристап, дополнителни телекомуникациски инсталации и уреди, пренесени броеви, јавни говорници и друго).</w:t>
      </w:r>
      <w:r w:rsidR="00131A42" w:rsidRPr="002968EC">
        <w:rPr>
          <w:rFonts w:asciiTheme="minorHAnsi" w:hAnsiTheme="minorHAnsi"/>
          <w:lang w:val="mk-MK"/>
        </w:rPr>
        <w:t xml:space="preserve"> </w:t>
      </w:r>
    </w:p>
    <w:p w:rsidR="00B326F0" w:rsidRPr="002968EC" w:rsidRDefault="00B326F0" w:rsidP="001508FA">
      <w:pPr>
        <w:rPr>
          <w:rFonts w:asciiTheme="minorHAnsi" w:hAnsiTheme="minorHAnsi"/>
          <w:lang w:val="mk-MK"/>
        </w:rPr>
      </w:pPr>
      <w:r w:rsidRPr="002968EC">
        <w:rPr>
          <w:rFonts w:asciiTheme="minorHAnsi" w:hAnsiTheme="minorHAnsi"/>
          <w:lang w:val="mk-MK"/>
        </w:rPr>
        <w:t xml:space="preserve">Во Графиконот бр </w:t>
      </w:r>
      <w:r w:rsidR="00FB1FB2" w:rsidRPr="002968EC">
        <w:rPr>
          <w:rFonts w:asciiTheme="minorHAnsi" w:hAnsiTheme="minorHAnsi"/>
          <w:lang w:val="mk-MK"/>
        </w:rPr>
        <w:t>3</w:t>
      </w:r>
      <w:r w:rsidRPr="002968EC">
        <w:rPr>
          <w:rFonts w:asciiTheme="minorHAnsi" w:hAnsiTheme="minorHAnsi"/>
          <w:lang w:val="mk-MK"/>
        </w:rPr>
        <w:t xml:space="preserve"> е даден уделот на операторите според фиксни линии во 201</w:t>
      </w:r>
      <w:r w:rsidR="00545BD7" w:rsidRPr="002968EC">
        <w:rPr>
          <w:rFonts w:asciiTheme="minorHAnsi" w:hAnsiTheme="minorHAnsi"/>
          <w:lang w:val="mk-MK"/>
        </w:rPr>
        <w:t>5</w:t>
      </w:r>
      <w:r w:rsidRPr="002968EC">
        <w:rPr>
          <w:rFonts w:asciiTheme="minorHAnsi" w:hAnsiTheme="minorHAnsi"/>
          <w:lang w:val="mk-MK"/>
        </w:rPr>
        <w:t xml:space="preserve"> година. </w:t>
      </w:r>
      <w:r w:rsidR="00153EBC" w:rsidRPr="002968EC">
        <w:rPr>
          <w:rFonts w:asciiTheme="minorHAnsi" w:hAnsiTheme="minorHAnsi"/>
          <w:lang w:val="mk-MK"/>
        </w:rPr>
        <w:t xml:space="preserve">Учеството  на </w:t>
      </w:r>
      <w:r w:rsidR="00BF3B01" w:rsidRPr="002968EC">
        <w:rPr>
          <w:rFonts w:asciiTheme="minorHAnsi" w:hAnsiTheme="minorHAnsi"/>
          <w:lang w:val="mk-MK"/>
        </w:rPr>
        <w:t>МКТ</w:t>
      </w:r>
      <w:r w:rsidR="00153EBC" w:rsidRPr="002968EC">
        <w:rPr>
          <w:rFonts w:asciiTheme="minorHAnsi" w:hAnsiTheme="minorHAnsi"/>
          <w:lang w:val="mk-MK"/>
        </w:rPr>
        <w:t xml:space="preserve"> (СМП Операторот) в</w:t>
      </w:r>
      <w:r w:rsidRPr="002968EC">
        <w:rPr>
          <w:rFonts w:asciiTheme="minorHAnsi" w:hAnsiTheme="minorHAnsi"/>
          <w:lang w:val="mk-MK"/>
        </w:rPr>
        <w:t xml:space="preserve">о  вкупниот број  на фиксни линии  </w:t>
      </w:r>
      <w:r w:rsidR="00153EBC" w:rsidRPr="002968EC">
        <w:rPr>
          <w:rFonts w:asciiTheme="minorHAnsi" w:hAnsiTheme="minorHAnsi"/>
          <w:lang w:val="mk-MK"/>
        </w:rPr>
        <w:t xml:space="preserve"> изнесува 6</w:t>
      </w:r>
      <w:r w:rsidR="00032CF5">
        <w:rPr>
          <w:rFonts w:asciiTheme="minorHAnsi" w:hAnsiTheme="minorHAnsi"/>
          <w:lang w:val="mk-MK"/>
        </w:rPr>
        <w:t>0</w:t>
      </w:r>
      <w:r w:rsidR="00153EBC" w:rsidRPr="002968EC">
        <w:rPr>
          <w:rFonts w:asciiTheme="minorHAnsi" w:hAnsiTheme="minorHAnsi"/>
          <w:lang w:val="mk-MK"/>
        </w:rPr>
        <w:t>,</w:t>
      </w:r>
      <w:r w:rsidR="00032CF5">
        <w:rPr>
          <w:rFonts w:asciiTheme="minorHAnsi" w:hAnsiTheme="minorHAnsi"/>
          <w:lang w:val="mk-MK"/>
        </w:rPr>
        <w:t>59</w:t>
      </w:r>
      <w:r w:rsidRPr="002968EC">
        <w:rPr>
          <w:rFonts w:asciiTheme="minorHAnsi" w:hAnsiTheme="minorHAnsi"/>
          <w:lang w:val="mk-MK"/>
        </w:rPr>
        <w:t xml:space="preserve">%, додека од алтернативните оператори најголемо учество има </w:t>
      </w:r>
      <w:r w:rsidR="00F40356">
        <w:rPr>
          <w:rFonts w:asciiTheme="minorHAnsi" w:hAnsiTheme="minorHAnsi"/>
          <w:lang w:val="mk-MK"/>
        </w:rPr>
        <w:t>оне.ВИП</w:t>
      </w:r>
      <w:r w:rsidRPr="002968EC">
        <w:rPr>
          <w:rFonts w:asciiTheme="minorHAnsi" w:hAnsiTheme="minorHAnsi"/>
          <w:lang w:val="mk-MK"/>
        </w:rPr>
        <w:t xml:space="preserve"> Оператор со </w:t>
      </w:r>
      <w:r w:rsidR="00F40356">
        <w:rPr>
          <w:rFonts w:asciiTheme="minorHAnsi" w:hAnsiTheme="minorHAnsi"/>
          <w:lang w:val="mk-MK"/>
        </w:rPr>
        <w:t>14.63</w:t>
      </w:r>
      <w:r w:rsidR="00153EBC" w:rsidRPr="002968EC">
        <w:rPr>
          <w:rFonts w:asciiTheme="minorHAnsi" w:hAnsiTheme="minorHAnsi"/>
          <w:lang w:val="mk-MK"/>
        </w:rPr>
        <w:t xml:space="preserve"> </w:t>
      </w:r>
      <w:r w:rsidRPr="002968EC">
        <w:rPr>
          <w:rFonts w:asciiTheme="minorHAnsi" w:hAnsiTheme="minorHAnsi"/>
          <w:lang w:val="mk-MK"/>
        </w:rPr>
        <w:t>%, понатаму следуваат: Близу (</w:t>
      </w:r>
      <w:r w:rsidR="00F40356">
        <w:rPr>
          <w:rFonts w:asciiTheme="minorHAnsi" w:hAnsiTheme="minorHAnsi"/>
          <w:lang w:val="mk-MK"/>
        </w:rPr>
        <w:t>12.57</w:t>
      </w:r>
      <w:r w:rsidRPr="002968EC">
        <w:rPr>
          <w:rFonts w:asciiTheme="minorHAnsi" w:hAnsiTheme="minorHAnsi"/>
          <w:lang w:val="mk-MK"/>
        </w:rPr>
        <w:t xml:space="preserve">%), </w:t>
      </w:r>
      <w:r w:rsidR="00F40356">
        <w:rPr>
          <w:rFonts w:asciiTheme="minorHAnsi" w:hAnsiTheme="minorHAnsi"/>
          <w:lang w:val="mk-MK"/>
        </w:rPr>
        <w:t>Роби</w:t>
      </w:r>
      <w:r w:rsidRPr="002968EC">
        <w:rPr>
          <w:rFonts w:asciiTheme="minorHAnsi" w:hAnsiTheme="minorHAnsi"/>
          <w:lang w:val="mk-MK"/>
        </w:rPr>
        <w:t xml:space="preserve"> (</w:t>
      </w:r>
      <w:r w:rsidR="00F40356">
        <w:rPr>
          <w:rFonts w:asciiTheme="minorHAnsi" w:hAnsiTheme="minorHAnsi"/>
          <w:lang w:val="mk-MK"/>
        </w:rPr>
        <w:t>6.90</w:t>
      </w:r>
      <w:r w:rsidRPr="002968EC">
        <w:rPr>
          <w:rFonts w:asciiTheme="minorHAnsi" w:hAnsiTheme="minorHAnsi"/>
          <w:lang w:val="mk-MK"/>
        </w:rPr>
        <w:t>%), Неотел (3,</w:t>
      </w:r>
      <w:r w:rsidR="00F40356">
        <w:rPr>
          <w:rFonts w:asciiTheme="minorHAnsi" w:hAnsiTheme="minorHAnsi"/>
          <w:lang w:val="mk-MK"/>
        </w:rPr>
        <w:t>84</w:t>
      </w:r>
      <w:r w:rsidRPr="002968EC">
        <w:rPr>
          <w:rFonts w:asciiTheme="minorHAnsi" w:hAnsiTheme="minorHAnsi"/>
          <w:lang w:val="mk-MK"/>
        </w:rPr>
        <w:t>%),  Инфел Нет Плус (</w:t>
      </w:r>
      <w:r w:rsidR="00A31D4F" w:rsidRPr="002968EC">
        <w:rPr>
          <w:rFonts w:asciiTheme="minorHAnsi" w:hAnsiTheme="minorHAnsi"/>
          <w:lang w:val="mk-MK"/>
        </w:rPr>
        <w:t>1,</w:t>
      </w:r>
      <w:r w:rsidR="00F40356">
        <w:rPr>
          <w:rFonts w:asciiTheme="minorHAnsi" w:hAnsiTheme="minorHAnsi"/>
          <w:lang w:val="mk-MK"/>
        </w:rPr>
        <w:t>24</w:t>
      </w:r>
      <w:r w:rsidRPr="002968EC">
        <w:rPr>
          <w:rFonts w:asciiTheme="minorHAnsi" w:hAnsiTheme="minorHAnsi"/>
          <w:lang w:val="mk-MK"/>
        </w:rPr>
        <w:t xml:space="preserve">%), </w:t>
      </w:r>
      <w:r w:rsidR="00F40356">
        <w:rPr>
          <w:rFonts w:asciiTheme="minorHAnsi" w:hAnsiTheme="minorHAnsi"/>
          <w:lang w:val="mk-MK"/>
        </w:rPr>
        <w:t>Гив Иван (0.13</w:t>
      </w:r>
      <w:r w:rsidRPr="002968EC">
        <w:rPr>
          <w:rFonts w:asciiTheme="minorHAnsi" w:hAnsiTheme="minorHAnsi"/>
          <w:lang w:val="mk-MK"/>
        </w:rPr>
        <w:t xml:space="preserve"> %)</w:t>
      </w:r>
      <w:r w:rsidR="00F40356">
        <w:rPr>
          <w:rFonts w:asciiTheme="minorHAnsi" w:hAnsiTheme="minorHAnsi"/>
          <w:lang w:val="mk-MK"/>
        </w:rPr>
        <w:t>, Алтра Сат (0.05%) и Кабел Калл (0.04%)</w:t>
      </w:r>
    </w:p>
    <w:p w:rsidR="00C710F8" w:rsidRPr="00C710F8" w:rsidRDefault="00E0707D" w:rsidP="00C710F8">
      <w:pPr>
        <w:rPr>
          <w:noProof/>
          <w:lang w:val="mk-MK"/>
        </w:rPr>
      </w:pPr>
      <w:r>
        <w:rPr>
          <w:noProof/>
        </w:rPr>
        <w:drawing>
          <wp:inline distT="0" distB="0" distL="0" distR="0">
            <wp:extent cx="5943600" cy="3200400"/>
            <wp:effectExtent l="19050" t="0" r="19050" b="0"/>
            <wp:docPr id="3" name="Objec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326F0" w:rsidRPr="003E409F" w:rsidRDefault="003E409F" w:rsidP="00C710F8">
      <w:pPr>
        <w:pStyle w:val="Caption"/>
        <w:rPr>
          <w:lang w:val="mk-MK"/>
        </w:rPr>
      </w:pPr>
      <w:r w:rsidRPr="003E409F">
        <w:t xml:space="preserve"> </w:t>
      </w:r>
      <w:bookmarkStart w:id="10" w:name="_Toc461546196"/>
      <w:r w:rsidRPr="000E4710">
        <w:t xml:space="preserve">Графикон </w:t>
      </w:r>
      <w:r w:rsidR="00EF29D5" w:rsidRPr="000E4710">
        <w:fldChar w:fldCharType="begin"/>
      </w:r>
      <w:r w:rsidRPr="000E4710">
        <w:instrText xml:space="preserve"> SEQ Графикон \* ARABIC </w:instrText>
      </w:r>
      <w:r w:rsidR="00EF29D5" w:rsidRPr="000E4710">
        <w:fldChar w:fldCharType="separate"/>
      </w:r>
      <w:r w:rsidR="00870C45">
        <w:rPr>
          <w:noProof/>
        </w:rPr>
        <w:t>3</w:t>
      </w:r>
      <w:r w:rsidR="00EF29D5" w:rsidRPr="000E4710">
        <w:fldChar w:fldCharType="end"/>
      </w:r>
      <w:r w:rsidRPr="000E4710">
        <w:t xml:space="preserve"> Пазарен удел на операторите според Q4/2015</w:t>
      </w:r>
      <w:bookmarkEnd w:id="10"/>
    </w:p>
    <w:p w:rsidR="00E978C6" w:rsidRDefault="00131A42" w:rsidP="00781AEE">
      <w:pPr>
        <w:rPr>
          <w:rFonts w:asciiTheme="minorHAnsi" w:hAnsiTheme="minorHAnsi"/>
          <w:lang w:val="mk-MK"/>
        </w:rPr>
      </w:pPr>
      <w:r w:rsidRPr="002968EC">
        <w:rPr>
          <w:rFonts w:asciiTheme="minorHAnsi" w:hAnsiTheme="minorHAnsi"/>
          <w:lang w:val="mk-MK"/>
        </w:rPr>
        <w:t xml:space="preserve">Според погоре наведените податоци можеме да констатираме дека во периодот кој го опфаќа оваа Анализа, забележан е развој на конкуренцијата на пазарот за пристап до </w:t>
      </w:r>
      <w:r w:rsidR="008A38F9" w:rsidRPr="002968EC">
        <w:rPr>
          <w:rFonts w:asciiTheme="minorHAnsi" w:hAnsiTheme="minorHAnsi"/>
          <w:lang w:val="mk-MK"/>
        </w:rPr>
        <w:t>јавна електронска комуникациска мрежа на фиксна локација</w:t>
      </w:r>
      <w:r w:rsidRPr="002968EC">
        <w:rPr>
          <w:rFonts w:asciiTheme="minorHAnsi" w:hAnsiTheme="minorHAnsi"/>
          <w:lang w:val="mk-MK"/>
        </w:rPr>
        <w:t xml:space="preserve">. Оттука забележителен е и порастот на учеството според бројот на фиксни линии на алтернативните опратори како и според приходите. </w:t>
      </w:r>
      <w:r w:rsidR="00545BD7" w:rsidRPr="002968EC">
        <w:rPr>
          <w:rFonts w:asciiTheme="minorHAnsi" w:hAnsiTheme="minorHAnsi"/>
          <w:lang w:val="mk-MK"/>
        </w:rPr>
        <w:t xml:space="preserve">Ваквата констатација </w:t>
      </w:r>
      <w:r w:rsidR="0089208D" w:rsidRPr="002968EC">
        <w:rPr>
          <w:rFonts w:asciiTheme="minorHAnsi" w:hAnsiTheme="minorHAnsi"/>
          <w:lang w:val="mk-MK"/>
        </w:rPr>
        <w:t xml:space="preserve">доведува до заклучок дека </w:t>
      </w:r>
      <w:r w:rsidRPr="002968EC">
        <w:rPr>
          <w:rFonts w:asciiTheme="minorHAnsi" w:hAnsiTheme="minorHAnsi"/>
          <w:lang w:val="mk-MK"/>
        </w:rPr>
        <w:t xml:space="preserve"> регулаторните мерки што </w:t>
      </w:r>
      <w:r w:rsidR="007967C2" w:rsidRPr="002968EC">
        <w:rPr>
          <w:rFonts w:asciiTheme="minorHAnsi" w:hAnsiTheme="minorHAnsi"/>
          <w:lang w:val="mk-MK"/>
        </w:rPr>
        <w:t>АЕК</w:t>
      </w:r>
      <w:r w:rsidR="00DC45ED" w:rsidRPr="002968EC">
        <w:rPr>
          <w:rFonts w:asciiTheme="minorHAnsi" w:hAnsiTheme="minorHAnsi"/>
          <w:lang w:val="mk-MK"/>
        </w:rPr>
        <w:t xml:space="preserve"> </w:t>
      </w:r>
      <w:r w:rsidRPr="002968EC">
        <w:rPr>
          <w:rFonts w:asciiTheme="minorHAnsi" w:hAnsiTheme="minorHAnsi"/>
          <w:lang w:val="mk-MK"/>
        </w:rPr>
        <w:t xml:space="preserve">ги превзема со обврските кои се наметнати на операторот со значителна пазарна моќ </w:t>
      </w:r>
      <w:r w:rsidR="0089208D" w:rsidRPr="002968EC">
        <w:rPr>
          <w:rFonts w:asciiTheme="minorHAnsi" w:hAnsiTheme="minorHAnsi"/>
          <w:lang w:val="mk-MK"/>
        </w:rPr>
        <w:t>на големоп</w:t>
      </w:r>
      <w:r w:rsidR="00032CF5">
        <w:rPr>
          <w:rFonts w:asciiTheme="minorHAnsi" w:hAnsiTheme="minorHAnsi"/>
          <w:lang w:val="mk-MK"/>
        </w:rPr>
        <w:t>р</w:t>
      </w:r>
      <w:r w:rsidR="0089208D" w:rsidRPr="002968EC">
        <w:rPr>
          <w:rFonts w:asciiTheme="minorHAnsi" w:hAnsiTheme="minorHAnsi"/>
          <w:lang w:val="mk-MK"/>
        </w:rPr>
        <w:t xml:space="preserve">одажните поврзани пазари се доволни за развој на конкуренцијата. Поточно од горенаведените податоци АЕК заклучи дека пазарот се движи во насока на ефикасна конкуренција. </w:t>
      </w:r>
    </w:p>
    <w:p w:rsidR="003E409F" w:rsidRPr="002968EC" w:rsidRDefault="003E409F" w:rsidP="00781AEE">
      <w:pPr>
        <w:rPr>
          <w:rFonts w:asciiTheme="minorHAnsi" w:hAnsiTheme="minorHAnsi"/>
          <w:lang w:val="mk-MK"/>
        </w:rPr>
      </w:pPr>
    </w:p>
    <w:p w:rsidR="00CE38FB" w:rsidRPr="002968EC" w:rsidRDefault="002968EC" w:rsidP="002968EC">
      <w:pPr>
        <w:pStyle w:val="Heading1"/>
        <w:rPr>
          <w:rFonts w:asciiTheme="minorHAnsi" w:hAnsiTheme="minorHAnsi"/>
        </w:rPr>
      </w:pPr>
      <w:bookmarkStart w:id="11" w:name="_Toc461617736"/>
      <w:r>
        <w:rPr>
          <w:rFonts w:asciiTheme="minorHAnsi" w:hAnsiTheme="minorHAnsi"/>
          <w:lang w:val="mk-MK"/>
        </w:rPr>
        <w:lastRenderedPageBreak/>
        <w:t>8</w:t>
      </w:r>
      <w:r w:rsidR="00B55EFD" w:rsidRPr="002968EC">
        <w:rPr>
          <w:rFonts w:asciiTheme="minorHAnsi" w:hAnsiTheme="minorHAnsi"/>
        </w:rPr>
        <w:t xml:space="preserve">. </w:t>
      </w:r>
      <w:r w:rsidR="00CE38FB" w:rsidRPr="002968EC">
        <w:rPr>
          <w:rFonts w:asciiTheme="minorHAnsi" w:hAnsiTheme="minorHAnsi"/>
        </w:rPr>
        <w:t>Дефинирање на пазарот за пристап</w:t>
      </w:r>
      <w:bookmarkEnd w:id="11"/>
    </w:p>
    <w:p w:rsidR="00280E1F" w:rsidRPr="002968EC" w:rsidRDefault="00280E1F" w:rsidP="00280E1F">
      <w:pPr>
        <w:rPr>
          <w:rFonts w:asciiTheme="minorHAnsi" w:hAnsiTheme="minorHAnsi"/>
          <w:lang w:val="mk-MK"/>
        </w:rPr>
      </w:pPr>
    </w:p>
    <w:p w:rsidR="007D2945" w:rsidRPr="002968EC" w:rsidRDefault="002968EC" w:rsidP="002968EC">
      <w:pPr>
        <w:pStyle w:val="Heading2"/>
      </w:pPr>
      <w:bookmarkStart w:id="12" w:name="_Toc461617737"/>
      <w:r>
        <w:rPr>
          <w:lang w:val="mk-MK"/>
        </w:rPr>
        <w:t>8</w:t>
      </w:r>
      <w:r w:rsidR="004E5400" w:rsidRPr="002968EC">
        <w:t xml:space="preserve">.1 </w:t>
      </w:r>
      <w:r w:rsidR="00CE38FB" w:rsidRPr="002968EC">
        <w:t>Вовед</w:t>
      </w:r>
      <w:bookmarkEnd w:id="12"/>
    </w:p>
    <w:p w:rsidR="00957E0E" w:rsidRPr="002968EC" w:rsidRDefault="008E34F0" w:rsidP="00781AEE">
      <w:pPr>
        <w:rPr>
          <w:rFonts w:asciiTheme="minorHAnsi" w:hAnsiTheme="minorHAnsi" w:cs="Calibri"/>
          <w:lang w:val="mk-MK"/>
        </w:rPr>
      </w:pPr>
      <w:r w:rsidRPr="002968EC">
        <w:rPr>
          <w:rFonts w:asciiTheme="minorHAnsi" w:hAnsiTheme="minorHAnsi" w:cs="Calibri"/>
          <w:lang w:val="mk-MK"/>
        </w:rPr>
        <w:t xml:space="preserve">Дефинирањето на пазарот за пристап до </w:t>
      </w:r>
      <w:r w:rsidR="008A38F9" w:rsidRPr="002968EC">
        <w:rPr>
          <w:rFonts w:asciiTheme="minorHAnsi" w:hAnsiTheme="minorHAnsi"/>
          <w:lang w:val="mk-MK"/>
        </w:rPr>
        <w:t>јавна електронска комуникациска мрежа на фиксна локација</w:t>
      </w:r>
      <w:r w:rsidR="004B3CB7" w:rsidRPr="002968EC">
        <w:rPr>
          <w:rFonts w:asciiTheme="minorHAnsi" w:hAnsiTheme="minorHAnsi" w:cs="Calibri"/>
          <w:lang w:val="mk-MK"/>
        </w:rPr>
        <w:t xml:space="preserve"> </w:t>
      </w:r>
      <w:r w:rsidRPr="002968EC">
        <w:rPr>
          <w:rFonts w:asciiTheme="minorHAnsi" w:hAnsiTheme="minorHAnsi" w:cs="Calibri"/>
          <w:lang w:val="mk-MK"/>
        </w:rPr>
        <w:t xml:space="preserve">е првиот чекор во спроведувањето на </w:t>
      </w:r>
      <w:r w:rsidR="007967C2" w:rsidRPr="002968EC">
        <w:rPr>
          <w:rFonts w:asciiTheme="minorHAnsi" w:hAnsiTheme="minorHAnsi" w:cs="Calibri"/>
          <w:lang w:val="mk-MK"/>
        </w:rPr>
        <w:t xml:space="preserve">анализата </w:t>
      </w:r>
      <w:r w:rsidRPr="002968EC">
        <w:rPr>
          <w:rFonts w:asciiTheme="minorHAnsi" w:hAnsiTheme="minorHAnsi" w:cs="Calibri"/>
          <w:lang w:val="mk-MK"/>
        </w:rPr>
        <w:t>на овој релевантен пазар.</w:t>
      </w:r>
      <w:r w:rsidR="00E76050" w:rsidRPr="002968EC">
        <w:rPr>
          <w:rFonts w:asciiTheme="minorHAnsi" w:hAnsiTheme="minorHAnsi" w:cs="Calibri"/>
          <w:lang w:val="mk-MK"/>
        </w:rPr>
        <w:t xml:space="preserve"> Согласно </w:t>
      </w:r>
      <w:r w:rsidR="007967C2" w:rsidRPr="002968EC">
        <w:rPr>
          <w:rFonts w:asciiTheme="minorHAnsi" w:hAnsiTheme="minorHAnsi" w:cs="Calibri"/>
          <w:lang w:val="mk-MK"/>
        </w:rPr>
        <w:t xml:space="preserve">членот 2 од </w:t>
      </w:r>
      <w:r w:rsidR="00E76050" w:rsidRPr="002968EC">
        <w:rPr>
          <w:rFonts w:asciiTheme="minorHAnsi" w:hAnsiTheme="minorHAnsi" w:cs="Calibri"/>
          <w:lang w:val="mk-MK"/>
        </w:rPr>
        <w:t>Одлуката за</w:t>
      </w:r>
      <w:r w:rsidR="00D00ACF" w:rsidRPr="002968EC">
        <w:rPr>
          <w:rFonts w:asciiTheme="minorHAnsi" w:hAnsiTheme="minorHAnsi" w:cs="Calibri"/>
          <w:lang w:val="mk-MK"/>
        </w:rPr>
        <w:t xml:space="preserve"> утврдување на</w:t>
      </w:r>
      <w:r w:rsidR="00E76050" w:rsidRPr="002968EC">
        <w:rPr>
          <w:rFonts w:asciiTheme="minorHAnsi" w:hAnsiTheme="minorHAnsi" w:cs="Calibri"/>
          <w:lang w:val="mk-MK"/>
        </w:rPr>
        <w:t xml:space="preserve"> релевантни пазари</w:t>
      </w:r>
      <w:r w:rsidR="00D00ACF" w:rsidRPr="002968EC">
        <w:rPr>
          <w:rFonts w:asciiTheme="minorHAnsi" w:hAnsiTheme="minorHAnsi" w:cs="Calibri"/>
          <w:lang w:val="mk-MK"/>
        </w:rPr>
        <w:t xml:space="preserve"> што се подложни на претходна регулација</w:t>
      </w:r>
      <w:r w:rsidR="00E76050" w:rsidRPr="002968EC">
        <w:rPr>
          <w:rFonts w:asciiTheme="minorHAnsi" w:hAnsiTheme="minorHAnsi" w:cs="Calibri"/>
          <w:lang w:val="mk-MK"/>
        </w:rPr>
        <w:t xml:space="preserve"> </w:t>
      </w:r>
      <w:r w:rsidR="00D00ACF" w:rsidRPr="002968EC">
        <w:rPr>
          <w:rFonts w:asciiTheme="minorHAnsi" w:hAnsiTheme="minorHAnsi" w:cs="Calibri"/>
          <w:lang w:val="mk-MK"/>
        </w:rPr>
        <w:t>бр. 02-5015/1 од 23.09.2010 год</w:t>
      </w:r>
      <w:r w:rsidR="007967C2" w:rsidRPr="002968EC">
        <w:rPr>
          <w:rFonts w:asciiTheme="minorHAnsi" w:hAnsiTheme="minorHAnsi" w:cs="Calibri"/>
          <w:lang w:val="mk-MK"/>
        </w:rPr>
        <w:t>,</w:t>
      </w:r>
      <w:r w:rsidR="001D3390" w:rsidRPr="002968EC">
        <w:rPr>
          <w:rFonts w:asciiTheme="minorHAnsi" w:hAnsiTheme="minorHAnsi" w:cs="Calibri"/>
          <w:lang w:val="mk-MK"/>
        </w:rPr>
        <w:t xml:space="preserve"> релевантен географски пазар на пазарот на електронски комуникации е територијата на Република Македонија.</w:t>
      </w:r>
      <w:r w:rsidR="00682257" w:rsidRPr="002968EC">
        <w:rPr>
          <w:rFonts w:asciiTheme="minorHAnsi" w:hAnsiTheme="minorHAnsi" w:cs="Calibri"/>
          <w:lang w:val="mk-MK"/>
        </w:rPr>
        <w:t xml:space="preserve"> </w:t>
      </w:r>
    </w:p>
    <w:p w:rsidR="00682257" w:rsidRPr="002968EC" w:rsidRDefault="00A37411" w:rsidP="00781AEE">
      <w:pPr>
        <w:rPr>
          <w:rFonts w:asciiTheme="minorHAnsi" w:hAnsiTheme="minorHAnsi" w:cs="Calibri"/>
          <w:lang w:val="mk-MK"/>
        </w:rPr>
      </w:pPr>
      <w:r w:rsidRPr="002968EC">
        <w:rPr>
          <w:rFonts w:asciiTheme="minorHAnsi" w:hAnsiTheme="minorHAnsi" w:cs="Calibri"/>
          <w:lang w:val="mk-MK"/>
        </w:rPr>
        <w:t>Европската Комисија во нејзината Препорака од 2007</w:t>
      </w:r>
      <w:r w:rsidR="007967C2" w:rsidRPr="002968EC">
        <w:rPr>
          <w:rFonts w:asciiTheme="minorHAnsi" w:hAnsiTheme="minorHAnsi" w:cs="Calibri"/>
          <w:lang w:val="mk-MK"/>
        </w:rPr>
        <w:t xml:space="preserve"> год</w:t>
      </w:r>
      <w:r w:rsidR="007967C2" w:rsidRPr="002968EC">
        <w:rPr>
          <w:rStyle w:val="FootnoteReference"/>
          <w:rFonts w:asciiTheme="minorHAnsi" w:hAnsiTheme="minorHAnsi" w:cs="Calibri"/>
          <w:lang w:val="mk-MK"/>
        </w:rPr>
        <w:t xml:space="preserve"> </w:t>
      </w:r>
      <w:r w:rsidR="007967C2" w:rsidRPr="002968EC">
        <w:rPr>
          <w:rStyle w:val="FootnoteReference"/>
          <w:rFonts w:asciiTheme="minorHAnsi" w:hAnsiTheme="minorHAnsi" w:cs="Calibri"/>
          <w:lang w:val="mk-MK"/>
        </w:rPr>
        <w:footnoteReference w:id="2"/>
      </w:r>
      <w:r w:rsidR="006538E1" w:rsidRPr="002968EC">
        <w:rPr>
          <w:rFonts w:asciiTheme="minorHAnsi" w:hAnsiTheme="minorHAnsi" w:cs="Calibri"/>
          <w:lang w:val="mk-MK"/>
        </w:rPr>
        <w:t xml:space="preserve"> </w:t>
      </w:r>
      <w:r w:rsidR="007967C2" w:rsidRPr="002968EC">
        <w:rPr>
          <w:rFonts w:asciiTheme="minorHAnsi" w:hAnsiTheme="minorHAnsi" w:cs="Calibri"/>
          <w:lang w:val="mk-MK"/>
        </w:rPr>
        <w:t xml:space="preserve">(2007/879/EC) </w:t>
      </w:r>
      <w:r w:rsidRPr="002968EC">
        <w:rPr>
          <w:rFonts w:asciiTheme="minorHAnsi" w:hAnsiTheme="minorHAnsi" w:cs="Calibri"/>
          <w:lang w:val="mk-MK"/>
        </w:rPr>
        <w:t xml:space="preserve">продолжува да го идентификува, на малопродажно ниво, пристапот до </w:t>
      </w:r>
      <w:r w:rsidR="008A38F9" w:rsidRPr="002968EC">
        <w:rPr>
          <w:rFonts w:asciiTheme="minorHAnsi" w:hAnsiTheme="minorHAnsi"/>
          <w:lang w:val="mk-MK"/>
        </w:rPr>
        <w:t>јавна електронска комуникациска мрежа на фиксна локација</w:t>
      </w:r>
      <w:r w:rsidR="004B3CB7" w:rsidRPr="002968EC">
        <w:rPr>
          <w:rFonts w:asciiTheme="minorHAnsi" w:hAnsiTheme="minorHAnsi" w:cs="Calibri"/>
          <w:lang w:val="mk-MK"/>
        </w:rPr>
        <w:t xml:space="preserve"> </w:t>
      </w:r>
      <w:r w:rsidRPr="002968EC">
        <w:rPr>
          <w:rFonts w:asciiTheme="minorHAnsi" w:hAnsiTheme="minorHAnsi" w:cs="Calibri"/>
          <w:lang w:val="mk-MK"/>
        </w:rPr>
        <w:t xml:space="preserve">за резиденцијални и </w:t>
      </w:r>
      <w:r w:rsidR="00014C37" w:rsidRPr="002968EC">
        <w:rPr>
          <w:rFonts w:asciiTheme="minorHAnsi" w:hAnsiTheme="minorHAnsi" w:cs="Calibri"/>
          <w:lang w:val="mk-MK"/>
        </w:rPr>
        <w:t>деловни</w:t>
      </w:r>
      <w:r w:rsidRPr="002968EC">
        <w:rPr>
          <w:rFonts w:asciiTheme="minorHAnsi" w:hAnsiTheme="minorHAnsi" w:cs="Calibri"/>
          <w:lang w:val="mk-MK"/>
        </w:rPr>
        <w:t xml:space="preserve"> </w:t>
      </w:r>
      <w:r w:rsidR="007967C2" w:rsidRPr="002968EC">
        <w:rPr>
          <w:rFonts w:asciiTheme="minorHAnsi" w:hAnsiTheme="minorHAnsi" w:cs="Calibri"/>
          <w:lang w:val="mk-MK"/>
        </w:rPr>
        <w:t xml:space="preserve">крајни </w:t>
      </w:r>
      <w:r w:rsidRPr="002968EC">
        <w:rPr>
          <w:rFonts w:asciiTheme="minorHAnsi" w:hAnsiTheme="minorHAnsi" w:cs="Calibri"/>
          <w:lang w:val="mk-MK"/>
        </w:rPr>
        <w:t xml:space="preserve">корисници како пазар подложен на </w:t>
      </w:r>
      <w:r w:rsidRPr="002968EC">
        <w:rPr>
          <w:rFonts w:asciiTheme="minorHAnsi" w:hAnsiTheme="minorHAnsi" w:cs="Calibri"/>
        </w:rPr>
        <w:t>ex-ante</w:t>
      </w:r>
      <w:r w:rsidRPr="002968EC">
        <w:rPr>
          <w:rFonts w:asciiTheme="minorHAnsi" w:hAnsiTheme="minorHAnsi" w:cs="Calibri"/>
          <w:lang w:val="mk-MK"/>
        </w:rPr>
        <w:t xml:space="preserve"> регулација.</w:t>
      </w:r>
    </w:p>
    <w:p w:rsidR="00D61FE6" w:rsidRPr="002968EC" w:rsidRDefault="009B4414" w:rsidP="00781AEE">
      <w:pPr>
        <w:rPr>
          <w:rFonts w:asciiTheme="minorHAnsi" w:hAnsiTheme="minorHAnsi" w:cs="Calibri"/>
          <w:lang w:val="mk-MK"/>
        </w:rPr>
      </w:pPr>
      <w:r w:rsidRPr="002968EC">
        <w:rPr>
          <w:rFonts w:asciiTheme="minorHAnsi" w:hAnsiTheme="minorHAnsi" w:cs="Calibri"/>
          <w:lang w:val="mk-MK"/>
        </w:rPr>
        <w:t>Согласно Упатството за спроведување на Анализа на релевантен пазар</w:t>
      </w:r>
      <w:r w:rsidR="006538E1" w:rsidRPr="002968EC">
        <w:rPr>
          <w:rFonts w:asciiTheme="minorHAnsi" w:hAnsiTheme="minorHAnsi" w:cs="Calibri"/>
          <w:lang w:val="mk-MK"/>
        </w:rPr>
        <w:t xml:space="preserve"> усвоено од страна на Европската Комисија</w:t>
      </w:r>
      <w:r w:rsidR="001818E7" w:rsidRPr="002968EC">
        <w:rPr>
          <w:rFonts w:asciiTheme="minorHAnsi" w:hAnsiTheme="minorHAnsi" w:cs="Calibri"/>
          <w:lang w:val="mk-MK"/>
        </w:rPr>
        <w:t xml:space="preserve"> </w:t>
      </w:r>
      <w:r w:rsidR="001818E7" w:rsidRPr="002968EC">
        <w:rPr>
          <w:rFonts w:asciiTheme="minorHAnsi" w:hAnsiTheme="minorHAnsi" w:cs="Calibri"/>
        </w:rPr>
        <w:t>“</w:t>
      </w:r>
      <w:r w:rsidR="001818E7" w:rsidRPr="002968EC">
        <w:rPr>
          <w:rFonts w:asciiTheme="minorHAnsi" w:hAnsiTheme="minorHAnsi" w:cs="Calibri"/>
          <w:lang w:val="mk-MK"/>
        </w:rPr>
        <w:t>зависно од тоа дали операторот поседува економска сила и моќ, ќе може на определен релевантен пазар да се однесува независно од конкуренцијата, корисниците и претплатниците.</w:t>
      </w:r>
      <w:r w:rsidR="00505CA4" w:rsidRPr="002968EC">
        <w:rPr>
          <w:rFonts w:asciiTheme="minorHAnsi" w:hAnsiTheme="minorHAnsi" w:cs="Calibri"/>
          <w:lang w:val="mk-MK"/>
        </w:rPr>
        <w:t xml:space="preserve"> Дефиницијата на </w:t>
      </w:r>
      <w:r w:rsidR="001B0D1B" w:rsidRPr="002968EC">
        <w:rPr>
          <w:rFonts w:asciiTheme="minorHAnsi" w:hAnsiTheme="minorHAnsi" w:cs="Calibri"/>
          <w:lang w:val="mk-MK"/>
        </w:rPr>
        <w:t>таков</w:t>
      </w:r>
      <w:r w:rsidR="00505CA4" w:rsidRPr="002968EC">
        <w:rPr>
          <w:rFonts w:asciiTheme="minorHAnsi" w:hAnsiTheme="minorHAnsi" w:cs="Calibri"/>
          <w:lang w:val="mk-MK"/>
        </w:rPr>
        <w:t xml:space="preserve"> пазар е од фундаментално значење</w:t>
      </w:r>
      <w:r w:rsidR="001B0D1B" w:rsidRPr="002968EC">
        <w:rPr>
          <w:rFonts w:asciiTheme="minorHAnsi" w:hAnsiTheme="minorHAnsi" w:cs="Calibri"/>
          <w:lang w:val="mk-MK"/>
        </w:rPr>
        <w:t>,</w:t>
      </w:r>
      <w:r w:rsidR="00505CA4" w:rsidRPr="002968EC">
        <w:rPr>
          <w:rFonts w:asciiTheme="minorHAnsi" w:hAnsiTheme="minorHAnsi" w:cs="Calibri"/>
          <w:lang w:val="mk-MK"/>
        </w:rPr>
        <w:t xml:space="preserve"> земајќи предвид дека постоењето на значителна пазарна моќ на операторот може да се процени преку одредување на услугите и нивните карактеристики кои се дел од пазарот како таков.</w:t>
      </w:r>
      <w:r w:rsidR="00505CA4" w:rsidRPr="002968EC">
        <w:rPr>
          <w:rFonts w:asciiTheme="minorHAnsi" w:hAnsiTheme="minorHAnsi" w:cs="Calibri"/>
        </w:rPr>
        <w:t>”</w:t>
      </w:r>
      <w:r w:rsidR="001818E7" w:rsidRPr="002968EC">
        <w:rPr>
          <w:rFonts w:asciiTheme="minorHAnsi" w:hAnsiTheme="minorHAnsi" w:cs="Calibri"/>
          <w:lang w:val="mk-MK"/>
        </w:rPr>
        <w:t xml:space="preserve"> </w:t>
      </w:r>
      <w:r w:rsidR="00A133E3" w:rsidRPr="002968EC">
        <w:rPr>
          <w:rFonts w:asciiTheme="minorHAnsi" w:hAnsiTheme="minorHAnsi" w:cs="Calibri"/>
          <w:lang w:val="mk-MK"/>
        </w:rPr>
        <w:t xml:space="preserve">Поради тоа дефиницијата на пазарот не </w:t>
      </w:r>
      <w:r w:rsidR="008C5504" w:rsidRPr="002968EC">
        <w:rPr>
          <w:rFonts w:asciiTheme="minorHAnsi" w:hAnsiTheme="minorHAnsi" w:cs="Calibri"/>
          <w:lang w:val="mk-MK"/>
        </w:rPr>
        <w:t>претставува завршна точка</w:t>
      </w:r>
      <w:r w:rsidR="00A133E3" w:rsidRPr="002968EC">
        <w:rPr>
          <w:rFonts w:asciiTheme="minorHAnsi" w:hAnsiTheme="minorHAnsi" w:cs="Calibri"/>
          <w:lang w:val="mk-MK"/>
        </w:rPr>
        <w:t xml:space="preserve"> во процесот на анализа, туку претставува основа врз која понатаму ќе се прави преглед на пазарот и ќе се разгле</w:t>
      </w:r>
      <w:r w:rsidR="00EC3E62" w:rsidRPr="002968EC">
        <w:rPr>
          <w:rFonts w:asciiTheme="minorHAnsi" w:hAnsiTheme="minorHAnsi" w:cs="Calibri"/>
          <w:lang w:val="mk-MK"/>
        </w:rPr>
        <w:t>дува неговата конкурентска состојб</w:t>
      </w:r>
      <w:r w:rsidR="00A133E3" w:rsidRPr="002968EC">
        <w:rPr>
          <w:rFonts w:asciiTheme="minorHAnsi" w:hAnsiTheme="minorHAnsi" w:cs="Calibri"/>
          <w:lang w:val="mk-MK"/>
        </w:rPr>
        <w:t>а.</w:t>
      </w:r>
      <w:r w:rsidR="00EC3E62" w:rsidRPr="002968EC">
        <w:rPr>
          <w:rFonts w:asciiTheme="minorHAnsi" w:hAnsiTheme="minorHAnsi" w:cs="Calibri"/>
          <w:lang w:val="mk-MK"/>
        </w:rPr>
        <w:t xml:space="preserve"> Ова овозможува да бидат разгледани евентуални конкурентни пречки на страната на понудата и побарувачката, гледано во идно време, земајќи го во предвид економскиот и технолошкиот напредок </w:t>
      </w:r>
      <w:r w:rsidR="00EF3DD9" w:rsidRPr="002968EC">
        <w:rPr>
          <w:rFonts w:asciiTheme="minorHAnsi" w:hAnsiTheme="minorHAnsi" w:cs="Calibri"/>
          <w:lang w:val="mk-MK"/>
        </w:rPr>
        <w:t>за периодот кој го опфаќа оваа анализа.</w:t>
      </w:r>
    </w:p>
    <w:p w:rsidR="00EA3442" w:rsidRPr="002968EC" w:rsidRDefault="007967C2" w:rsidP="00781AEE">
      <w:pPr>
        <w:rPr>
          <w:rFonts w:asciiTheme="minorHAnsi" w:hAnsiTheme="minorHAnsi" w:cs="Calibri"/>
          <w:lang w:val="mk-MK"/>
        </w:rPr>
      </w:pPr>
      <w:r w:rsidRPr="002968EC">
        <w:rPr>
          <w:rFonts w:asciiTheme="minorHAnsi" w:hAnsiTheme="minorHAnsi" w:cs="Calibri"/>
          <w:lang w:val="mk-MK"/>
        </w:rPr>
        <w:t>АЕК</w:t>
      </w:r>
      <w:r w:rsidR="00FF0BC2" w:rsidRPr="002968EC">
        <w:rPr>
          <w:rFonts w:asciiTheme="minorHAnsi" w:hAnsiTheme="minorHAnsi" w:cs="Calibri"/>
          <w:lang w:val="mk-MK"/>
        </w:rPr>
        <w:t xml:space="preserve"> ќе го дефинира релевантниот пазар, ќе ги утврди видот на услугите кои се дел од овој релевантен малопродажен пазар</w:t>
      </w:r>
      <w:r w:rsidR="00727905" w:rsidRPr="002968EC">
        <w:rPr>
          <w:rFonts w:asciiTheme="minorHAnsi" w:hAnsiTheme="minorHAnsi" w:cs="Calibri"/>
          <w:lang w:val="mk-MK"/>
        </w:rPr>
        <w:t xml:space="preserve"> и</w:t>
      </w:r>
      <w:r w:rsidR="00FF0BC2" w:rsidRPr="002968EC">
        <w:rPr>
          <w:rFonts w:asciiTheme="minorHAnsi" w:hAnsiTheme="minorHAnsi" w:cs="Calibri"/>
          <w:lang w:val="mk-MK"/>
        </w:rPr>
        <w:t xml:space="preserve"> ќе го дефинира географскиот пазар земајќи ги предвид специфичните околности кои владеат во</w:t>
      </w:r>
      <w:r w:rsidR="008C5504" w:rsidRPr="002968EC">
        <w:rPr>
          <w:rFonts w:asciiTheme="minorHAnsi" w:hAnsiTheme="minorHAnsi" w:cs="Calibri"/>
          <w:lang w:val="mk-MK"/>
        </w:rPr>
        <w:t xml:space="preserve"> Р.</w:t>
      </w:r>
      <w:r w:rsidR="00FF0BC2" w:rsidRPr="002968EC">
        <w:rPr>
          <w:rFonts w:asciiTheme="minorHAnsi" w:hAnsiTheme="minorHAnsi" w:cs="Calibri"/>
          <w:lang w:val="mk-MK"/>
        </w:rPr>
        <w:t xml:space="preserve"> Македонија.</w:t>
      </w:r>
    </w:p>
    <w:p w:rsidR="00992559" w:rsidRPr="002968EC" w:rsidRDefault="00992559" w:rsidP="00781AEE">
      <w:pPr>
        <w:rPr>
          <w:rFonts w:asciiTheme="minorHAnsi" w:hAnsiTheme="minorHAnsi" w:cs="Calibri"/>
          <w:lang w:val="mk-MK"/>
        </w:rPr>
      </w:pPr>
      <w:r w:rsidRPr="002968EC">
        <w:rPr>
          <w:rFonts w:asciiTheme="minorHAnsi" w:hAnsiTheme="minorHAnsi" w:cs="Calibri"/>
          <w:lang w:val="mk-MK"/>
        </w:rPr>
        <w:t xml:space="preserve">Во процесот на дефинирање на релевантниот пазар, потребно е да се земе во предвид евентуалното постоење на супституција на страна на понудата и на страна на побарувачката која директно или индиректно предизвикува промени во ценовното однесување на </w:t>
      </w:r>
      <w:r w:rsidR="00D964E9" w:rsidRPr="002968EC">
        <w:rPr>
          <w:rFonts w:asciiTheme="minorHAnsi" w:hAnsiTheme="minorHAnsi" w:cs="Calibri"/>
          <w:lang w:val="mk-MK"/>
        </w:rPr>
        <w:t>оператор со значителна пазарна моќ</w:t>
      </w:r>
      <w:r w:rsidRPr="002968EC">
        <w:rPr>
          <w:rFonts w:asciiTheme="minorHAnsi" w:hAnsiTheme="minorHAnsi" w:cs="Calibri"/>
          <w:lang w:val="mk-MK"/>
        </w:rPr>
        <w:t xml:space="preserve"> на определениот пазар, обезбедувач на </w:t>
      </w:r>
      <w:r w:rsidR="00497FFD" w:rsidRPr="002968EC">
        <w:rPr>
          <w:rFonts w:asciiTheme="minorHAnsi" w:hAnsiTheme="minorHAnsi" w:cs="Calibri"/>
          <w:lang w:val="mk-MK"/>
        </w:rPr>
        <w:t xml:space="preserve">услуга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Pr="002968EC">
        <w:rPr>
          <w:rFonts w:asciiTheme="minorHAnsi" w:hAnsiTheme="minorHAnsi" w:cs="Calibri"/>
          <w:lang w:val="mk-MK"/>
        </w:rPr>
        <w:t>.</w:t>
      </w:r>
      <w:r w:rsidR="005C3FFF" w:rsidRPr="002968EC">
        <w:rPr>
          <w:rFonts w:asciiTheme="minorHAnsi" w:hAnsiTheme="minorHAnsi" w:cs="Calibri"/>
        </w:rPr>
        <w:t xml:space="preserve"> </w:t>
      </w:r>
      <w:r w:rsidR="005C3FFF" w:rsidRPr="002968EC">
        <w:rPr>
          <w:rFonts w:asciiTheme="minorHAnsi" w:hAnsiTheme="minorHAnsi" w:cs="Calibri"/>
          <w:lang w:val="mk-MK"/>
        </w:rPr>
        <w:t>Во продолжение кога такви супститути се во состојба да поттикна</w:t>
      </w:r>
      <w:r w:rsidR="00D30C83" w:rsidRPr="002968EC">
        <w:rPr>
          <w:rFonts w:asciiTheme="minorHAnsi" w:hAnsiTheme="minorHAnsi" w:cs="Calibri"/>
          <w:lang w:val="mk-MK"/>
        </w:rPr>
        <w:t>т</w:t>
      </w:r>
      <w:r w:rsidR="005C3FFF" w:rsidRPr="002968EC">
        <w:rPr>
          <w:rFonts w:asciiTheme="minorHAnsi" w:hAnsiTheme="minorHAnsi" w:cs="Calibri"/>
          <w:lang w:val="mk-MK"/>
        </w:rPr>
        <w:t xml:space="preserve"> однесување од тој вид, тогаш поширока дефиниција на услугата </w:t>
      </w:r>
      <w:r w:rsidR="00497FFD" w:rsidRPr="002968EC">
        <w:rPr>
          <w:rFonts w:asciiTheme="minorHAnsi" w:hAnsiTheme="minorHAnsi" w:cs="Calibri"/>
          <w:lang w:val="mk-MK"/>
        </w:rPr>
        <w:t xml:space="preserve">за пристап до </w:t>
      </w:r>
      <w:r w:rsidR="008A38F9" w:rsidRPr="002968EC">
        <w:rPr>
          <w:rFonts w:asciiTheme="minorHAnsi" w:hAnsiTheme="minorHAnsi" w:cs="Calibri"/>
          <w:lang w:val="mk-MK"/>
        </w:rPr>
        <w:t>јавна електронска комуникациска мрежа на фиксна локација</w:t>
      </w:r>
      <w:r w:rsidR="005C3FFF" w:rsidRPr="002968EC">
        <w:rPr>
          <w:rFonts w:asciiTheme="minorHAnsi" w:hAnsiTheme="minorHAnsi" w:cs="Calibri"/>
          <w:lang w:val="mk-MK"/>
        </w:rPr>
        <w:t xml:space="preserve">, би било </w:t>
      </w:r>
      <w:r w:rsidR="00807618" w:rsidRPr="002968EC">
        <w:rPr>
          <w:rFonts w:asciiTheme="minorHAnsi" w:hAnsiTheme="minorHAnsi" w:cs="Calibri"/>
          <w:lang w:val="mk-MK"/>
        </w:rPr>
        <w:t>потребно</w:t>
      </w:r>
      <w:r w:rsidR="005C3FFF" w:rsidRPr="002968EC">
        <w:rPr>
          <w:rFonts w:asciiTheme="minorHAnsi" w:hAnsiTheme="minorHAnsi" w:cs="Calibri"/>
          <w:lang w:val="mk-MK"/>
        </w:rPr>
        <w:t xml:space="preserve"> да биде разгледана. </w:t>
      </w:r>
      <w:r w:rsidR="00826F9D" w:rsidRPr="002968EC">
        <w:rPr>
          <w:rFonts w:asciiTheme="minorHAnsi" w:hAnsiTheme="minorHAnsi" w:cs="Calibri"/>
          <w:lang w:val="mk-MK"/>
        </w:rPr>
        <w:t xml:space="preserve">Во таа насока ќе биде соодветно да биде разгледана дефиниција на услуга која би содржела и други елементи на услуги, кои во суштина и на прв поглед се незаменливи на страна на понуда или побарувачка со </w:t>
      </w:r>
      <w:r w:rsidR="00807618" w:rsidRPr="002968EC">
        <w:rPr>
          <w:rFonts w:asciiTheme="minorHAnsi" w:hAnsiTheme="minorHAnsi" w:cs="Calibri"/>
          <w:lang w:val="mk-MK"/>
        </w:rPr>
        <w:t xml:space="preserve">услуга за пристап до </w:t>
      </w:r>
      <w:r w:rsidR="008A38F9" w:rsidRPr="002968EC">
        <w:rPr>
          <w:rFonts w:asciiTheme="minorHAnsi" w:hAnsiTheme="minorHAnsi" w:cs="Calibri"/>
          <w:lang w:val="mk-MK"/>
        </w:rPr>
        <w:t xml:space="preserve">јавна електронска комуникациска </w:t>
      </w:r>
      <w:r w:rsidR="008A38F9" w:rsidRPr="002968EC">
        <w:rPr>
          <w:rFonts w:asciiTheme="minorHAnsi" w:hAnsiTheme="minorHAnsi" w:cs="Calibri"/>
          <w:lang w:val="mk-MK"/>
        </w:rPr>
        <w:lastRenderedPageBreak/>
        <w:t>мрежа на фиксна локација</w:t>
      </w:r>
      <w:r w:rsidR="00826F9D" w:rsidRPr="002968EC">
        <w:rPr>
          <w:rFonts w:asciiTheme="minorHAnsi" w:hAnsiTheme="minorHAnsi" w:cs="Calibri"/>
          <w:lang w:val="mk-MK"/>
        </w:rPr>
        <w:t>.</w:t>
      </w:r>
      <w:r w:rsidR="00F01B3A" w:rsidRPr="002968EC">
        <w:rPr>
          <w:rFonts w:asciiTheme="minorHAnsi" w:hAnsiTheme="minorHAnsi" w:cs="Calibri"/>
          <w:lang w:val="mk-MK"/>
        </w:rPr>
        <w:t xml:space="preserve"> На пример, кога краен корис</w:t>
      </w:r>
      <w:r w:rsidR="00D30C83" w:rsidRPr="002968EC">
        <w:rPr>
          <w:rFonts w:asciiTheme="minorHAnsi" w:hAnsiTheme="minorHAnsi" w:cs="Calibri"/>
          <w:lang w:val="mk-MK"/>
        </w:rPr>
        <w:t xml:space="preserve">ник купува пакетирана услуга, тогаш </w:t>
      </w:r>
      <w:r w:rsidR="00F01B3A" w:rsidRPr="002968EC">
        <w:rPr>
          <w:rFonts w:asciiTheme="minorHAnsi" w:hAnsiTheme="minorHAnsi" w:cs="Calibri"/>
          <w:lang w:val="mk-MK"/>
        </w:rPr>
        <w:t xml:space="preserve">целокупниот фокус на малопродажниот пазар е на цената на целиот пакет, </w:t>
      </w:r>
      <w:r w:rsidR="00AD015B" w:rsidRPr="002968EC">
        <w:rPr>
          <w:rFonts w:asciiTheme="minorHAnsi" w:hAnsiTheme="minorHAnsi" w:cs="Calibri"/>
          <w:lang w:val="mk-MK"/>
        </w:rPr>
        <w:t>наспроти</w:t>
      </w:r>
      <w:r w:rsidR="00F01B3A" w:rsidRPr="002968EC">
        <w:rPr>
          <w:rFonts w:asciiTheme="minorHAnsi" w:hAnsiTheme="minorHAnsi" w:cs="Calibri"/>
          <w:lang w:val="mk-MK"/>
        </w:rPr>
        <w:t xml:space="preserve"> цените на секоја индивидуална услуга што го сочинува тој пакет купена поединечно, </w:t>
      </w:r>
      <w:r w:rsidR="00032CF5">
        <w:rPr>
          <w:rFonts w:asciiTheme="minorHAnsi" w:hAnsiTheme="minorHAnsi" w:cs="Calibri"/>
          <w:lang w:val="mk-MK"/>
        </w:rPr>
        <w:t>од таа причина</w:t>
      </w:r>
      <w:r w:rsidR="00D30C83" w:rsidRPr="002968EC">
        <w:rPr>
          <w:rFonts w:asciiTheme="minorHAnsi" w:hAnsiTheme="minorHAnsi" w:cs="Calibri"/>
          <w:lang w:val="mk-MK"/>
        </w:rPr>
        <w:t xml:space="preserve">, </w:t>
      </w:r>
      <w:r w:rsidR="00F01B3A" w:rsidRPr="002968EC">
        <w:rPr>
          <w:rFonts w:asciiTheme="minorHAnsi" w:hAnsiTheme="minorHAnsi" w:cs="Calibri"/>
          <w:lang w:val="mk-MK"/>
        </w:rPr>
        <w:t>дефин</w:t>
      </w:r>
      <w:r w:rsidR="00AD015B" w:rsidRPr="002968EC">
        <w:rPr>
          <w:rFonts w:asciiTheme="minorHAnsi" w:hAnsiTheme="minorHAnsi" w:cs="Calibri"/>
          <w:lang w:val="mk-MK"/>
        </w:rPr>
        <w:t>и</w:t>
      </w:r>
      <w:r w:rsidR="00F01B3A" w:rsidRPr="002968EC">
        <w:rPr>
          <w:rFonts w:asciiTheme="minorHAnsi" w:hAnsiTheme="minorHAnsi" w:cs="Calibri"/>
          <w:lang w:val="mk-MK"/>
        </w:rPr>
        <w:t>ција на пазар за пакетирани услуги би била соодветна иако услугите внатре во пакетот не претставуваат супститут една на друга.</w:t>
      </w:r>
    </w:p>
    <w:p w:rsidR="007B7B39" w:rsidRPr="002968EC" w:rsidRDefault="002D66F0" w:rsidP="00781AEE">
      <w:pPr>
        <w:rPr>
          <w:rFonts w:asciiTheme="minorHAnsi" w:hAnsiTheme="minorHAnsi" w:cs="Calibri"/>
          <w:lang w:val="mk-MK"/>
        </w:rPr>
      </w:pPr>
      <w:r w:rsidRPr="002968EC">
        <w:rPr>
          <w:rFonts w:asciiTheme="minorHAnsi" w:hAnsiTheme="minorHAnsi" w:cs="Calibri"/>
          <w:lang w:val="mk-MK"/>
        </w:rPr>
        <w:t xml:space="preserve">Во случај кога поради постоењето на </w:t>
      </w:r>
      <w:r w:rsidRPr="002968EC">
        <w:rPr>
          <w:rFonts w:asciiTheme="minorHAnsi" w:hAnsiTheme="minorHAnsi" w:cs="Calibri"/>
        </w:rPr>
        <w:t>“</w:t>
      </w:r>
      <w:r w:rsidRPr="002968EC">
        <w:rPr>
          <w:rFonts w:asciiTheme="minorHAnsi" w:hAnsiTheme="minorHAnsi" w:cs="Calibri"/>
          <w:lang w:val="mk-MK"/>
        </w:rPr>
        <w:t>трансакциски трошоци</w:t>
      </w:r>
      <w:r w:rsidRPr="002968EC">
        <w:rPr>
          <w:rFonts w:asciiTheme="minorHAnsi" w:hAnsiTheme="minorHAnsi" w:cs="Calibri"/>
        </w:rPr>
        <w:t>”</w:t>
      </w:r>
      <w:r w:rsidRPr="002968EC">
        <w:rPr>
          <w:rFonts w:asciiTheme="minorHAnsi" w:hAnsiTheme="minorHAnsi" w:cs="Calibri"/>
          <w:lang w:val="mk-MK"/>
        </w:rPr>
        <w:t xml:space="preserve">, поедноставно и поефтино е користењето на пакетирана услуга, односно користење на услуги од еден добавувач (оператор), пакетираната услуга </w:t>
      </w:r>
      <w:r w:rsidR="001D1961" w:rsidRPr="002968EC">
        <w:rPr>
          <w:rFonts w:asciiTheme="minorHAnsi" w:hAnsiTheme="minorHAnsi" w:cs="Calibri"/>
          <w:lang w:val="mk-MK"/>
        </w:rPr>
        <w:t xml:space="preserve">би </w:t>
      </w:r>
      <w:r w:rsidRPr="002968EC">
        <w:rPr>
          <w:rFonts w:asciiTheme="minorHAnsi" w:hAnsiTheme="minorHAnsi" w:cs="Calibri"/>
          <w:lang w:val="mk-MK"/>
        </w:rPr>
        <w:t>може</w:t>
      </w:r>
      <w:r w:rsidR="001D1961" w:rsidRPr="002968EC">
        <w:rPr>
          <w:rFonts w:asciiTheme="minorHAnsi" w:hAnsiTheme="minorHAnsi" w:cs="Calibri"/>
          <w:lang w:val="mk-MK"/>
        </w:rPr>
        <w:t>ла</w:t>
      </w:r>
      <w:r w:rsidRPr="002968EC">
        <w:rPr>
          <w:rFonts w:asciiTheme="minorHAnsi" w:hAnsiTheme="minorHAnsi" w:cs="Calibri"/>
          <w:lang w:val="mk-MK"/>
        </w:rPr>
        <w:t xml:space="preserve"> да </w:t>
      </w:r>
      <w:r w:rsidR="001D1961" w:rsidRPr="002968EC">
        <w:rPr>
          <w:rFonts w:asciiTheme="minorHAnsi" w:hAnsiTheme="minorHAnsi" w:cs="Calibri"/>
          <w:lang w:val="mk-MK"/>
        </w:rPr>
        <w:t>се вклучи во</w:t>
      </w:r>
      <w:r w:rsidRPr="002968EC">
        <w:rPr>
          <w:rFonts w:asciiTheme="minorHAnsi" w:hAnsiTheme="minorHAnsi" w:cs="Calibri"/>
          <w:lang w:val="mk-MK"/>
        </w:rPr>
        <w:t xml:space="preserve"> дефиниција</w:t>
      </w:r>
      <w:r w:rsidR="00051F66" w:rsidRPr="002968EC">
        <w:rPr>
          <w:rFonts w:asciiTheme="minorHAnsi" w:hAnsiTheme="minorHAnsi" w:cs="Calibri"/>
          <w:lang w:val="mk-MK"/>
        </w:rPr>
        <w:t>та</w:t>
      </w:r>
      <w:r w:rsidRPr="002968EC">
        <w:rPr>
          <w:rFonts w:asciiTheme="minorHAnsi" w:hAnsiTheme="minorHAnsi" w:cs="Calibri"/>
          <w:lang w:val="mk-MK"/>
        </w:rPr>
        <w:t xml:space="preserve"> за </w:t>
      </w:r>
      <w:r w:rsidR="00051F66" w:rsidRPr="002968EC">
        <w:rPr>
          <w:rFonts w:asciiTheme="minorHAnsi" w:hAnsiTheme="minorHAnsi" w:cs="Calibri"/>
          <w:lang w:val="mk-MK"/>
        </w:rPr>
        <w:t xml:space="preserve">релевантниот </w:t>
      </w:r>
      <w:r w:rsidRPr="002968EC">
        <w:rPr>
          <w:rFonts w:asciiTheme="minorHAnsi" w:hAnsiTheme="minorHAnsi" w:cs="Calibri"/>
          <w:lang w:val="mk-MK"/>
        </w:rPr>
        <w:t>пазар.  Меѓутоа Извештајот</w:t>
      </w:r>
      <w:r w:rsidRPr="002968EC">
        <w:rPr>
          <w:rStyle w:val="FootnoteReference"/>
          <w:rFonts w:asciiTheme="minorHAnsi" w:hAnsiTheme="minorHAnsi" w:cs="Calibri"/>
          <w:lang w:val="mk-MK"/>
        </w:rPr>
        <w:footnoteReference w:id="3"/>
      </w:r>
      <w:r w:rsidRPr="002968EC">
        <w:rPr>
          <w:rFonts w:asciiTheme="minorHAnsi" w:hAnsiTheme="minorHAnsi" w:cs="Calibri"/>
          <w:lang w:val="mk-MK"/>
        </w:rPr>
        <w:t xml:space="preserve"> на БЕРЕК (</w:t>
      </w:r>
      <w:r w:rsidRPr="002968EC">
        <w:rPr>
          <w:rFonts w:asciiTheme="minorHAnsi" w:hAnsiTheme="minorHAnsi" w:cs="Calibri"/>
        </w:rPr>
        <w:t>BEREC)</w:t>
      </w:r>
      <w:r w:rsidRPr="002968EC">
        <w:rPr>
          <w:rFonts w:asciiTheme="minorHAnsi" w:hAnsiTheme="minorHAnsi" w:cs="Calibri"/>
          <w:lang w:val="mk-MK"/>
        </w:rPr>
        <w:t xml:space="preserve"> за влијанието на пакетираните услуги врз дефиницијата на малопродажните и големопродажните пазари, укажува дека постоењето на одвоени пазари за пакетирани услуги не мора неминовно да значи дека постојат конкурентски проблеми помеѓу индивидуалните услуги </w:t>
      </w:r>
      <w:r w:rsidR="00051F66" w:rsidRPr="002968EC">
        <w:rPr>
          <w:rFonts w:asciiTheme="minorHAnsi" w:hAnsiTheme="minorHAnsi" w:cs="Calibri"/>
          <w:lang w:val="mk-MK"/>
        </w:rPr>
        <w:t>во</w:t>
      </w:r>
      <w:r w:rsidRPr="002968EC">
        <w:rPr>
          <w:rFonts w:asciiTheme="minorHAnsi" w:hAnsiTheme="minorHAnsi" w:cs="Calibri"/>
          <w:lang w:val="mk-MK"/>
        </w:rPr>
        <w:t xml:space="preserve"> пакетот.</w:t>
      </w:r>
    </w:p>
    <w:p w:rsidR="00196782" w:rsidRPr="002968EC" w:rsidRDefault="007B7B39" w:rsidP="00781AEE">
      <w:pPr>
        <w:rPr>
          <w:rFonts w:asciiTheme="minorHAnsi" w:hAnsiTheme="minorHAnsi" w:cs="Calibri"/>
          <w:lang w:val="mk-MK"/>
        </w:rPr>
      </w:pPr>
      <w:r w:rsidRPr="002968EC">
        <w:rPr>
          <w:rFonts w:asciiTheme="minorHAnsi" w:hAnsiTheme="minorHAnsi" w:cs="Calibri"/>
          <w:lang w:val="mk-MK"/>
        </w:rPr>
        <w:t xml:space="preserve">При дефинирањето на клучните претпоставки на оваа Анализа, </w:t>
      </w:r>
      <w:r w:rsidR="007967C2" w:rsidRPr="002968EC">
        <w:rPr>
          <w:rFonts w:asciiTheme="minorHAnsi" w:hAnsiTheme="minorHAnsi" w:cs="Calibri"/>
          <w:lang w:val="mk-MK"/>
        </w:rPr>
        <w:t>АЕК</w:t>
      </w:r>
      <w:r w:rsidRPr="002968EC">
        <w:rPr>
          <w:rFonts w:asciiTheme="minorHAnsi" w:hAnsiTheme="minorHAnsi" w:cs="Calibri"/>
          <w:lang w:val="mk-MK"/>
        </w:rPr>
        <w:t xml:space="preserve"> се базира и ги зема во предвид </w:t>
      </w:r>
      <w:r w:rsidR="008225E5" w:rsidRPr="002968EC">
        <w:rPr>
          <w:rFonts w:asciiTheme="minorHAnsi" w:hAnsiTheme="minorHAnsi" w:cs="Calibri"/>
          <w:lang w:val="mk-MK"/>
        </w:rPr>
        <w:t>информациите и податоците</w:t>
      </w:r>
      <w:r w:rsidRPr="002968EC">
        <w:rPr>
          <w:rFonts w:asciiTheme="minorHAnsi" w:hAnsiTheme="minorHAnsi" w:cs="Calibri"/>
          <w:lang w:val="mk-MK"/>
        </w:rPr>
        <w:t xml:space="preserve"> добиени </w:t>
      </w:r>
      <w:r w:rsidR="008225E5" w:rsidRPr="002968EC">
        <w:rPr>
          <w:rFonts w:asciiTheme="minorHAnsi" w:hAnsiTheme="minorHAnsi" w:cs="Calibri"/>
          <w:lang w:val="mk-MK"/>
        </w:rPr>
        <w:t xml:space="preserve">од </w:t>
      </w:r>
      <w:r w:rsidRPr="002968EC">
        <w:rPr>
          <w:rFonts w:asciiTheme="minorHAnsi" w:hAnsiTheme="minorHAnsi" w:cs="Calibri"/>
          <w:lang w:val="mk-MK"/>
        </w:rPr>
        <w:t xml:space="preserve">Кварталните извештаи и Испитувањето на јавното мислење на пазарите на електронски комуникации кои постојат и се објавени на веб страната на </w:t>
      </w:r>
      <w:r w:rsidR="007967C2" w:rsidRPr="002968EC">
        <w:rPr>
          <w:rFonts w:asciiTheme="minorHAnsi" w:hAnsiTheme="minorHAnsi" w:cs="Calibri"/>
          <w:lang w:val="mk-MK"/>
        </w:rPr>
        <w:t>АЕК</w:t>
      </w:r>
      <w:r w:rsidRPr="002968EC">
        <w:rPr>
          <w:rFonts w:asciiTheme="minorHAnsi" w:hAnsiTheme="minorHAnsi" w:cs="Calibri"/>
          <w:lang w:val="mk-MK"/>
        </w:rPr>
        <w:t>.</w:t>
      </w:r>
      <w:r w:rsidRPr="002968EC">
        <w:rPr>
          <w:rStyle w:val="FootnoteReference"/>
          <w:rFonts w:asciiTheme="minorHAnsi" w:hAnsiTheme="minorHAnsi" w:cs="Calibri"/>
          <w:lang w:val="mk-MK"/>
        </w:rPr>
        <w:footnoteReference w:id="4"/>
      </w:r>
      <w:r w:rsidR="002D66F0" w:rsidRPr="002968EC">
        <w:rPr>
          <w:rFonts w:asciiTheme="minorHAnsi" w:hAnsiTheme="minorHAnsi" w:cs="Calibri"/>
          <w:lang w:val="mk-MK"/>
        </w:rPr>
        <w:t xml:space="preserve"> </w:t>
      </w:r>
    </w:p>
    <w:p w:rsidR="00196782" w:rsidRDefault="002968EC" w:rsidP="002968EC">
      <w:pPr>
        <w:pStyle w:val="Heading2"/>
        <w:rPr>
          <w:lang w:val="mk-MK"/>
        </w:rPr>
      </w:pPr>
      <w:bookmarkStart w:id="13" w:name="_Toc461617738"/>
      <w:r>
        <w:rPr>
          <w:lang w:val="mk-MK"/>
        </w:rPr>
        <w:t>8</w:t>
      </w:r>
      <w:r w:rsidR="004E5400" w:rsidRPr="002968EC">
        <w:t xml:space="preserve">.2 </w:t>
      </w:r>
      <w:r w:rsidR="00196782" w:rsidRPr="002968EC">
        <w:t>Услуги кои се нудат на пазарот</w:t>
      </w:r>
      <w:bookmarkEnd w:id="13"/>
    </w:p>
    <w:p w:rsidR="00032CF5" w:rsidRDefault="00032CF5">
      <w:pPr>
        <w:rPr>
          <w:lang w:val="mk-MK"/>
        </w:rPr>
      </w:pPr>
    </w:p>
    <w:p w:rsidR="00B64823" w:rsidRPr="002968EC" w:rsidRDefault="00B64823" w:rsidP="00781AEE">
      <w:pPr>
        <w:rPr>
          <w:rFonts w:asciiTheme="minorHAnsi" w:hAnsiTheme="minorHAnsi" w:cs="Calibri"/>
          <w:lang w:val="mk-MK"/>
        </w:rPr>
      </w:pPr>
      <w:r w:rsidRPr="002968EC">
        <w:rPr>
          <w:rFonts w:asciiTheme="minorHAnsi" w:hAnsiTheme="minorHAnsi" w:cs="Calibri"/>
          <w:lang w:val="mk-MK"/>
        </w:rPr>
        <w:t xml:space="preserve">За да биде одредена </w:t>
      </w:r>
      <w:r w:rsidR="00A34E07" w:rsidRPr="002968EC">
        <w:rPr>
          <w:rFonts w:asciiTheme="minorHAnsi" w:hAnsiTheme="minorHAnsi" w:cs="Calibri"/>
          <w:lang w:val="mk-MK"/>
        </w:rPr>
        <w:t>големината</w:t>
      </w:r>
      <w:r w:rsidRPr="002968EC">
        <w:rPr>
          <w:rFonts w:asciiTheme="minorHAnsi" w:hAnsiTheme="minorHAnsi" w:cs="Calibri"/>
          <w:lang w:val="mk-MK"/>
        </w:rPr>
        <w:t xml:space="preserve"> на овој пазар, </w:t>
      </w:r>
      <w:r w:rsidR="007967C2" w:rsidRPr="002968EC">
        <w:rPr>
          <w:rFonts w:asciiTheme="minorHAnsi" w:hAnsiTheme="minorHAnsi" w:cs="Calibri"/>
          <w:lang w:val="mk-MK"/>
        </w:rPr>
        <w:t>АЕК</w:t>
      </w:r>
      <w:r w:rsidRPr="002968EC">
        <w:rPr>
          <w:rFonts w:asciiTheme="minorHAnsi" w:hAnsiTheme="minorHAnsi" w:cs="Calibri"/>
          <w:lang w:val="mk-MK"/>
        </w:rPr>
        <w:t xml:space="preserve"> започнува да </w:t>
      </w:r>
      <w:r w:rsidR="00C13E60" w:rsidRPr="002968EC">
        <w:rPr>
          <w:rFonts w:asciiTheme="minorHAnsi" w:hAnsiTheme="minorHAnsi" w:cs="Calibri"/>
          <w:lang w:val="mk-MK"/>
        </w:rPr>
        <w:t>размислува дали пазарот е по</w:t>
      </w:r>
      <w:r w:rsidR="00A643CD" w:rsidRPr="002968EC">
        <w:rPr>
          <w:rFonts w:asciiTheme="minorHAnsi" w:hAnsiTheme="minorHAnsi" w:cs="Calibri"/>
          <w:lang w:val="mk-MK"/>
        </w:rPr>
        <w:t>голем</w:t>
      </w:r>
      <w:r w:rsidR="00C13E60" w:rsidRPr="002968EC">
        <w:rPr>
          <w:rFonts w:asciiTheme="minorHAnsi" w:hAnsiTheme="minorHAnsi" w:cs="Calibri"/>
          <w:lang w:val="mk-MK"/>
        </w:rPr>
        <w:t xml:space="preserve"> од неговата досегашна дефиниција</w:t>
      </w:r>
      <w:r w:rsidR="00032CF5">
        <w:rPr>
          <w:rFonts w:asciiTheme="minorHAnsi" w:hAnsiTheme="minorHAnsi" w:cs="Calibri"/>
          <w:lang w:val="mk-MK"/>
        </w:rPr>
        <w:t>,</w:t>
      </w:r>
      <w:r w:rsidR="00C13E60" w:rsidRPr="002968EC">
        <w:rPr>
          <w:rFonts w:asciiTheme="minorHAnsi" w:hAnsiTheme="minorHAnsi" w:cs="Calibri"/>
          <w:lang w:val="mk-MK"/>
        </w:rPr>
        <w:t xml:space="preserve"> </w:t>
      </w:r>
      <w:r w:rsidR="00032CF5">
        <w:rPr>
          <w:rFonts w:asciiTheme="minorHAnsi" w:hAnsiTheme="minorHAnsi" w:cs="Calibri"/>
          <w:lang w:val="mk-MK"/>
        </w:rPr>
        <w:t>о</w:t>
      </w:r>
      <w:r w:rsidR="00C13E60" w:rsidRPr="002968EC">
        <w:rPr>
          <w:rFonts w:asciiTheme="minorHAnsi" w:hAnsiTheme="minorHAnsi" w:cs="Calibri"/>
          <w:lang w:val="mk-MK"/>
        </w:rPr>
        <w:t xml:space="preserve">дносно дали во тој пазар спаѓаат и пакетираните услуги како пристап и говор, широкопојасен интернет и телевизија. </w:t>
      </w:r>
      <w:r w:rsidR="007967C2" w:rsidRPr="002968EC">
        <w:rPr>
          <w:rFonts w:asciiTheme="minorHAnsi" w:hAnsiTheme="minorHAnsi" w:cs="Calibri"/>
          <w:lang w:val="mk-MK"/>
        </w:rPr>
        <w:t>АЕК</w:t>
      </w:r>
      <w:r w:rsidR="00C13E60" w:rsidRPr="002968EC">
        <w:rPr>
          <w:rFonts w:asciiTheme="minorHAnsi" w:hAnsiTheme="minorHAnsi" w:cs="Calibri"/>
          <w:lang w:val="mk-MK"/>
        </w:rPr>
        <w:t xml:space="preserve"> разгледува дали </w:t>
      </w:r>
      <w:r w:rsidR="00D46B04" w:rsidRPr="002968EC">
        <w:rPr>
          <w:rFonts w:asciiTheme="minorHAnsi" w:hAnsiTheme="minorHAnsi" w:cs="Calibri"/>
          <w:lang w:val="mk-MK"/>
        </w:rPr>
        <w:t>дефиницијата на пазарот</w:t>
      </w:r>
      <w:r w:rsidR="00C13E60" w:rsidRPr="002968EC">
        <w:rPr>
          <w:rFonts w:asciiTheme="minorHAnsi" w:hAnsiTheme="minorHAnsi" w:cs="Calibri"/>
          <w:lang w:val="mk-MK"/>
        </w:rPr>
        <w:t xml:space="preserve"> </w:t>
      </w:r>
      <w:r w:rsidR="00273738" w:rsidRPr="002968EC">
        <w:rPr>
          <w:rFonts w:asciiTheme="minorHAnsi" w:hAnsiTheme="minorHAnsi" w:cs="Calibri"/>
          <w:lang w:val="mk-MK"/>
        </w:rPr>
        <w:t xml:space="preserve">за пристап до </w:t>
      </w:r>
      <w:r w:rsidR="008A38F9" w:rsidRPr="002968EC">
        <w:rPr>
          <w:rFonts w:asciiTheme="minorHAnsi" w:hAnsiTheme="minorHAnsi"/>
          <w:lang w:val="mk-MK"/>
        </w:rPr>
        <w:t>јавна електронска комуникациска мрежа на фиксна локација</w:t>
      </w:r>
      <w:r w:rsidR="00F04D07" w:rsidRPr="002968EC">
        <w:rPr>
          <w:rFonts w:asciiTheme="minorHAnsi" w:hAnsiTheme="minorHAnsi" w:cs="Calibri"/>
          <w:lang w:val="mk-MK"/>
        </w:rPr>
        <w:t xml:space="preserve"> </w:t>
      </w:r>
      <w:r w:rsidR="00C13E60" w:rsidRPr="002968EC">
        <w:rPr>
          <w:rFonts w:asciiTheme="minorHAnsi" w:hAnsiTheme="minorHAnsi" w:cs="Calibri"/>
          <w:lang w:val="mk-MK"/>
        </w:rPr>
        <w:t>треба да содржи и некои дополнителни услуги, односно дали треба да има поширока дефиниција на овој пазар. Понатаму треб</w:t>
      </w:r>
      <w:r w:rsidR="00B2031E" w:rsidRPr="002968EC">
        <w:rPr>
          <w:rFonts w:asciiTheme="minorHAnsi" w:hAnsiTheme="minorHAnsi" w:cs="Calibri"/>
          <w:lang w:val="mk-MK"/>
        </w:rPr>
        <w:t>а</w:t>
      </w:r>
      <w:r w:rsidR="00C13E60" w:rsidRPr="002968EC">
        <w:rPr>
          <w:rFonts w:asciiTheme="minorHAnsi" w:hAnsiTheme="minorHAnsi" w:cs="Calibri"/>
          <w:lang w:val="mk-MK"/>
        </w:rPr>
        <w:t xml:space="preserve"> да биде одредено дали определени услуги како </w:t>
      </w:r>
      <w:r w:rsidR="00D46B04" w:rsidRPr="002968EC">
        <w:rPr>
          <w:rFonts w:asciiTheme="minorHAnsi" w:hAnsiTheme="minorHAnsi" w:cs="Calibri"/>
          <w:lang w:val="mk-MK"/>
        </w:rPr>
        <w:t>управуван</w:t>
      </w:r>
      <w:r w:rsidR="00C13E60" w:rsidRPr="002968EC">
        <w:rPr>
          <w:rFonts w:asciiTheme="minorHAnsi" w:hAnsiTheme="minorHAnsi" w:cs="Calibri"/>
          <w:lang w:val="mk-MK"/>
        </w:rPr>
        <w:t xml:space="preserve"> </w:t>
      </w:r>
      <w:r w:rsidR="005C5C5E" w:rsidRPr="002968EC">
        <w:rPr>
          <w:rFonts w:asciiTheme="minorHAnsi" w:hAnsiTheme="minorHAnsi" w:cs="Calibri"/>
          <w:lang w:val="mk-MK"/>
        </w:rPr>
        <w:t>ВОИП</w:t>
      </w:r>
      <w:r w:rsidR="00C13E60" w:rsidRPr="002968EC">
        <w:rPr>
          <w:rFonts w:asciiTheme="minorHAnsi" w:hAnsiTheme="minorHAnsi" w:cs="Calibri"/>
        </w:rPr>
        <w:t xml:space="preserve"> </w:t>
      </w:r>
      <w:r w:rsidR="00C13E60" w:rsidRPr="002968EC">
        <w:rPr>
          <w:rFonts w:asciiTheme="minorHAnsi" w:hAnsiTheme="minorHAnsi" w:cs="Calibri"/>
          <w:lang w:val="mk-MK"/>
        </w:rPr>
        <w:t xml:space="preserve">обезбеден преку широкопојасен </w:t>
      </w:r>
      <w:r w:rsidR="005C5C5E" w:rsidRPr="002968EC">
        <w:rPr>
          <w:rFonts w:asciiTheme="minorHAnsi" w:hAnsiTheme="minorHAnsi" w:cs="Calibri"/>
          <w:lang w:val="mk-MK"/>
        </w:rPr>
        <w:t>пристап</w:t>
      </w:r>
      <w:r w:rsidR="00C13E60" w:rsidRPr="002968EC">
        <w:rPr>
          <w:rFonts w:asciiTheme="minorHAnsi" w:hAnsiTheme="minorHAnsi" w:cs="Calibri"/>
          <w:lang w:val="mk-MK"/>
        </w:rPr>
        <w:t xml:space="preserve"> или мобилен пристап, се дел од евентуална проширена дефиниција на овој пазар.</w:t>
      </w:r>
      <w:r w:rsidR="00B2031E" w:rsidRPr="002968EC">
        <w:rPr>
          <w:rFonts w:asciiTheme="minorHAnsi" w:hAnsiTheme="minorHAnsi" w:cs="Calibri"/>
          <w:lang w:val="mk-MK"/>
        </w:rPr>
        <w:t xml:space="preserve"> При одредување на пазарната дефиниција потребно е да се разглед</w:t>
      </w:r>
      <w:r w:rsidR="00ED172F" w:rsidRPr="002968EC">
        <w:rPr>
          <w:rFonts w:asciiTheme="minorHAnsi" w:hAnsiTheme="minorHAnsi" w:cs="Calibri"/>
          <w:lang w:val="mk-MK"/>
        </w:rPr>
        <w:t>а</w:t>
      </w:r>
      <w:r w:rsidR="00B2031E" w:rsidRPr="002968EC">
        <w:rPr>
          <w:rFonts w:asciiTheme="minorHAnsi" w:hAnsiTheme="minorHAnsi" w:cs="Calibri"/>
          <w:lang w:val="mk-MK"/>
        </w:rPr>
        <w:t>ат следните прашања:</w:t>
      </w:r>
    </w:p>
    <w:p w:rsidR="00B2031E" w:rsidRPr="002968EC" w:rsidRDefault="00B923F2" w:rsidP="001508FA">
      <w:pPr>
        <w:numPr>
          <w:ilvl w:val="0"/>
          <w:numId w:val="1"/>
        </w:numPr>
        <w:spacing w:after="120"/>
        <w:rPr>
          <w:rFonts w:asciiTheme="minorHAnsi" w:hAnsiTheme="minorHAnsi" w:cs="Calibri"/>
          <w:lang w:val="mk-MK"/>
        </w:rPr>
      </w:pPr>
      <w:r w:rsidRPr="002968EC">
        <w:rPr>
          <w:rFonts w:asciiTheme="minorHAnsi" w:hAnsiTheme="minorHAnsi" w:cs="Calibri"/>
          <w:lang w:val="mk-MK"/>
        </w:rPr>
        <w:t xml:space="preserve">дали </w:t>
      </w:r>
      <w:r w:rsidR="00BF35F6" w:rsidRPr="002968EC">
        <w:rPr>
          <w:rFonts w:asciiTheme="minorHAnsi" w:hAnsiTheme="minorHAnsi" w:cs="Calibri"/>
          <w:lang w:val="mk-MK"/>
        </w:rPr>
        <w:t>дел од овој релевантен пазар</w:t>
      </w:r>
      <w:r w:rsidRPr="002968EC">
        <w:rPr>
          <w:rFonts w:asciiTheme="minorHAnsi" w:hAnsiTheme="minorHAnsi" w:cs="Calibri"/>
          <w:lang w:val="mk-MK"/>
        </w:rPr>
        <w:t xml:space="preserve"> треба да биде услуга</w:t>
      </w:r>
      <w:r w:rsidR="00BF35F6" w:rsidRPr="002968EC">
        <w:rPr>
          <w:rFonts w:asciiTheme="minorHAnsi" w:hAnsiTheme="minorHAnsi" w:cs="Calibri"/>
          <w:lang w:val="mk-MK"/>
        </w:rPr>
        <w:t>та</w:t>
      </w:r>
      <w:r w:rsidRPr="002968EC">
        <w:rPr>
          <w:rFonts w:asciiTheme="minorHAnsi" w:hAnsiTheme="minorHAnsi" w:cs="Calibri"/>
          <w:lang w:val="mk-MK"/>
        </w:rPr>
        <w:t xml:space="preserve"> за пристап до </w:t>
      </w:r>
      <w:r w:rsidR="008A38F9" w:rsidRPr="002968EC">
        <w:rPr>
          <w:rFonts w:asciiTheme="minorHAnsi" w:hAnsiTheme="minorHAnsi" w:cs="Calibri"/>
          <w:lang w:val="mk-MK"/>
        </w:rPr>
        <w:t>јавна електронска комуникациска мрежа на фиксна локација</w:t>
      </w:r>
      <w:r w:rsidRPr="002968EC">
        <w:rPr>
          <w:rFonts w:asciiTheme="minorHAnsi" w:hAnsiTheme="minorHAnsi" w:cs="Calibri"/>
          <w:lang w:val="mk-MK"/>
        </w:rPr>
        <w:t xml:space="preserve"> на самостојна основа или пак услуга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Pr="002968EC">
        <w:rPr>
          <w:rFonts w:asciiTheme="minorHAnsi" w:hAnsiTheme="minorHAnsi" w:cs="Calibri"/>
          <w:lang w:val="mk-MK"/>
        </w:rPr>
        <w:t xml:space="preserve"> поврзана со други услуги</w:t>
      </w:r>
      <w:r w:rsidR="00B2031E" w:rsidRPr="002968EC">
        <w:rPr>
          <w:rFonts w:asciiTheme="minorHAnsi" w:hAnsiTheme="minorHAnsi" w:cs="Calibri"/>
          <w:lang w:val="mk-MK"/>
        </w:rPr>
        <w:t>?</w:t>
      </w:r>
    </w:p>
    <w:p w:rsidR="00456E14" w:rsidRPr="002968EC" w:rsidRDefault="00D35F1B" w:rsidP="001508FA">
      <w:pPr>
        <w:numPr>
          <w:ilvl w:val="0"/>
          <w:numId w:val="1"/>
        </w:numPr>
        <w:spacing w:after="120"/>
        <w:rPr>
          <w:rFonts w:asciiTheme="minorHAnsi" w:hAnsiTheme="minorHAnsi" w:cs="Calibri"/>
          <w:lang w:val="mk-MK"/>
        </w:rPr>
      </w:pPr>
      <w:r w:rsidRPr="002968EC">
        <w:rPr>
          <w:rFonts w:asciiTheme="minorHAnsi" w:hAnsiTheme="minorHAnsi" w:cs="Calibri"/>
          <w:lang w:val="mk-MK"/>
        </w:rPr>
        <w:t>дали услуг</w:t>
      </w:r>
      <w:r w:rsidR="00BF35F6" w:rsidRPr="002968EC">
        <w:rPr>
          <w:rFonts w:asciiTheme="minorHAnsi" w:hAnsiTheme="minorHAnsi" w:cs="Calibri"/>
          <w:lang w:val="mk-MK"/>
        </w:rPr>
        <w:t>ите</w:t>
      </w:r>
      <w:r w:rsidRPr="002968EC">
        <w:rPr>
          <w:rFonts w:asciiTheme="minorHAnsi" w:hAnsiTheme="minorHAnsi" w:cs="Calibri"/>
          <w:lang w:val="mk-MK"/>
        </w:rPr>
        <w:t xml:space="preserve"> за пристап до </w:t>
      </w:r>
      <w:r w:rsidR="008A38F9" w:rsidRPr="002968EC">
        <w:rPr>
          <w:rFonts w:asciiTheme="minorHAnsi" w:hAnsiTheme="minorHAnsi" w:cs="Calibri"/>
          <w:lang w:val="mk-MK"/>
        </w:rPr>
        <w:t>јавна електронска комуникациска мрежа на фиксна локација</w:t>
      </w:r>
      <w:r w:rsidRPr="002968EC">
        <w:rPr>
          <w:rFonts w:asciiTheme="minorHAnsi" w:hAnsiTheme="minorHAnsi" w:cs="Calibri"/>
          <w:lang w:val="mk-MK"/>
        </w:rPr>
        <w:t xml:space="preserve"> и јавно достапна телефонска услуга на фиксна локација</w:t>
      </w:r>
      <w:r w:rsidR="00BF35F6" w:rsidRPr="002968EC">
        <w:rPr>
          <w:rFonts w:asciiTheme="minorHAnsi" w:hAnsiTheme="minorHAnsi" w:cs="Calibri"/>
          <w:lang w:val="mk-MK"/>
        </w:rPr>
        <w:t xml:space="preserve"> се дел од истиот пазар</w:t>
      </w:r>
      <w:r w:rsidR="00A01C32" w:rsidRPr="002968EC">
        <w:rPr>
          <w:rFonts w:asciiTheme="minorHAnsi" w:hAnsiTheme="minorHAnsi" w:cs="Calibri"/>
          <w:lang w:val="mk-MK"/>
        </w:rPr>
        <w:t>?</w:t>
      </w:r>
    </w:p>
    <w:p w:rsidR="00D35F1B" w:rsidRPr="002968EC" w:rsidRDefault="00D35F1B" w:rsidP="001508FA">
      <w:pPr>
        <w:numPr>
          <w:ilvl w:val="0"/>
          <w:numId w:val="1"/>
        </w:numPr>
        <w:spacing w:after="120"/>
        <w:rPr>
          <w:rFonts w:asciiTheme="minorHAnsi" w:hAnsiTheme="minorHAnsi" w:cs="Calibri"/>
          <w:lang w:val="mk-MK"/>
        </w:rPr>
      </w:pPr>
      <w:r w:rsidRPr="002968EC">
        <w:rPr>
          <w:rFonts w:asciiTheme="minorHAnsi" w:hAnsiTheme="minorHAnsi" w:cs="Calibri"/>
          <w:lang w:val="mk-MK"/>
        </w:rPr>
        <w:t>дали резиденцијалните и деловните корисници се дел од истиот пазар?</w:t>
      </w:r>
    </w:p>
    <w:p w:rsidR="009555AF" w:rsidRPr="002968EC" w:rsidRDefault="009555AF" w:rsidP="001508FA">
      <w:pPr>
        <w:numPr>
          <w:ilvl w:val="0"/>
          <w:numId w:val="1"/>
        </w:numPr>
        <w:spacing w:after="120"/>
        <w:rPr>
          <w:rFonts w:asciiTheme="minorHAnsi" w:hAnsiTheme="minorHAnsi"/>
          <w:lang w:val="mk-MK"/>
        </w:rPr>
      </w:pPr>
      <w:r w:rsidRPr="002968EC">
        <w:rPr>
          <w:rFonts w:asciiTheme="minorHAnsi" w:hAnsiTheme="minorHAnsi"/>
          <w:lang w:val="mk-MK"/>
        </w:rPr>
        <w:lastRenderedPageBreak/>
        <w:t>дали фиксниот безжичен пристап  припаѓа на  пазарот за пристап до јавна електронска комуникациска мрежа</w:t>
      </w:r>
      <w:r w:rsidR="00BF35F6" w:rsidRPr="002968EC">
        <w:rPr>
          <w:rFonts w:asciiTheme="minorHAnsi" w:hAnsiTheme="minorHAnsi"/>
          <w:lang w:val="mk-MK"/>
        </w:rPr>
        <w:t xml:space="preserve"> на фиксна локација</w:t>
      </w:r>
      <w:r w:rsidRPr="002968EC">
        <w:rPr>
          <w:rFonts w:asciiTheme="minorHAnsi" w:hAnsiTheme="minorHAnsi"/>
          <w:lang w:val="mk-MK"/>
        </w:rPr>
        <w:t>?</w:t>
      </w:r>
      <w:r w:rsidRPr="002968EC">
        <w:rPr>
          <w:rFonts w:asciiTheme="minorHAnsi" w:hAnsiTheme="minorHAnsi"/>
        </w:rPr>
        <w:t xml:space="preserve"> </w:t>
      </w:r>
    </w:p>
    <w:p w:rsidR="009555AF" w:rsidRPr="002968EC" w:rsidRDefault="009555AF" w:rsidP="001508FA">
      <w:pPr>
        <w:pStyle w:val="ListParagraph"/>
        <w:numPr>
          <w:ilvl w:val="0"/>
          <w:numId w:val="1"/>
        </w:numPr>
        <w:spacing w:after="120"/>
        <w:rPr>
          <w:rFonts w:asciiTheme="minorHAnsi" w:hAnsiTheme="minorHAnsi"/>
          <w:b/>
          <w:lang w:val="mk-MK"/>
        </w:rPr>
      </w:pPr>
      <w:r w:rsidRPr="002968EC">
        <w:rPr>
          <w:rFonts w:asciiTheme="minorHAnsi" w:hAnsiTheme="minorHAnsi"/>
          <w:lang w:val="mk-MK"/>
        </w:rPr>
        <w:t xml:space="preserve">дали широкопојасен пристап до </w:t>
      </w:r>
      <w:r w:rsidR="008A38F9" w:rsidRPr="002968EC">
        <w:rPr>
          <w:rFonts w:asciiTheme="minorHAnsi" w:hAnsiTheme="minorHAnsi" w:cs="Calibri"/>
          <w:lang w:val="mk-MK"/>
        </w:rPr>
        <w:t>јавна електронска комуникациска мрежа на фиксна локација</w:t>
      </w:r>
      <w:r w:rsidR="00834616" w:rsidRPr="002968EC">
        <w:rPr>
          <w:rFonts w:asciiTheme="minorHAnsi" w:hAnsiTheme="minorHAnsi"/>
          <w:lang w:val="mk-MK"/>
        </w:rPr>
        <w:t xml:space="preserve"> </w:t>
      </w:r>
      <w:r w:rsidRPr="002968EC">
        <w:rPr>
          <w:rFonts w:asciiTheme="minorHAnsi" w:hAnsiTheme="minorHAnsi"/>
          <w:lang w:val="mk-MK"/>
        </w:rPr>
        <w:t xml:space="preserve">е ефикасен супститут на теснопојасниот пристап до </w:t>
      </w:r>
      <w:r w:rsidR="008A38F9" w:rsidRPr="002968EC">
        <w:rPr>
          <w:rFonts w:asciiTheme="minorHAnsi" w:hAnsiTheme="minorHAnsi" w:cs="Calibri"/>
          <w:lang w:val="mk-MK"/>
        </w:rPr>
        <w:t>јавна електронска комуникациска мрежа на фиксна локација</w:t>
      </w:r>
      <w:r w:rsidRPr="002968EC">
        <w:rPr>
          <w:rFonts w:asciiTheme="minorHAnsi" w:hAnsiTheme="minorHAnsi"/>
          <w:lang w:val="mk-MK"/>
        </w:rPr>
        <w:t>?</w:t>
      </w:r>
      <w:r w:rsidRPr="002968EC">
        <w:rPr>
          <w:rFonts w:asciiTheme="minorHAnsi" w:hAnsiTheme="minorHAnsi"/>
        </w:rPr>
        <w:t xml:space="preserve"> </w:t>
      </w:r>
    </w:p>
    <w:p w:rsidR="005F6146" w:rsidRPr="002968EC" w:rsidRDefault="005F6146" w:rsidP="001508FA">
      <w:pPr>
        <w:pStyle w:val="ListParagraph"/>
        <w:spacing w:after="120"/>
        <w:rPr>
          <w:rFonts w:asciiTheme="minorHAnsi" w:hAnsiTheme="minorHAnsi"/>
          <w:b/>
          <w:lang w:val="mk-MK"/>
        </w:rPr>
      </w:pPr>
    </w:p>
    <w:p w:rsidR="00456E14" w:rsidRPr="00F33DED" w:rsidRDefault="009555AF" w:rsidP="001508FA">
      <w:pPr>
        <w:pStyle w:val="ListParagraph"/>
        <w:numPr>
          <w:ilvl w:val="0"/>
          <w:numId w:val="1"/>
        </w:numPr>
        <w:spacing w:after="120"/>
        <w:rPr>
          <w:rFonts w:asciiTheme="minorHAnsi" w:hAnsiTheme="minorHAnsi"/>
          <w:b/>
          <w:lang w:val="mk-MK"/>
        </w:rPr>
      </w:pPr>
      <w:r w:rsidRPr="002968EC">
        <w:rPr>
          <w:rFonts w:asciiTheme="minorHAnsi" w:hAnsiTheme="minorHAnsi"/>
          <w:lang w:val="mk-MK"/>
        </w:rPr>
        <w:t xml:space="preserve">дали услугата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Pr="002968EC">
        <w:rPr>
          <w:rFonts w:asciiTheme="minorHAnsi" w:hAnsiTheme="minorHAnsi"/>
          <w:lang w:val="mk-MK"/>
        </w:rPr>
        <w:t xml:space="preserve"> и услугата за пристап до </w:t>
      </w:r>
      <w:r w:rsidR="00834616" w:rsidRPr="002968EC">
        <w:rPr>
          <w:rFonts w:asciiTheme="minorHAnsi" w:hAnsiTheme="minorHAnsi" w:cs="Calibri"/>
          <w:lang w:val="mk-MK"/>
        </w:rPr>
        <w:t>јавна мобилна електронска комуникациска мрежа</w:t>
      </w:r>
      <w:r w:rsidR="00834616" w:rsidRPr="002968EC">
        <w:rPr>
          <w:rFonts w:asciiTheme="minorHAnsi" w:hAnsiTheme="minorHAnsi"/>
          <w:lang w:val="mk-MK"/>
        </w:rPr>
        <w:t xml:space="preserve"> </w:t>
      </w:r>
      <w:r w:rsidRPr="002968EC">
        <w:rPr>
          <w:rFonts w:asciiTheme="minorHAnsi" w:hAnsiTheme="minorHAnsi"/>
          <w:lang w:val="mk-MK"/>
        </w:rPr>
        <w:t xml:space="preserve">се </w:t>
      </w:r>
      <w:r w:rsidR="00BF35F6" w:rsidRPr="002968EC">
        <w:rPr>
          <w:rFonts w:asciiTheme="minorHAnsi" w:hAnsiTheme="minorHAnsi"/>
          <w:lang w:val="mk-MK"/>
        </w:rPr>
        <w:t>дел од истиот</w:t>
      </w:r>
      <w:r w:rsidRPr="002968EC">
        <w:rPr>
          <w:rFonts w:asciiTheme="minorHAnsi" w:hAnsiTheme="minorHAnsi"/>
          <w:lang w:val="mk-MK"/>
        </w:rPr>
        <w:t xml:space="preserve"> релевантен пазар?</w:t>
      </w:r>
    </w:p>
    <w:p w:rsidR="00F33DED" w:rsidRPr="002968EC" w:rsidRDefault="00F33DED" w:rsidP="00F33DED">
      <w:pPr>
        <w:pStyle w:val="ListParagraph"/>
        <w:spacing w:after="120"/>
        <w:ind w:left="0"/>
        <w:rPr>
          <w:rFonts w:asciiTheme="minorHAnsi" w:hAnsiTheme="minorHAnsi"/>
          <w:b/>
          <w:lang w:val="mk-MK"/>
        </w:rPr>
      </w:pPr>
    </w:p>
    <w:p w:rsidR="007B5E83" w:rsidRPr="002968EC" w:rsidRDefault="007D0F41" w:rsidP="001508FA">
      <w:pPr>
        <w:pStyle w:val="ListParagraph"/>
        <w:numPr>
          <w:ilvl w:val="0"/>
          <w:numId w:val="1"/>
        </w:numPr>
        <w:spacing w:after="120"/>
        <w:rPr>
          <w:rFonts w:asciiTheme="minorHAnsi" w:hAnsiTheme="minorHAnsi" w:cs="Calibri"/>
          <w:lang w:val="mk-MK"/>
        </w:rPr>
      </w:pPr>
      <w:r w:rsidRPr="002968EC">
        <w:rPr>
          <w:rFonts w:asciiTheme="minorHAnsi" w:hAnsiTheme="minorHAnsi" w:cs="Calibri"/>
          <w:lang w:val="mk-MK"/>
        </w:rPr>
        <w:t>кој</w:t>
      </w:r>
      <w:r w:rsidR="00DD5C93" w:rsidRPr="002968EC">
        <w:rPr>
          <w:rFonts w:asciiTheme="minorHAnsi" w:hAnsiTheme="minorHAnsi" w:cs="Calibri"/>
          <w:lang w:val="mk-MK"/>
        </w:rPr>
        <w:t>а</w:t>
      </w:r>
      <w:r w:rsidRPr="002968EC">
        <w:rPr>
          <w:rFonts w:asciiTheme="minorHAnsi" w:hAnsiTheme="minorHAnsi" w:cs="Calibri"/>
          <w:lang w:val="mk-MK"/>
        </w:rPr>
        <w:t xml:space="preserve"> е географск</w:t>
      </w:r>
      <w:r w:rsidR="00DD5C93" w:rsidRPr="002968EC">
        <w:rPr>
          <w:rFonts w:asciiTheme="minorHAnsi" w:hAnsiTheme="minorHAnsi" w:cs="Calibri"/>
          <w:lang w:val="mk-MK"/>
        </w:rPr>
        <w:t>а</w:t>
      </w:r>
      <w:r w:rsidRPr="002968EC">
        <w:rPr>
          <w:rFonts w:asciiTheme="minorHAnsi" w:hAnsiTheme="minorHAnsi" w:cs="Calibri"/>
          <w:lang w:val="mk-MK"/>
        </w:rPr>
        <w:t>т</w:t>
      </w:r>
      <w:r w:rsidR="00DD5C93" w:rsidRPr="002968EC">
        <w:rPr>
          <w:rFonts w:asciiTheme="minorHAnsi" w:hAnsiTheme="minorHAnsi" w:cs="Calibri"/>
          <w:lang w:val="mk-MK"/>
        </w:rPr>
        <w:t>а големина</w:t>
      </w:r>
      <w:r w:rsidRPr="002968EC">
        <w:rPr>
          <w:rFonts w:asciiTheme="minorHAnsi" w:hAnsiTheme="minorHAnsi" w:cs="Calibri"/>
          <w:lang w:val="mk-MK"/>
        </w:rPr>
        <w:t xml:space="preserve"> на пазарот?</w:t>
      </w:r>
    </w:p>
    <w:p w:rsidR="00D32C1E" w:rsidRDefault="00D32C1E" w:rsidP="006E317C">
      <w:pPr>
        <w:pStyle w:val="Heading3"/>
        <w:rPr>
          <w:rFonts w:asciiTheme="minorHAnsi" w:hAnsiTheme="minorHAnsi"/>
          <w:lang w:val="mk-MK"/>
        </w:rPr>
      </w:pPr>
    </w:p>
    <w:p w:rsidR="00D6381C" w:rsidRPr="006E317C" w:rsidRDefault="006E317C" w:rsidP="006E317C">
      <w:pPr>
        <w:pStyle w:val="Heading3"/>
        <w:rPr>
          <w:rFonts w:asciiTheme="minorHAnsi" w:hAnsiTheme="minorHAnsi"/>
        </w:rPr>
      </w:pPr>
      <w:bookmarkStart w:id="14" w:name="_Toc461617739"/>
      <w:r>
        <w:rPr>
          <w:rFonts w:asciiTheme="minorHAnsi" w:hAnsiTheme="minorHAnsi"/>
          <w:lang w:val="mk-MK"/>
        </w:rPr>
        <w:t>8</w:t>
      </w:r>
      <w:r w:rsidR="004E5400" w:rsidRPr="006E317C">
        <w:rPr>
          <w:rFonts w:asciiTheme="minorHAnsi" w:hAnsiTheme="minorHAnsi"/>
        </w:rPr>
        <w:t xml:space="preserve">.2.1 </w:t>
      </w:r>
      <w:r w:rsidR="00310073" w:rsidRPr="006E317C">
        <w:rPr>
          <w:rFonts w:asciiTheme="minorHAnsi" w:hAnsiTheme="minorHAnsi"/>
        </w:rPr>
        <w:t xml:space="preserve">Дали </w:t>
      </w:r>
      <w:r w:rsidR="00BF35F6" w:rsidRPr="006E317C">
        <w:rPr>
          <w:rFonts w:asciiTheme="minorHAnsi" w:hAnsiTheme="minorHAnsi"/>
        </w:rPr>
        <w:t>дел од овој релевантен пазар</w:t>
      </w:r>
      <w:r w:rsidR="00310073" w:rsidRPr="006E317C">
        <w:rPr>
          <w:rFonts w:asciiTheme="minorHAnsi" w:hAnsiTheme="minorHAnsi"/>
        </w:rPr>
        <w:t xml:space="preserve"> треба да биде </w:t>
      </w:r>
      <w:r w:rsidR="00DD6B48" w:rsidRPr="006E317C">
        <w:rPr>
          <w:rFonts w:asciiTheme="minorHAnsi" w:hAnsiTheme="minorHAnsi"/>
        </w:rPr>
        <w:t>услуга</w:t>
      </w:r>
      <w:r w:rsidR="00BF35F6" w:rsidRPr="006E317C">
        <w:rPr>
          <w:rFonts w:asciiTheme="minorHAnsi" w:hAnsiTheme="minorHAnsi"/>
        </w:rPr>
        <w:t>та</w:t>
      </w:r>
      <w:r w:rsidR="00DD6B48" w:rsidRPr="006E317C">
        <w:rPr>
          <w:rFonts w:asciiTheme="minorHAnsi" w:hAnsiTheme="minorHAnsi"/>
        </w:rPr>
        <w:t xml:space="preserve"> за пристап до </w:t>
      </w:r>
      <w:r w:rsidR="008A38F9" w:rsidRPr="006E317C">
        <w:rPr>
          <w:rFonts w:asciiTheme="minorHAnsi" w:hAnsiTheme="minorHAnsi"/>
        </w:rPr>
        <w:t>јавна електронска комуникациска мрежа на фиксна локација</w:t>
      </w:r>
      <w:r w:rsidR="00C2650A" w:rsidRPr="006E317C">
        <w:rPr>
          <w:rFonts w:asciiTheme="minorHAnsi" w:hAnsiTheme="minorHAnsi"/>
        </w:rPr>
        <w:t xml:space="preserve"> </w:t>
      </w:r>
      <w:r w:rsidR="00310073" w:rsidRPr="006E317C">
        <w:rPr>
          <w:rFonts w:asciiTheme="minorHAnsi" w:hAnsiTheme="minorHAnsi"/>
        </w:rPr>
        <w:t xml:space="preserve">на самостојна основа или пак </w:t>
      </w:r>
      <w:r w:rsidR="00DD6B48" w:rsidRPr="006E317C">
        <w:rPr>
          <w:rFonts w:asciiTheme="minorHAnsi" w:hAnsiTheme="minorHAnsi"/>
        </w:rPr>
        <w:t xml:space="preserve">услуга за пристап до </w:t>
      </w:r>
      <w:r w:rsidR="008A38F9" w:rsidRPr="006E317C">
        <w:rPr>
          <w:rFonts w:asciiTheme="minorHAnsi" w:hAnsiTheme="minorHAnsi"/>
        </w:rPr>
        <w:t>јавна електронска комуникациска мрежа на фиксна локација</w:t>
      </w:r>
      <w:r w:rsidR="00555833" w:rsidRPr="006E317C">
        <w:rPr>
          <w:rFonts w:asciiTheme="minorHAnsi" w:hAnsiTheme="minorHAnsi"/>
        </w:rPr>
        <w:t xml:space="preserve"> </w:t>
      </w:r>
      <w:r w:rsidR="00310073" w:rsidRPr="006E317C">
        <w:rPr>
          <w:rFonts w:asciiTheme="minorHAnsi" w:hAnsiTheme="minorHAnsi"/>
        </w:rPr>
        <w:t>поврзана со други услуги?</w:t>
      </w:r>
      <w:bookmarkEnd w:id="14"/>
    </w:p>
    <w:p w:rsidR="00D6381C" w:rsidRPr="002968EC" w:rsidRDefault="00D6381C" w:rsidP="00D6381C">
      <w:pPr>
        <w:rPr>
          <w:rFonts w:asciiTheme="minorHAnsi" w:hAnsiTheme="minorHAnsi"/>
        </w:rPr>
      </w:pPr>
    </w:p>
    <w:p w:rsidR="00310073" w:rsidRPr="002968EC" w:rsidRDefault="005C71D7" w:rsidP="00781AEE">
      <w:pPr>
        <w:rPr>
          <w:rFonts w:asciiTheme="minorHAnsi" w:hAnsiTheme="minorHAnsi" w:cs="Calibri"/>
          <w:lang w:val="mk-MK"/>
        </w:rPr>
      </w:pPr>
      <w:r w:rsidRPr="002968EC">
        <w:rPr>
          <w:rFonts w:asciiTheme="minorHAnsi" w:hAnsiTheme="minorHAnsi" w:cs="Calibri"/>
          <w:lang w:val="mk-MK"/>
        </w:rPr>
        <w:t>Д</w:t>
      </w:r>
      <w:r w:rsidR="009F79DF" w:rsidRPr="002968EC">
        <w:rPr>
          <w:rFonts w:asciiTheme="minorHAnsi" w:hAnsiTheme="minorHAnsi" w:cs="Calibri"/>
          <w:lang w:val="mk-MK"/>
        </w:rPr>
        <w:t xml:space="preserve">ефинирањето на пазарот </w:t>
      </w:r>
      <w:r w:rsidR="00C658E5" w:rsidRPr="002968EC">
        <w:rPr>
          <w:rFonts w:asciiTheme="minorHAnsi" w:hAnsiTheme="minorHAnsi" w:cs="Calibri"/>
          <w:lang w:val="mk-MK"/>
        </w:rPr>
        <w:t>започнува</w:t>
      </w:r>
      <w:r w:rsidR="009F79DF" w:rsidRPr="002968EC">
        <w:rPr>
          <w:rFonts w:asciiTheme="minorHAnsi" w:hAnsiTheme="minorHAnsi" w:cs="Calibri"/>
          <w:lang w:val="mk-MK"/>
        </w:rPr>
        <w:t xml:space="preserve"> преку разгледување на потесна</w:t>
      </w:r>
      <w:r w:rsidR="00837B41" w:rsidRPr="002968EC">
        <w:rPr>
          <w:rFonts w:asciiTheme="minorHAnsi" w:hAnsiTheme="minorHAnsi" w:cs="Calibri"/>
          <w:lang w:val="mk-MK"/>
        </w:rPr>
        <w:t>та</w:t>
      </w:r>
      <w:r w:rsidR="009F79DF" w:rsidRPr="002968EC">
        <w:rPr>
          <w:rFonts w:asciiTheme="minorHAnsi" w:hAnsiTheme="minorHAnsi" w:cs="Calibri"/>
          <w:lang w:val="mk-MK"/>
        </w:rPr>
        <w:t xml:space="preserve"> дефиниција на </w:t>
      </w:r>
      <w:r w:rsidR="00C658E5" w:rsidRPr="002968EC">
        <w:rPr>
          <w:rFonts w:asciiTheme="minorHAnsi" w:hAnsiTheme="minorHAnsi" w:cs="Calibri"/>
          <w:lang w:val="mk-MK"/>
        </w:rPr>
        <w:t>услуга</w:t>
      </w:r>
      <w:r w:rsidR="00837B41" w:rsidRPr="002968EC">
        <w:rPr>
          <w:rFonts w:asciiTheme="minorHAnsi" w:hAnsiTheme="minorHAnsi" w:cs="Calibri"/>
          <w:lang w:val="mk-MK"/>
        </w:rPr>
        <w:t>та</w:t>
      </w:r>
      <w:r w:rsidR="00C658E5" w:rsidRPr="002968EC">
        <w:rPr>
          <w:rFonts w:asciiTheme="minorHAnsi" w:hAnsiTheme="minorHAnsi" w:cs="Calibri"/>
          <w:lang w:val="mk-MK"/>
        </w:rPr>
        <w:t xml:space="preserve">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7151E4" w:rsidRPr="002968EC">
        <w:rPr>
          <w:rFonts w:asciiTheme="minorHAnsi" w:hAnsiTheme="minorHAnsi" w:cs="Calibri"/>
          <w:lang w:val="mk-MK"/>
        </w:rPr>
        <w:t xml:space="preserve"> </w:t>
      </w:r>
      <w:r w:rsidR="009F79DF" w:rsidRPr="002968EC">
        <w:rPr>
          <w:rFonts w:asciiTheme="minorHAnsi" w:hAnsiTheme="minorHAnsi" w:cs="Calibri"/>
          <w:lang w:val="mk-MK"/>
        </w:rPr>
        <w:t xml:space="preserve">и оценка дали поширока дефиниција која би вклучила и други услуги кон </w:t>
      </w:r>
      <w:r w:rsidR="00C658E5" w:rsidRPr="002968EC">
        <w:rPr>
          <w:rFonts w:asciiTheme="minorHAnsi" w:hAnsiTheme="minorHAnsi" w:cs="Calibri"/>
          <w:lang w:val="mk-MK"/>
        </w:rPr>
        <w:t xml:space="preserve">услуга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7151E4" w:rsidRPr="002968EC">
        <w:rPr>
          <w:rFonts w:asciiTheme="minorHAnsi" w:hAnsiTheme="minorHAnsi" w:cs="Calibri"/>
          <w:lang w:val="mk-MK"/>
        </w:rPr>
        <w:t xml:space="preserve"> </w:t>
      </w:r>
      <w:r w:rsidR="009F79DF" w:rsidRPr="002968EC">
        <w:rPr>
          <w:rFonts w:asciiTheme="minorHAnsi" w:hAnsiTheme="minorHAnsi" w:cs="Calibri"/>
          <w:lang w:val="mk-MK"/>
        </w:rPr>
        <w:t>би било добро да биде разгледана земајќи ги во предвид супституцијата на понудата и на побарувачката за оваа услуга.</w:t>
      </w:r>
    </w:p>
    <w:p w:rsidR="00E67890" w:rsidRPr="0079552E" w:rsidRDefault="00837B41" w:rsidP="00781AEE">
      <w:pPr>
        <w:rPr>
          <w:rFonts w:asciiTheme="minorHAnsi" w:hAnsiTheme="minorHAnsi" w:cs="Calibri"/>
          <w:lang w:val="mk-MK"/>
        </w:rPr>
      </w:pPr>
      <w:r w:rsidRPr="002968EC">
        <w:rPr>
          <w:rFonts w:asciiTheme="minorHAnsi" w:hAnsiTheme="minorHAnsi" w:cs="Calibri"/>
          <w:lang w:val="mk-MK"/>
        </w:rPr>
        <w:t xml:space="preserve">Во претходната анализа на овој релевантен пазар беше заклучено дека во 2013 година </w:t>
      </w:r>
      <w:r w:rsidR="00BA3DDA" w:rsidRPr="002968EC">
        <w:rPr>
          <w:rFonts w:asciiTheme="minorHAnsi" w:hAnsiTheme="minorHAnsi" w:cs="Calibri"/>
          <w:lang w:val="mk-MK"/>
        </w:rPr>
        <w:t>учеството на ПСТН пристапот на операторот МКТ нагло опаѓа, и тоа од 279.488 ПСТН линии во четврт квартал 2012 на 200 линии во четврт квартал 2013 год. Процесот на миграција на крајните корисници од ПСТН на ИП платформа на операторот МКТ заврши во првиот квартал од 2014 год.</w:t>
      </w:r>
      <w:r w:rsidR="009F3184" w:rsidRPr="002968EC">
        <w:rPr>
          <w:rFonts w:asciiTheme="minorHAnsi" w:hAnsiTheme="minorHAnsi" w:cs="Calibri"/>
          <w:lang w:val="mk-MK"/>
        </w:rPr>
        <w:t xml:space="preserve"> Во првиот квартал од 2014 год. операторот МКТ немаше ПСТН претплатници затоа што истите ги мигрираше на ИП платформа.  </w:t>
      </w:r>
    </w:p>
    <w:p w:rsidR="00B23F65" w:rsidRDefault="00237EA6" w:rsidP="00781AEE">
      <w:pPr>
        <w:rPr>
          <w:rFonts w:asciiTheme="minorHAnsi" w:hAnsiTheme="minorHAnsi" w:cs="Calibri"/>
          <w:lang w:val="mk-MK"/>
        </w:rPr>
      </w:pPr>
      <w:r w:rsidRPr="002968EC">
        <w:rPr>
          <w:rFonts w:asciiTheme="minorHAnsi" w:hAnsiTheme="minorHAnsi" w:cs="Calibri"/>
          <w:lang w:val="mk-MK"/>
        </w:rPr>
        <w:t xml:space="preserve">Јасно е дека постои </w:t>
      </w:r>
      <w:r w:rsidR="000D763B" w:rsidRPr="002968EC">
        <w:rPr>
          <w:rFonts w:asciiTheme="minorHAnsi" w:hAnsiTheme="minorHAnsi" w:cs="Calibri"/>
          <w:lang w:val="mk-MK"/>
        </w:rPr>
        <w:t>мотив</w:t>
      </w:r>
      <w:r w:rsidRPr="002968EC">
        <w:rPr>
          <w:rFonts w:asciiTheme="minorHAnsi" w:hAnsiTheme="minorHAnsi" w:cs="Calibri"/>
          <w:lang w:val="mk-MK"/>
        </w:rPr>
        <w:t xml:space="preserve"> за операторите</w:t>
      </w:r>
      <w:r w:rsidR="00F44E0C" w:rsidRPr="002968EC">
        <w:rPr>
          <w:rFonts w:asciiTheme="minorHAnsi" w:hAnsiTheme="minorHAnsi" w:cs="Calibri"/>
          <w:lang w:val="mk-MK"/>
        </w:rPr>
        <w:t xml:space="preserve"> </w:t>
      </w:r>
      <w:r w:rsidRPr="002968EC">
        <w:rPr>
          <w:rFonts w:asciiTheme="minorHAnsi" w:hAnsiTheme="minorHAnsi" w:cs="Calibri"/>
          <w:lang w:val="mk-MK"/>
        </w:rPr>
        <w:t>на</w:t>
      </w:r>
      <w:r w:rsidR="00512BAE" w:rsidRPr="002968EC">
        <w:rPr>
          <w:rFonts w:asciiTheme="minorHAnsi" w:hAnsiTheme="minorHAnsi" w:cs="Calibri"/>
          <w:lang w:val="mk-MK"/>
        </w:rPr>
        <w:t xml:space="preserve"> </w:t>
      </w:r>
      <w:r w:rsidR="008A38F9" w:rsidRPr="002968EC">
        <w:rPr>
          <w:rFonts w:asciiTheme="minorHAnsi" w:hAnsiTheme="minorHAnsi" w:cs="Calibri"/>
          <w:lang w:val="mk-MK"/>
        </w:rPr>
        <w:t>јавна електронска комуникациска мрежа на фиксна локација</w:t>
      </w:r>
      <w:r w:rsidR="00267042" w:rsidRPr="002968EC">
        <w:rPr>
          <w:rFonts w:asciiTheme="minorHAnsi" w:hAnsiTheme="minorHAnsi" w:cs="Calibri"/>
          <w:lang w:val="mk-MK"/>
        </w:rPr>
        <w:t xml:space="preserve"> </w:t>
      </w:r>
      <w:r w:rsidRPr="002968EC">
        <w:rPr>
          <w:rFonts w:asciiTheme="minorHAnsi" w:hAnsiTheme="minorHAnsi" w:cs="Calibri"/>
          <w:lang w:val="mk-MK"/>
        </w:rPr>
        <w:t xml:space="preserve">да понудат, а од друга страна корисниците да купат пакетирани </w:t>
      </w:r>
      <w:r w:rsidR="00F44E0C" w:rsidRPr="002968EC">
        <w:rPr>
          <w:rFonts w:asciiTheme="minorHAnsi" w:hAnsiTheme="minorHAnsi" w:cs="Calibri"/>
          <w:lang w:val="mk-MK"/>
        </w:rPr>
        <w:t>услуги</w:t>
      </w:r>
      <w:r w:rsidRPr="002968EC">
        <w:rPr>
          <w:rFonts w:asciiTheme="minorHAnsi" w:hAnsiTheme="minorHAnsi" w:cs="Calibri"/>
          <w:lang w:val="mk-MK"/>
        </w:rPr>
        <w:t>. Ваквото</w:t>
      </w:r>
      <w:r w:rsidR="000D763B" w:rsidRPr="002968EC">
        <w:rPr>
          <w:rFonts w:asciiTheme="minorHAnsi" w:hAnsiTheme="minorHAnsi" w:cs="Calibri"/>
          <w:lang w:val="mk-MK"/>
        </w:rPr>
        <w:t xml:space="preserve"> пакетирање на услугите не ја </w:t>
      </w:r>
      <w:r w:rsidRPr="002968EC">
        <w:rPr>
          <w:rFonts w:asciiTheme="minorHAnsi" w:hAnsiTheme="minorHAnsi" w:cs="Calibri"/>
          <w:lang w:val="mk-MK"/>
        </w:rPr>
        <w:t>менува функционалноста на индивидуалните услуги. Пакетираните услуги едноставно имаат голем бенефит за крајните корисници преку олеснување на трансакциите, постоење договор со еден оператор, добивање сметка од еден оператор (</w:t>
      </w:r>
      <w:r w:rsidRPr="002968EC">
        <w:rPr>
          <w:rFonts w:asciiTheme="minorHAnsi" w:hAnsiTheme="minorHAnsi" w:cs="Calibri"/>
        </w:rPr>
        <w:t>“one stop shopping”)</w:t>
      </w:r>
      <w:r w:rsidRPr="002968EC">
        <w:rPr>
          <w:rFonts w:asciiTheme="minorHAnsi" w:hAnsiTheme="minorHAnsi" w:cs="Calibri"/>
          <w:lang w:val="mk-MK"/>
        </w:rPr>
        <w:t xml:space="preserve">. Пакетирањето на услуги може да биде поефтино, во споредба </w:t>
      </w:r>
      <w:r w:rsidR="002C60F2" w:rsidRPr="002968EC">
        <w:rPr>
          <w:rFonts w:asciiTheme="minorHAnsi" w:hAnsiTheme="minorHAnsi" w:cs="Calibri"/>
          <w:lang w:val="mk-MK"/>
        </w:rPr>
        <w:t>с</w:t>
      </w:r>
      <w:r w:rsidRPr="002968EC">
        <w:rPr>
          <w:rFonts w:asciiTheme="minorHAnsi" w:hAnsiTheme="minorHAnsi" w:cs="Calibri"/>
          <w:lang w:val="mk-MK"/>
        </w:rPr>
        <w:t xml:space="preserve">о збирот на трошоци доколку тие услуги би се нуделе поединечно. На страната на понудата постои економија на </w:t>
      </w:r>
      <w:r w:rsidR="00C70D2C">
        <w:rPr>
          <w:rFonts w:asciiTheme="minorHAnsi" w:hAnsiTheme="minorHAnsi" w:cs="Calibri"/>
          <w:lang w:val="mk-MK"/>
        </w:rPr>
        <w:t>интеграција</w:t>
      </w:r>
      <w:r w:rsidRPr="002968EC">
        <w:rPr>
          <w:rFonts w:asciiTheme="minorHAnsi" w:hAnsiTheme="minorHAnsi" w:cs="Calibri"/>
          <w:lang w:val="mk-MK"/>
        </w:rPr>
        <w:t xml:space="preserve">, што придонесува до намалување на цената на пакетот од услуги. На пример користа од заедничкиот (синергетски ефект) маркетинг, билинг и грижа за корисници може да биде значителна. </w:t>
      </w:r>
      <w:r w:rsidR="00900C30" w:rsidRPr="002968EC">
        <w:rPr>
          <w:rFonts w:asciiTheme="minorHAnsi" w:hAnsiTheme="minorHAnsi" w:cs="Calibri"/>
          <w:lang w:val="mk-MK"/>
        </w:rPr>
        <w:t xml:space="preserve">Пакетирањето на услуга може да предизвика и намалување на ризикот од губење на претплатниците на пазари каде што има големи аквизициски трошоци, и може да доведат до зголемување на приходот по корисник иако </w:t>
      </w:r>
      <w:r w:rsidR="00900C30" w:rsidRPr="002968EC">
        <w:rPr>
          <w:rFonts w:asciiTheme="minorHAnsi" w:hAnsiTheme="minorHAnsi" w:cs="Calibri"/>
          <w:lang w:val="mk-MK"/>
        </w:rPr>
        <w:lastRenderedPageBreak/>
        <w:t>цената на индивидуалната услуга е намалена.</w:t>
      </w:r>
      <w:r w:rsidR="00FB3165" w:rsidRPr="002968EC">
        <w:rPr>
          <w:rFonts w:asciiTheme="minorHAnsi" w:hAnsiTheme="minorHAnsi" w:cs="Calibri"/>
          <w:lang w:val="mk-MK"/>
        </w:rPr>
        <w:t xml:space="preserve"> </w:t>
      </w:r>
      <w:r w:rsidR="00B23F65" w:rsidRPr="002968EC">
        <w:rPr>
          <w:rFonts w:asciiTheme="minorHAnsi" w:hAnsiTheme="minorHAnsi" w:cs="Calibri"/>
          <w:lang w:val="mk-MK"/>
        </w:rPr>
        <w:t>Според податоците со кои располага АЕК</w:t>
      </w:r>
      <w:r w:rsidR="003D7533" w:rsidRPr="002968EC">
        <w:rPr>
          <w:rFonts w:asciiTheme="minorHAnsi" w:hAnsiTheme="minorHAnsi" w:cs="Calibri"/>
          <w:lang w:val="mk-MK"/>
        </w:rPr>
        <w:t xml:space="preserve"> а кои се објавени во извештајот за развој на пазарот за електронски комуникации за четвртиот квартал од 2015 година</w:t>
      </w:r>
      <w:r w:rsidR="00163C7D" w:rsidRPr="002968EC">
        <w:rPr>
          <w:rFonts w:asciiTheme="minorHAnsi" w:hAnsiTheme="minorHAnsi" w:cs="Calibri"/>
          <w:lang w:val="mk-MK"/>
        </w:rPr>
        <w:t>, прикажани во табела</w:t>
      </w:r>
      <w:r w:rsidR="003D7533" w:rsidRPr="002968EC">
        <w:rPr>
          <w:rFonts w:asciiTheme="minorHAnsi" w:hAnsiTheme="minorHAnsi" w:cs="Calibri"/>
          <w:lang w:val="mk-MK"/>
        </w:rPr>
        <w:t>та и графиконот подолу</w:t>
      </w:r>
      <w:r w:rsidR="00B23F65" w:rsidRPr="002968EC">
        <w:rPr>
          <w:rFonts w:asciiTheme="minorHAnsi" w:hAnsiTheme="minorHAnsi" w:cs="Calibri"/>
          <w:lang w:val="mk-MK"/>
        </w:rPr>
        <w:t xml:space="preserve">, </w:t>
      </w:r>
      <w:r w:rsidR="00F4361C" w:rsidRPr="002968EC">
        <w:rPr>
          <w:rFonts w:asciiTheme="minorHAnsi" w:hAnsiTheme="minorHAnsi" w:cs="Calibri"/>
          <w:lang w:val="mk-MK"/>
        </w:rPr>
        <w:t>јасно се гледа</w:t>
      </w:r>
      <w:r w:rsidR="00B23F65" w:rsidRPr="002968EC">
        <w:rPr>
          <w:rFonts w:asciiTheme="minorHAnsi" w:hAnsiTheme="minorHAnsi" w:cs="Calibri"/>
          <w:lang w:val="mk-MK"/>
        </w:rPr>
        <w:t xml:space="preserve"> дека </w:t>
      </w:r>
      <w:r w:rsidR="008E5F7E" w:rsidRPr="002968EC">
        <w:rPr>
          <w:rFonts w:asciiTheme="minorHAnsi" w:hAnsiTheme="minorHAnsi" w:cs="Calibri"/>
          <w:lang w:val="mk-MK"/>
        </w:rPr>
        <w:t xml:space="preserve">услугата за пристап до јавна електронска комуникациска мрежа на фиксна локација е вклучена со 70.74% </w:t>
      </w:r>
      <w:r w:rsidR="00B23F65" w:rsidRPr="002968EC">
        <w:rPr>
          <w:rFonts w:asciiTheme="minorHAnsi" w:hAnsiTheme="minorHAnsi" w:cs="Calibri"/>
          <w:lang w:val="mk-MK"/>
        </w:rPr>
        <w:t>во вкупниот пазар на пакетирани услуги</w:t>
      </w:r>
      <w:r w:rsidR="008E5F7E" w:rsidRPr="002968EC">
        <w:rPr>
          <w:rFonts w:asciiTheme="minorHAnsi" w:hAnsiTheme="minorHAnsi" w:cs="Calibri"/>
          <w:lang w:val="mk-MK"/>
        </w:rPr>
        <w:t>.</w:t>
      </w:r>
      <w:r w:rsidR="00B23F65" w:rsidRPr="002968EC">
        <w:rPr>
          <w:rFonts w:asciiTheme="minorHAnsi" w:hAnsiTheme="minorHAnsi" w:cs="Calibri"/>
          <w:lang w:val="mk-MK"/>
        </w:rPr>
        <w:t xml:space="preserve"> </w:t>
      </w:r>
    </w:p>
    <w:p w:rsidR="00C70D2C" w:rsidRDefault="00C70D2C" w:rsidP="00781AEE">
      <w:pPr>
        <w:rPr>
          <w:rFonts w:asciiTheme="minorHAnsi" w:hAnsiTheme="minorHAnsi" w:cs="Calibri"/>
          <w:lang w:val="mk-MK"/>
        </w:rPr>
      </w:pPr>
    </w:p>
    <w:p w:rsidR="00C70D2C" w:rsidRDefault="00E0707D" w:rsidP="00781AEE">
      <w:pPr>
        <w:rPr>
          <w:rFonts w:asciiTheme="minorHAnsi" w:hAnsiTheme="minorHAnsi" w:cs="Calibri"/>
          <w:lang w:val="mk-MK"/>
        </w:rPr>
      </w:pPr>
      <w:r>
        <w:rPr>
          <w:rFonts w:asciiTheme="minorHAnsi" w:hAnsiTheme="minorHAnsi" w:cs="Calibri"/>
          <w:noProof/>
        </w:rPr>
        <w:drawing>
          <wp:inline distT="0" distB="0" distL="0" distR="0">
            <wp:extent cx="5486400" cy="3200400"/>
            <wp:effectExtent l="0" t="0" r="0" b="0"/>
            <wp:docPr id="4"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0D2C" w:rsidRPr="003E409F" w:rsidRDefault="000E4710" w:rsidP="000E4710">
      <w:pPr>
        <w:pStyle w:val="Caption"/>
        <w:rPr>
          <w:rFonts w:asciiTheme="minorHAnsi" w:hAnsiTheme="minorHAnsi" w:cs="Calibri"/>
          <w:b w:val="0"/>
          <w:lang w:val="mk-MK"/>
        </w:rPr>
      </w:pPr>
      <w:bookmarkStart w:id="15" w:name="_Toc461546197"/>
      <w:r>
        <w:t xml:space="preserve">Графикон </w:t>
      </w:r>
      <w:fldSimple w:instr=" SEQ Графикон \* ARABIC ">
        <w:r w:rsidR="00870C45">
          <w:rPr>
            <w:noProof/>
          </w:rPr>
          <w:t>4</w:t>
        </w:r>
      </w:fldSimple>
      <w:r>
        <w:rPr>
          <w:lang w:val="mk-MK"/>
        </w:rPr>
        <w:t xml:space="preserve"> </w:t>
      </w:r>
      <w:r w:rsidR="003E409F" w:rsidRPr="003E409F">
        <w:rPr>
          <w:rFonts w:asciiTheme="minorHAnsi" w:hAnsiTheme="minorHAnsi" w:cs="Calibri"/>
          <w:lang w:val="mk-MK"/>
        </w:rPr>
        <w:t>Процентуален удел на услуга врзана во пакет</w:t>
      </w:r>
      <w:bookmarkEnd w:id="15"/>
    </w:p>
    <w:p w:rsidR="00C70D2C" w:rsidRPr="002968EC" w:rsidRDefault="00C70D2C" w:rsidP="00781AEE">
      <w:pPr>
        <w:rPr>
          <w:rFonts w:asciiTheme="minorHAnsi" w:hAnsiTheme="minorHAnsi" w:cs="Calibri"/>
          <w:lang w:val="mk-MK"/>
        </w:rPr>
      </w:pPr>
    </w:p>
    <w:bookmarkStart w:id="16" w:name="_MON_1485670721"/>
    <w:bookmarkEnd w:id="16"/>
    <w:p w:rsidR="000E4710" w:rsidRDefault="003D7533" w:rsidP="003E409F">
      <w:pPr>
        <w:pStyle w:val="Caption"/>
        <w:keepNext/>
        <w:rPr>
          <w:rFonts w:asciiTheme="minorHAnsi" w:hAnsiTheme="minorHAnsi"/>
          <w:lang w:val="mk-MK"/>
        </w:rPr>
      </w:pPr>
      <w:r w:rsidRPr="002968EC">
        <w:rPr>
          <w:rFonts w:asciiTheme="minorHAnsi" w:hAnsiTheme="minorHAnsi"/>
        </w:rPr>
        <w:object w:dxaOrig="9965" w:dyaOrig="3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159.75pt" o:ole="">
            <v:imagedata r:id="rId13" o:title=""/>
          </v:shape>
          <o:OLEObject Type="Embed" ProgID="Excel.Sheet.12" ShapeID="_x0000_i1025" DrawAspect="Content" ObjectID="_1540193473" r:id="rId14"/>
        </w:object>
      </w:r>
      <w:bookmarkStart w:id="17" w:name="_Toc461544702"/>
    </w:p>
    <w:p w:rsidR="003E409F" w:rsidRPr="000D5333" w:rsidRDefault="003E409F" w:rsidP="000D5333">
      <w:pPr>
        <w:pStyle w:val="Caption"/>
      </w:pPr>
      <w:r w:rsidRPr="000D5333">
        <w:t xml:space="preserve"> Табела  </w:t>
      </w:r>
      <w:r w:rsidR="00EF29D5" w:rsidRPr="000D5333">
        <w:fldChar w:fldCharType="begin"/>
      </w:r>
      <w:r w:rsidRPr="000D5333">
        <w:instrText xml:space="preserve"> SEQ Табела_ \* ARABIC </w:instrText>
      </w:r>
      <w:r w:rsidR="00EF29D5" w:rsidRPr="000D5333">
        <w:fldChar w:fldCharType="separate"/>
      </w:r>
      <w:r w:rsidR="00870C45">
        <w:rPr>
          <w:noProof/>
        </w:rPr>
        <w:t>1</w:t>
      </w:r>
      <w:r w:rsidR="00EF29D5" w:rsidRPr="000D5333">
        <w:fldChar w:fldCharType="end"/>
      </w:r>
      <w:r w:rsidRPr="000D5333">
        <w:t xml:space="preserve"> Претплатници на услуги врзани во пакет</w:t>
      </w:r>
      <w:bookmarkEnd w:id="17"/>
    </w:p>
    <w:p w:rsidR="00B923F2" w:rsidRPr="002968EC" w:rsidRDefault="00B923F2" w:rsidP="00B923F2">
      <w:pPr>
        <w:rPr>
          <w:rFonts w:asciiTheme="minorHAnsi" w:hAnsiTheme="minorHAnsi"/>
          <w:lang w:val="mk-MK"/>
        </w:rPr>
      </w:pPr>
    </w:p>
    <w:p w:rsidR="00475235" w:rsidRPr="002968EC" w:rsidRDefault="00475235" w:rsidP="00781AEE">
      <w:pPr>
        <w:rPr>
          <w:rFonts w:asciiTheme="minorHAnsi" w:hAnsiTheme="minorHAnsi" w:cs="Calibri"/>
          <w:lang w:val="mk-MK"/>
        </w:rPr>
      </w:pPr>
    </w:p>
    <w:p w:rsidR="00797CFA" w:rsidRPr="002968EC" w:rsidRDefault="00797CFA" w:rsidP="00781AEE">
      <w:pPr>
        <w:rPr>
          <w:rFonts w:asciiTheme="minorHAnsi" w:hAnsiTheme="minorHAnsi" w:cs="Calibri"/>
          <w:lang w:val="mk-MK"/>
        </w:rPr>
      </w:pPr>
      <w:r w:rsidRPr="002968EC">
        <w:rPr>
          <w:rFonts w:asciiTheme="minorHAnsi" w:hAnsiTheme="minorHAnsi" w:cs="Calibri"/>
          <w:lang w:val="mk-MK"/>
        </w:rPr>
        <w:lastRenderedPageBreak/>
        <w:t>Од овие причини може да се заклучи дека постои тенденција на раст на користењето на пакетираните услуги</w:t>
      </w:r>
      <w:r w:rsidR="00D8691D" w:rsidRPr="002968EC">
        <w:rPr>
          <w:rFonts w:asciiTheme="minorHAnsi" w:hAnsiTheme="minorHAnsi" w:cs="Calibri"/>
          <w:lang w:val="mk-MK"/>
        </w:rPr>
        <w:t xml:space="preserve"> на пазарот</w:t>
      </w:r>
      <w:r w:rsidRPr="002968EC">
        <w:rPr>
          <w:rFonts w:asciiTheme="minorHAnsi" w:hAnsiTheme="minorHAnsi" w:cs="Calibri"/>
          <w:lang w:val="mk-MK"/>
        </w:rPr>
        <w:t xml:space="preserve">. </w:t>
      </w:r>
      <w:r w:rsidR="00D8691D" w:rsidRPr="002968EC">
        <w:rPr>
          <w:rFonts w:asciiTheme="minorHAnsi" w:hAnsiTheme="minorHAnsi" w:cs="Calibri"/>
          <w:lang w:val="mk-MK"/>
        </w:rPr>
        <w:t>Н</w:t>
      </w:r>
      <w:r w:rsidRPr="002968EC">
        <w:rPr>
          <w:rFonts w:asciiTheme="minorHAnsi" w:hAnsiTheme="minorHAnsi" w:cs="Calibri"/>
          <w:lang w:val="mk-MK"/>
        </w:rPr>
        <w:t xml:space="preserve">еопходно е да се спомене дека </w:t>
      </w:r>
      <w:r w:rsidR="001F55A6" w:rsidRPr="002968EC">
        <w:rPr>
          <w:rFonts w:asciiTheme="minorHAnsi" w:hAnsiTheme="minorHAnsi" w:cs="Calibri"/>
          <w:lang w:val="mk-MK"/>
        </w:rPr>
        <w:t>значајниот удел</w:t>
      </w:r>
      <w:r w:rsidRPr="002968EC">
        <w:rPr>
          <w:rFonts w:asciiTheme="minorHAnsi" w:hAnsiTheme="minorHAnsi" w:cs="Calibri"/>
          <w:lang w:val="mk-MK"/>
        </w:rPr>
        <w:t xml:space="preserve"> на пакетираните услуги, би можело да биде почетна основа при дефинирањето</w:t>
      </w:r>
      <w:r w:rsidR="00345A6F" w:rsidRPr="002968EC">
        <w:rPr>
          <w:rFonts w:asciiTheme="minorHAnsi" w:hAnsiTheme="minorHAnsi" w:cs="Calibri"/>
          <w:lang w:val="mk-MK"/>
        </w:rPr>
        <w:t xml:space="preserve"> на релевантниот пазар. Корис</w:t>
      </w:r>
      <w:r w:rsidRPr="002968EC">
        <w:rPr>
          <w:rFonts w:asciiTheme="minorHAnsi" w:hAnsiTheme="minorHAnsi" w:cs="Calibri"/>
          <w:lang w:val="mk-MK"/>
        </w:rPr>
        <w:t xml:space="preserve">никот кој што купува </w:t>
      </w:r>
      <w:r w:rsidR="00D8691D" w:rsidRPr="002968EC">
        <w:rPr>
          <w:rFonts w:asciiTheme="minorHAnsi" w:hAnsiTheme="minorHAnsi" w:cs="Calibri"/>
          <w:lang w:val="mk-MK"/>
        </w:rPr>
        <w:t xml:space="preserve">услуги во </w:t>
      </w:r>
      <w:r w:rsidR="00F33DED">
        <w:rPr>
          <w:rFonts w:asciiTheme="minorHAnsi" w:hAnsiTheme="minorHAnsi" w:cs="Calibri"/>
          <w:lang w:val="mk-MK"/>
        </w:rPr>
        <w:t>пакет</w:t>
      </w:r>
      <w:r w:rsidRPr="002968EC">
        <w:rPr>
          <w:rFonts w:asciiTheme="minorHAnsi" w:hAnsiTheme="minorHAnsi" w:cs="Calibri"/>
          <w:lang w:val="mk-MK"/>
        </w:rPr>
        <w:t xml:space="preserve"> од еден добавувач, би можел да одлучи ист</w:t>
      </w:r>
      <w:r w:rsidR="00D8691D" w:rsidRPr="002968EC">
        <w:rPr>
          <w:rFonts w:asciiTheme="minorHAnsi" w:hAnsiTheme="minorHAnsi" w:cs="Calibri"/>
          <w:lang w:val="mk-MK"/>
        </w:rPr>
        <w:t>ите</w:t>
      </w:r>
      <w:r w:rsidRPr="002968EC">
        <w:rPr>
          <w:rFonts w:asciiTheme="minorHAnsi" w:hAnsiTheme="minorHAnsi" w:cs="Calibri"/>
          <w:lang w:val="mk-MK"/>
        </w:rPr>
        <w:t xml:space="preserve"> да </w:t>
      </w:r>
      <w:r w:rsidR="00D8691D" w:rsidRPr="002968EC">
        <w:rPr>
          <w:rFonts w:asciiTheme="minorHAnsi" w:hAnsiTheme="minorHAnsi" w:cs="Calibri"/>
          <w:lang w:val="mk-MK"/>
        </w:rPr>
        <w:t>ги</w:t>
      </w:r>
      <w:r w:rsidRPr="002968EC">
        <w:rPr>
          <w:rFonts w:asciiTheme="minorHAnsi" w:hAnsiTheme="minorHAnsi" w:cs="Calibri"/>
          <w:lang w:val="mk-MK"/>
        </w:rPr>
        <w:t xml:space="preserve"> раздвои и да купува индивидуални услуги од повеќе добаву</w:t>
      </w:r>
      <w:r w:rsidR="00D8691D" w:rsidRPr="002968EC">
        <w:rPr>
          <w:rFonts w:asciiTheme="minorHAnsi" w:hAnsiTheme="minorHAnsi" w:cs="Calibri"/>
          <w:lang w:val="mk-MK"/>
        </w:rPr>
        <w:t>в</w:t>
      </w:r>
      <w:r w:rsidRPr="002968EC">
        <w:rPr>
          <w:rFonts w:asciiTheme="minorHAnsi" w:hAnsiTheme="minorHAnsi" w:cs="Calibri"/>
          <w:lang w:val="mk-MK"/>
        </w:rPr>
        <w:t>ачи доколку цената на</w:t>
      </w:r>
      <w:r w:rsidR="00D8691D" w:rsidRPr="002968EC">
        <w:rPr>
          <w:rFonts w:asciiTheme="minorHAnsi" w:hAnsiTheme="minorHAnsi" w:cs="Calibri"/>
          <w:lang w:val="mk-MK"/>
        </w:rPr>
        <w:t xml:space="preserve"> услугите во</w:t>
      </w:r>
      <w:r w:rsidRPr="002968EC">
        <w:rPr>
          <w:rFonts w:asciiTheme="minorHAnsi" w:hAnsiTheme="minorHAnsi" w:cs="Calibri"/>
          <w:lang w:val="mk-MK"/>
        </w:rPr>
        <w:t xml:space="preserve"> пакетот би надминала некоја прифатлива граница. Ако е ова случај, тогаш </w:t>
      </w:r>
      <w:r w:rsidR="00D8691D" w:rsidRPr="002968EC">
        <w:rPr>
          <w:rFonts w:asciiTheme="minorHAnsi" w:hAnsiTheme="minorHAnsi" w:cs="Calibri"/>
          <w:lang w:val="mk-MK"/>
        </w:rPr>
        <w:t xml:space="preserve">услугите во </w:t>
      </w:r>
      <w:r w:rsidRPr="002968EC">
        <w:rPr>
          <w:rFonts w:asciiTheme="minorHAnsi" w:hAnsiTheme="minorHAnsi" w:cs="Calibri"/>
          <w:lang w:val="mk-MK"/>
        </w:rPr>
        <w:t>пакет може да создадат релевантен пазар или да бидат дел од ист релевантен пазар. Наместо ова, компонентите од кои се сочинети пакетираните услуги би биле дел од различни пазари. Европската Комисија во својата препорака</w:t>
      </w:r>
      <w:r w:rsidRPr="002968EC">
        <w:rPr>
          <w:rStyle w:val="FootnoteReference"/>
          <w:rFonts w:asciiTheme="minorHAnsi" w:hAnsiTheme="minorHAnsi" w:cs="Calibri"/>
          <w:lang w:val="mk-MK"/>
        </w:rPr>
        <w:footnoteReference w:id="5"/>
      </w:r>
      <w:r w:rsidR="00A82B66" w:rsidRPr="002968EC">
        <w:rPr>
          <w:rFonts w:asciiTheme="minorHAnsi" w:hAnsiTheme="minorHAnsi" w:cs="Calibri"/>
          <w:lang w:val="mk-MK"/>
        </w:rPr>
        <w:t xml:space="preserve"> </w:t>
      </w:r>
      <w:r w:rsidR="00C467CF" w:rsidRPr="002968EC">
        <w:rPr>
          <w:rFonts w:asciiTheme="minorHAnsi" w:hAnsiTheme="minorHAnsi" w:cs="Calibri"/>
          <w:lang w:val="mk-MK"/>
        </w:rPr>
        <w:t>посочува дека хипотетскиот монополист</w:t>
      </w:r>
      <w:r w:rsidR="00CE0B6B" w:rsidRPr="002968EC">
        <w:rPr>
          <w:rFonts w:asciiTheme="minorHAnsi" w:hAnsiTheme="minorHAnsi" w:cs="Calibri"/>
          <w:lang w:val="mk-MK"/>
        </w:rPr>
        <w:t>ичи тест</w:t>
      </w:r>
      <w:r w:rsidR="00C467CF" w:rsidRPr="002968EC">
        <w:rPr>
          <w:rFonts w:asciiTheme="minorHAnsi" w:hAnsiTheme="minorHAnsi" w:cs="Calibri"/>
          <w:lang w:val="mk-MK"/>
        </w:rPr>
        <w:t xml:space="preserve"> (Small but Significant Non-transitory Increase in Prices  - </w:t>
      </w:r>
      <w:r w:rsidR="00E525A2" w:rsidRPr="002968EC">
        <w:rPr>
          <w:rFonts w:asciiTheme="minorHAnsi" w:hAnsiTheme="minorHAnsi" w:cs="Calibri"/>
          <w:lang w:val="mk-MK"/>
        </w:rPr>
        <w:t>SSN</w:t>
      </w:r>
      <w:r w:rsidR="00E525A2" w:rsidRPr="002968EC">
        <w:rPr>
          <w:rFonts w:asciiTheme="minorHAnsi" w:hAnsiTheme="minorHAnsi" w:cs="Calibri"/>
        </w:rPr>
        <w:t>IP</w:t>
      </w:r>
      <w:r w:rsidR="00C467CF" w:rsidRPr="002968EC">
        <w:rPr>
          <w:rFonts w:asciiTheme="minorHAnsi" w:hAnsiTheme="minorHAnsi" w:cs="Calibri"/>
          <w:lang w:val="mk-MK"/>
        </w:rPr>
        <w:t>) треба да биде користен при одлучувањето дали треба да биде формиран дополнителен посебен пазар за пакети на услуги, истовремено земајќи ги предвид аргументите дека индивидуалните елем</w:t>
      </w:r>
      <w:r w:rsidR="00E525A2" w:rsidRPr="002968EC">
        <w:rPr>
          <w:rFonts w:asciiTheme="minorHAnsi" w:hAnsiTheme="minorHAnsi" w:cs="Calibri"/>
          <w:lang w:val="mk-MK"/>
        </w:rPr>
        <w:t>е</w:t>
      </w:r>
      <w:r w:rsidR="00C467CF" w:rsidRPr="002968EC">
        <w:rPr>
          <w:rFonts w:asciiTheme="minorHAnsi" w:hAnsiTheme="minorHAnsi" w:cs="Calibri"/>
          <w:lang w:val="mk-MK"/>
        </w:rPr>
        <w:t xml:space="preserve">нти на </w:t>
      </w:r>
      <w:r w:rsidR="00D8691D" w:rsidRPr="002968EC">
        <w:rPr>
          <w:rFonts w:asciiTheme="minorHAnsi" w:hAnsiTheme="minorHAnsi" w:cs="Calibri"/>
          <w:lang w:val="mk-MK"/>
        </w:rPr>
        <w:t xml:space="preserve">услугите во пакет </w:t>
      </w:r>
      <w:r w:rsidR="00C467CF" w:rsidRPr="002968EC">
        <w:rPr>
          <w:rFonts w:asciiTheme="minorHAnsi" w:hAnsiTheme="minorHAnsi" w:cs="Calibri"/>
          <w:lang w:val="mk-MK"/>
        </w:rPr>
        <w:t xml:space="preserve">создаваат сопствени индивидуални пазари, доколку при секој благ пораст на цената на пакетот </w:t>
      </w:r>
      <w:r w:rsidR="00115581" w:rsidRPr="002968EC">
        <w:rPr>
          <w:rFonts w:asciiTheme="minorHAnsi" w:hAnsiTheme="minorHAnsi" w:cs="Calibri"/>
          <w:lang w:val="mk-MK"/>
        </w:rPr>
        <w:t xml:space="preserve">доволен број на </w:t>
      </w:r>
      <w:r w:rsidR="00C467CF" w:rsidRPr="002968EC">
        <w:rPr>
          <w:rFonts w:asciiTheme="minorHAnsi" w:hAnsiTheme="minorHAnsi" w:cs="Calibri"/>
          <w:lang w:val="mk-MK"/>
        </w:rPr>
        <w:t>претплатни</w:t>
      </w:r>
      <w:r w:rsidR="00115581" w:rsidRPr="002968EC">
        <w:rPr>
          <w:rFonts w:asciiTheme="minorHAnsi" w:hAnsiTheme="minorHAnsi" w:cs="Calibri"/>
          <w:lang w:val="mk-MK"/>
        </w:rPr>
        <w:t>ци се одлучат</w:t>
      </w:r>
      <w:r w:rsidR="00C467CF" w:rsidRPr="002968EC">
        <w:rPr>
          <w:rFonts w:asciiTheme="minorHAnsi" w:hAnsiTheme="minorHAnsi" w:cs="Calibri"/>
          <w:lang w:val="mk-MK"/>
        </w:rPr>
        <w:t xml:space="preserve"> да ја извад</w:t>
      </w:r>
      <w:r w:rsidR="00115581" w:rsidRPr="002968EC">
        <w:rPr>
          <w:rFonts w:asciiTheme="minorHAnsi" w:hAnsiTheme="minorHAnsi" w:cs="Calibri"/>
          <w:lang w:val="mk-MK"/>
        </w:rPr>
        <w:t>ат</w:t>
      </w:r>
      <w:r w:rsidR="00C467CF" w:rsidRPr="002968EC">
        <w:rPr>
          <w:rFonts w:asciiTheme="minorHAnsi" w:hAnsiTheme="minorHAnsi" w:cs="Calibri"/>
          <w:lang w:val="mk-MK"/>
        </w:rPr>
        <w:t xml:space="preserve"> услугата од пакетот и</w:t>
      </w:r>
      <w:r w:rsidR="00115581" w:rsidRPr="002968EC">
        <w:rPr>
          <w:rFonts w:asciiTheme="minorHAnsi" w:hAnsiTheme="minorHAnsi" w:cs="Calibri"/>
          <w:lang w:val="mk-MK"/>
        </w:rPr>
        <w:t xml:space="preserve"> да ја користат</w:t>
      </w:r>
      <w:r w:rsidR="00C467CF" w:rsidRPr="002968EC">
        <w:rPr>
          <w:rFonts w:asciiTheme="minorHAnsi" w:hAnsiTheme="minorHAnsi" w:cs="Calibri"/>
          <w:lang w:val="mk-MK"/>
        </w:rPr>
        <w:t xml:space="preserve"> на индивидуална основа од друг добавувач.</w:t>
      </w:r>
    </w:p>
    <w:p w:rsidR="00BB2C46" w:rsidRPr="002968EC" w:rsidRDefault="009E64F9" w:rsidP="00781AEE">
      <w:pPr>
        <w:rPr>
          <w:rFonts w:asciiTheme="minorHAnsi" w:hAnsiTheme="minorHAnsi" w:cs="Calibri"/>
          <w:lang w:val="mk-MK"/>
        </w:rPr>
      </w:pPr>
      <w:r w:rsidRPr="002968EC">
        <w:rPr>
          <w:rFonts w:asciiTheme="minorHAnsi" w:hAnsiTheme="minorHAnsi" w:cs="Calibri"/>
          <w:lang w:val="mk-MK"/>
        </w:rPr>
        <w:t xml:space="preserve">Две најчести дефиниции за </w:t>
      </w:r>
      <w:r w:rsidR="002D3D15" w:rsidRPr="002968EC">
        <w:rPr>
          <w:rFonts w:asciiTheme="minorHAnsi" w:hAnsiTheme="minorHAnsi" w:cs="Calibri"/>
          <w:lang w:val="mk-MK"/>
        </w:rPr>
        <w:t xml:space="preserve">услуги во </w:t>
      </w:r>
      <w:r w:rsidRPr="002968EC">
        <w:rPr>
          <w:rFonts w:asciiTheme="minorHAnsi" w:hAnsiTheme="minorHAnsi" w:cs="Calibri"/>
          <w:lang w:val="mk-MK"/>
        </w:rPr>
        <w:t xml:space="preserve">пакет кои постојат и се нудат на пазарот се 1) комбинирање на </w:t>
      </w:r>
      <w:r w:rsidR="00B057B9" w:rsidRPr="002968EC">
        <w:rPr>
          <w:rFonts w:asciiTheme="minorHAnsi" w:hAnsiTheme="minorHAnsi" w:cs="Calibri"/>
          <w:lang w:val="mk-MK"/>
        </w:rPr>
        <w:t xml:space="preserve">услуга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267042" w:rsidRPr="002968EC">
        <w:rPr>
          <w:rFonts w:asciiTheme="minorHAnsi" w:hAnsiTheme="minorHAnsi" w:cs="Calibri"/>
          <w:lang w:val="mk-MK"/>
        </w:rPr>
        <w:t xml:space="preserve"> </w:t>
      </w:r>
      <w:r w:rsidRPr="002968EC">
        <w:rPr>
          <w:rFonts w:asciiTheme="minorHAnsi" w:hAnsiTheme="minorHAnsi" w:cs="Calibri"/>
          <w:lang w:val="mk-MK"/>
        </w:rPr>
        <w:t xml:space="preserve">и определена количина на минути и 2) </w:t>
      </w:r>
      <w:r w:rsidR="00B057B9" w:rsidRPr="002968EC">
        <w:rPr>
          <w:rFonts w:asciiTheme="minorHAnsi" w:hAnsiTheme="minorHAnsi" w:cs="Calibri"/>
          <w:lang w:val="mk-MK"/>
        </w:rPr>
        <w:t xml:space="preserve">услуга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267042" w:rsidRPr="002968EC">
        <w:rPr>
          <w:rFonts w:asciiTheme="minorHAnsi" w:hAnsiTheme="minorHAnsi" w:cs="Calibri"/>
          <w:lang w:val="mk-MK"/>
        </w:rPr>
        <w:t xml:space="preserve"> </w:t>
      </w:r>
      <w:r w:rsidR="00F33DED">
        <w:rPr>
          <w:rFonts w:asciiTheme="minorHAnsi" w:hAnsiTheme="minorHAnsi" w:cs="Calibri"/>
          <w:lang w:val="mk-MK"/>
        </w:rPr>
        <w:t>и говор</w:t>
      </w:r>
      <w:r w:rsidRPr="002968EC">
        <w:rPr>
          <w:rFonts w:asciiTheme="minorHAnsi" w:hAnsiTheme="minorHAnsi" w:cs="Calibri"/>
          <w:lang w:val="mk-MK"/>
        </w:rPr>
        <w:t xml:space="preserve"> на која е до</w:t>
      </w:r>
      <w:r w:rsidR="00934ED9" w:rsidRPr="002968EC">
        <w:rPr>
          <w:rFonts w:asciiTheme="minorHAnsi" w:hAnsiTheme="minorHAnsi" w:cs="Calibri"/>
          <w:lang w:val="mk-MK"/>
        </w:rPr>
        <w:t>даден</w:t>
      </w:r>
      <w:r w:rsidRPr="002968EC">
        <w:rPr>
          <w:rFonts w:asciiTheme="minorHAnsi" w:hAnsiTheme="minorHAnsi" w:cs="Calibri"/>
          <w:lang w:val="mk-MK"/>
        </w:rPr>
        <w:t xml:space="preserve">а и услугата широкопојасен интернет пристап. На пример услугата </w:t>
      </w:r>
      <w:r w:rsidR="00B03EA7" w:rsidRPr="002968EC">
        <w:rPr>
          <w:rFonts w:asciiTheme="minorHAnsi" w:hAnsiTheme="minorHAnsi" w:cs="Calibri"/>
          <w:lang w:val="mk-MK"/>
        </w:rPr>
        <w:t xml:space="preserve">пристап до </w:t>
      </w:r>
      <w:r w:rsidR="008A38F9" w:rsidRPr="002968EC">
        <w:rPr>
          <w:rFonts w:asciiTheme="minorHAnsi" w:hAnsiTheme="minorHAnsi" w:cs="Calibri"/>
          <w:lang w:val="mk-MK"/>
        </w:rPr>
        <w:t>јавна електронска комуникациска мрежа на фиксна локација</w:t>
      </w:r>
      <w:r w:rsidR="00267042" w:rsidRPr="002968EC">
        <w:rPr>
          <w:rFonts w:asciiTheme="minorHAnsi" w:hAnsiTheme="minorHAnsi" w:cs="Calibri"/>
          <w:lang w:val="mk-MK"/>
        </w:rPr>
        <w:t xml:space="preserve"> </w:t>
      </w:r>
      <w:r w:rsidRPr="002968EC">
        <w:rPr>
          <w:rFonts w:asciiTheme="minorHAnsi" w:hAnsiTheme="minorHAnsi" w:cs="Calibri"/>
          <w:lang w:val="mk-MK"/>
        </w:rPr>
        <w:t xml:space="preserve">е комбинирана со определена количина на </w:t>
      </w:r>
      <w:r w:rsidRPr="002968EC">
        <w:rPr>
          <w:rFonts w:asciiTheme="minorHAnsi" w:hAnsiTheme="minorHAnsi" w:cs="Calibri"/>
        </w:rPr>
        <w:t>“</w:t>
      </w:r>
      <w:r w:rsidRPr="002968EC">
        <w:rPr>
          <w:rFonts w:asciiTheme="minorHAnsi" w:hAnsiTheme="minorHAnsi" w:cs="Calibri"/>
          <w:lang w:val="mk-MK"/>
        </w:rPr>
        <w:t>вклучени минути говор</w:t>
      </w:r>
      <w:r w:rsidRPr="002968EC">
        <w:rPr>
          <w:rFonts w:asciiTheme="minorHAnsi" w:hAnsiTheme="minorHAnsi" w:cs="Calibri"/>
        </w:rPr>
        <w:t>”</w:t>
      </w:r>
      <w:r w:rsidRPr="002968EC">
        <w:rPr>
          <w:rFonts w:asciiTheme="minorHAnsi" w:hAnsiTheme="minorHAnsi" w:cs="Calibri"/>
          <w:lang w:val="mk-MK"/>
        </w:rPr>
        <w:t xml:space="preserve">, но според податоците со кои </w:t>
      </w:r>
      <w:r w:rsidR="007967C2" w:rsidRPr="002968EC">
        <w:rPr>
          <w:rFonts w:asciiTheme="minorHAnsi" w:hAnsiTheme="minorHAnsi" w:cs="Calibri"/>
          <w:lang w:val="mk-MK"/>
        </w:rPr>
        <w:t>АЕК</w:t>
      </w:r>
      <w:r w:rsidRPr="002968EC">
        <w:rPr>
          <w:rFonts w:asciiTheme="minorHAnsi" w:hAnsiTheme="minorHAnsi" w:cs="Calibri"/>
          <w:lang w:val="mk-MK"/>
        </w:rPr>
        <w:t xml:space="preserve"> располага </w:t>
      </w:r>
      <w:r w:rsidR="00944891" w:rsidRPr="002968EC">
        <w:rPr>
          <w:rFonts w:asciiTheme="minorHAnsi" w:hAnsiTheme="minorHAnsi" w:cs="Calibri"/>
          <w:lang w:val="mk-MK"/>
        </w:rPr>
        <w:t>често</w:t>
      </w:r>
      <w:r w:rsidRPr="002968EC">
        <w:rPr>
          <w:rFonts w:asciiTheme="minorHAnsi" w:hAnsiTheme="minorHAnsi" w:cs="Calibri"/>
          <w:lang w:val="mk-MK"/>
        </w:rPr>
        <w:t xml:space="preserve"> на овој пакет се додава и услугата </w:t>
      </w:r>
      <w:r w:rsidR="00944891" w:rsidRPr="002968EC">
        <w:rPr>
          <w:rFonts w:asciiTheme="minorHAnsi" w:hAnsiTheme="minorHAnsi" w:cs="Calibri"/>
          <w:lang w:val="mk-MK"/>
        </w:rPr>
        <w:t>широкопојасен интернет пристап</w:t>
      </w:r>
      <w:r w:rsidRPr="002968EC">
        <w:rPr>
          <w:rFonts w:asciiTheme="minorHAnsi" w:hAnsiTheme="minorHAnsi" w:cs="Calibri"/>
          <w:lang w:val="mk-MK"/>
        </w:rPr>
        <w:t xml:space="preserve">. </w:t>
      </w:r>
    </w:p>
    <w:p w:rsidR="00AC59D8" w:rsidRPr="002968EC" w:rsidRDefault="00BB2C46" w:rsidP="00781AEE">
      <w:pPr>
        <w:rPr>
          <w:rFonts w:asciiTheme="minorHAnsi" w:hAnsiTheme="minorHAnsi" w:cs="Calibri"/>
          <w:lang w:val="mk-MK"/>
        </w:rPr>
      </w:pPr>
      <w:r w:rsidRPr="002968EC">
        <w:rPr>
          <w:rFonts w:asciiTheme="minorHAnsi" w:hAnsiTheme="minorHAnsi" w:cs="Calibri"/>
          <w:lang w:val="mk-MK"/>
        </w:rPr>
        <w:t>Факт е дека постои растечки тренд на</w:t>
      </w:r>
      <w:r w:rsidR="00FE4AE0" w:rsidRPr="002968EC">
        <w:rPr>
          <w:rFonts w:asciiTheme="minorHAnsi" w:hAnsiTheme="minorHAnsi" w:cs="Calibri"/>
          <w:lang w:val="mk-MK"/>
        </w:rPr>
        <w:t xml:space="preserve"> </w:t>
      </w:r>
      <w:r w:rsidR="00D35F1B" w:rsidRPr="002968EC">
        <w:rPr>
          <w:rFonts w:asciiTheme="minorHAnsi" w:hAnsiTheme="minorHAnsi" w:cs="Calibri"/>
          <w:lang w:val="mk-MK"/>
        </w:rPr>
        <w:t xml:space="preserve">продажба </w:t>
      </w:r>
      <w:r w:rsidR="00FE4AE0" w:rsidRPr="002968EC">
        <w:rPr>
          <w:rFonts w:asciiTheme="minorHAnsi" w:hAnsiTheme="minorHAnsi" w:cs="Calibri"/>
          <w:lang w:val="mk-MK"/>
        </w:rPr>
        <w:t xml:space="preserve">на </w:t>
      </w:r>
      <w:r w:rsidR="00944891" w:rsidRPr="002968EC">
        <w:rPr>
          <w:rFonts w:asciiTheme="minorHAnsi" w:hAnsiTheme="minorHAnsi" w:cs="Calibri"/>
          <w:lang w:val="mk-MK"/>
        </w:rPr>
        <w:t>услуга</w:t>
      </w:r>
      <w:r w:rsidR="00D35F1B" w:rsidRPr="002968EC">
        <w:rPr>
          <w:rFonts w:asciiTheme="minorHAnsi" w:hAnsiTheme="minorHAnsi" w:cs="Calibri"/>
          <w:lang w:val="mk-MK"/>
        </w:rPr>
        <w:t>та</w:t>
      </w:r>
      <w:r w:rsidR="00944891" w:rsidRPr="002968EC">
        <w:rPr>
          <w:rFonts w:asciiTheme="minorHAnsi" w:hAnsiTheme="minorHAnsi" w:cs="Calibri"/>
          <w:lang w:val="mk-MK"/>
        </w:rPr>
        <w:t xml:space="preserve">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267042" w:rsidRPr="002968EC">
        <w:rPr>
          <w:rFonts w:asciiTheme="minorHAnsi" w:hAnsiTheme="minorHAnsi" w:cs="Calibri"/>
          <w:lang w:val="mk-MK"/>
        </w:rPr>
        <w:t xml:space="preserve"> </w:t>
      </w:r>
      <w:r w:rsidR="00FE4AE0" w:rsidRPr="002968EC">
        <w:rPr>
          <w:rFonts w:asciiTheme="minorHAnsi" w:hAnsiTheme="minorHAnsi" w:cs="Calibri"/>
          <w:lang w:val="mk-MK"/>
        </w:rPr>
        <w:t>со услуг</w:t>
      </w:r>
      <w:r w:rsidR="00D35F1B" w:rsidRPr="002968EC">
        <w:rPr>
          <w:rFonts w:asciiTheme="minorHAnsi" w:hAnsiTheme="minorHAnsi" w:cs="Calibri"/>
          <w:lang w:val="mk-MK"/>
        </w:rPr>
        <w:t>ите</w:t>
      </w:r>
      <w:r w:rsidR="00FE4AE0" w:rsidRPr="002968EC">
        <w:rPr>
          <w:rFonts w:asciiTheme="minorHAnsi" w:hAnsiTheme="minorHAnsi" w:cs="Calibri"/>
          <w:lang w:val="mk-MK"/>
        </w:rPr>
        <w:t xml:space="preserve"> говор, </w:t>
      </w:r>
      <w:r w:rsidR="00B11857" w:rsidRPr="002968EC">
        <w:rPr>
          <w:rFonts w:asciiTheme="minorHAnsi" w:hAnsiTheme="minorHAnsi" w:cs="Calibri"/>
          <w:lang w:val="mk-MK"/>
        </w:rPr>
        <w:t xml:space="preserve">интернет или телевизија. Како што е прикажано погоре процентуалниот удел на пакетираните услуги на пазарот во кој дел е и услугата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B11857" w:rsidRPr="002968EC">
        <w:rPr>
          <w:rFonts w:asciiTheme="minorHAnsi" w:hAnsiTheme="minorHAnsi" w:cs="Calibri"/>
          <w:lang w:val="mk-MK"/>
        </w:rPr>
        <w:t xml:space="preserve"> е доста високо и според податоците со кои располага АЕК изнесува </w:t>
      </w:r>
      <w:r w:rsidR="008E5F7E" w:rsidRPr="002968EC">
        <w:rPr>
          <w:rFonts w:asciiTheme="minorHAnsi" w:hAnsiTheme="minorHAnsi" w:cs="Calibri"/>
          <w:lang w:val="mk-MK"/>
        </w:rPr>
        <w:t>70.74</w:t>
      </w:r>
      <w:r w:rsidR="00B11857" w:rsidRPr="002968EC">
        <w:rPr>
          <w:rFonts w:asciiTheme="minorHAnsi" w:hAnsiTheme="minorHAnsi" w:cs="Calibri"/>
          <w:lang w:val="mk-MK"/>
        </w:rPr>
        <w:t xml:space="preserve">%. </w:t>
      </w:r>
    </w:p>
    <w:p w:rsidR="00B11857" w:rsidRPr="002968EC" w:rsidRDefault="00AC59D8" w:rsidP="00781AEE">
      <w:pPr>
        <w:rPr>
          <w:rFonts w:asciiTheme="minorHAnsi" w:hAnsiTheme="minorHAnsi" w:cs="Calibri"/>
          <w:lang w:val="mk-MK"/>
        </w:rPr>
      </w:pPr>
      <w:r w:rsidRPr="002968EC">
        <w:rPr>
          <w:rFonts w:asciiTheme="minorHAnsi" w:hAnsiTheme="minorHAnsi" w:cs="Calibri"/>
          <w:lang w:val="mk-MK"/>
        </w:rPr>
        <w:t xml:space="preserve">Учеството на </w:t>
      </w:r>
      <w:r w:rsidR="00B11857" w:rsidRPr="002968EC">
        <w:rPr>
          <w:rFonts w:asciiTheme="minorHAnsi" w:hAnsiTheme="minorHAnsi" w:cs="Calibri"/>
          <w:lang w:val="mk-MK"/>
        </w:rPr>
        <w:t xml:space="preserve">пакетираните услуги </w:t>
      </w:r>
      <w:r w:rsidRPr="002968EC">
        <w:rPr>
          <w:rFonts w:asciiTheme="minorHAnsi" w:hAnsiTheme="minorHAnsi" w:cs="Calibri"/>
          <w:lang w:val="mk-MK"/>
        </w:rPr>
        <w:t xml:space="preserve">во вкупниот број на фиксни линии </w:t>
      </w:r>
      <w:r w:rsidR="00B11857" w:rsidRPr="002968EC">
        <w:rPr>
          <w:rFonts w:asciiTheme="minorHAnsi" w:hAnsiTheme="minorHAnsi" w:cs="Calibri"/>
          <w:lang w:val="mk-MK"/>
        </w:rPr>
        <w:t xml:space="preserve">изнесува </w:t>
      </w:r>
      <w:r w:rsidR="008E5F7E" w:rsidRPr="002968EC">
        <w:rPr>
          <w:rFonts w:asciiTheme="minorHAnsi" w:hAnsiTheme="minorHAnsi" w:cs="Calibri"/>
          <w:lang w:val="mk-MK"/>
        </w:rPr>
        <w:t>70.74</w:t>
      </w:r>
      <w:r w:rsidR="00B11857" w:rsidRPr="002968EC">
        <w:rPr>
          <w:rFonts w:asciiTheme="minorHAnsi" w:hAnsiTheme="minorHAnsi" w:cs="Calibri"/>
          <w:lang w:val="mk-MK"/>
        </w:rPr>
        <w:t xml:space="preserve">% (тука се вклучени и </w:t>
      </w:r>
      <w:r w:rsidRPr="002968EC">
        <w:rPr>
          <w:rFonts w:asciiTheme="minorHAnsi" w:hAnsiTheme="minorHAnsi" w:cs="Calibri"/>
          <w:lang w:val="mk-MK"/>
        </w:rPr>
        <w:t>услугите</w:t>
      </w:r>
      <w:r w:rsidR="00B11857" w:rsidRPr="002968EC">
        <w:rPr>
          <w:rFonts w:asciiTheme="minorHAnsi" w:hAnsiTheme="minorHAnsi" w:cs="Calibri"/>
          <w:lang w:val="mk-MK"/>
        </w:rPr>
        <w:t xml:space="preserve"> ТВ и интернет, каде нема фиксна телефонија). Меѓутоа овие показатели сепак не се доволни за да се дојде до констатација дека пазарот за пристап до </w:t>
      </w:r>
      <w:r w:rsidR="008A38F9" w:rsidRPr="002968EC">
        <w:rPr>
          <w:rFonts w:asciiTheme="minorHAnsi" w:hAnsiTheme="minorHAnsi"/>
          <w:lang w:val="mk-MK"/>
        </w:rPr>
        <w:t>јавна електронска комуникациска мрежа на фиксна локација</w:t>
      </w:r>
      <w:r w:rsidR="00B11857" w:rsidRPr="002968EC">
        <w:rPr>
          <w:rFonts w:asciiTheme="minorHAnsi" w:hAnsiTheme="minorHAnsi" w:cs="Calibri"/>
          <w:lang w:val="mk-MK"/>
        </w:rPr>
        <w:t xml:space="preserve"> веќе не егзистира како самостоен и треба да биде вклучен во некој релевантен пазар на пакетирани услуги. </w:t>
      </w:r>
    </w:p>
    <w:p w:rsidR="00FE4AE0" w:rsidRPr="002968EC" w:rsidRDefault="00B11857" w:rsidP="000C3717">
      <w:pPr>
        <w:rPr>
          <w:rFonts w:asciiTheme="minorHAnsi" w:hAnsiTheme="minorHAnsi" w:cs="Calibri"/>
          <w:lang w:val="mk-MK"/>
        </w:rPr>
      </w:pPr>
      <w:r w:rsidRPr="002968EC">
        <w:rPr>
          <w:rFonts w:asciiTheme="minorHAnsi" w:hAnsiTheme="minorHAnsi" w:cs="Calibri"/>
          <w:lang w:val="mk-MK"/>
        </w:rPr>
        <w:t xml:space="preserve"> </w:t>
      </w:r>
      <w:r w:rsidR="008E5F7E" w:rsidRPr="002968EC">
        <w:rPr>
          <w:rFonts w:asciiTheme="minorHAnsi" w:hAnsiTheme="minorHAnsi" w:cs="Calibri"/>
          <w:lang w:val="mk-MK"/>
        </w:rPr>
        <w:t>В</w:t>
      </w:r>
      <w:r w:rsidRPr="002968EC">
        <w:rPr>
          <w:rFonts w:asciiTheme="minorHAnsi" w:hAnsiTheme="minorHAnsi" w:cs="Calibri"/>
          <w:lang w:val="mk-MK"/>
        </w:rPr>
        <w:t>о продолжение на овој документ АЕК</w:t>
      </w:r>
      <w:r w:rsidR="00FE4AE0" w:rsidRPr="002968EC">
        <w:rPr>
          <w:rFonts w:asciiTheme="minorHAnsi" w:hAnsiTheme="minorHAnsi" w:cs="Calibri"/>
          <w:lang w:val="mk-MK"/>
        </w:rPr>
        <w:t xml:space="preserve"> при разгледувањето на овој пазар и неговото дефинирање</w:t>
      </w:r>
      <w:r w:rsidR="00F33DED">
        <w:rPr>
          <w:rFonts w:asciiTheme="minorHAnsi" w:hAnsiTheme="minorHAnsi" w:cs="Calibri"/>
          <w:lang w:val="mk-MK"/>
        </w:rPr>
        <w:t xml:space="preserve"> </w:t>
      </w:r>
      <w:r w:rsidR="00EE3ACC" w:rsidRPr="002968EC">
        <w:rPr>
          <w:rFonts w:asciiTheme="minorHAnsi" w:hAnsiTheme="minorHAnsi" w:cs="Calibri"/>
          <w:lang w:val="mk-MK"/>
        </w:rPr>
        <w:t xml:space="preserve">ќе ја разгледа можната супституција помеѓу услугата пристап до </w:t>
      </w:r>
      <w:r w:rsidR="008A38F9" w:rsidRPr="002968EC">
        <w:rPr>
          <w:rFonts w:asciiTheme="minorHAnsi" w:hAnsiTheme="minorHAnsi" w:cs="Calibri"/>
          <w:lang w:val="mk-MK"/>
        </w:rPr>
        <w:t>јавна електронска комуникациска мрежа на фиксна локација</w:t>
      </w:r>
      <w:r w:rsidR="00EE3ACC" w:rsidRPr="002968EC">
        <w:rPr>
          <w:rFonts w:asciiTheme="minorHAnsi" w:hAnsiTheme="minorHAnsi" w:cs="Calibri"/>
          <w:lang w:val="mk-MK"/>
        </w:rPr>
        <w:t xml:space="preserve"> и:</w:t>
      </w:r>
    </w:p>
    <w:p w:rsidR="000F3C36" w:rsidRPr="002968EC" w:rsidRDefault="000F3C36" w:rsidP="00962835">
      <w:pPr>
        <w:numPr>
          <w:ilvl w:val="0"/>
          <w:numId w:val="1"/>
        </w:numPr>
        <w:rPr>
          <w:rFonts w:asciiTheme="minorHAnsi" w:hAnsiTheme="minorHAnsi" w:cs="Calibri"/>
          <w:lang w:val="mk-MK"/>
        </w:rPr>
      </w:pPr>
      <w:r w:rsidRPr="002968EC">
        <w:rPr>
          <w:rFonts w:asciiTheme="minorHAnsi" w:hAnsiTheme="minorHAnsi" w:cs="Calibri"/>
          <w:lang w:val="mk-MK"/>
        </w:rPr>
        <w:t xml:space="preserve"> </w:t>
      </w:r>
      <w:r w:rsidR="00EE3ACC" w:rsidRPr="002968EC">
        <w:rPr>
          <w:rFonts w:asciiTheme="minorHAnsi" w:hAnsiTheme="minorHAnsi" w:cs="Calibri"/>
          <w:lang w:val="mk-MK"/>
        </w:rPr>
        <w:t>јавно достапн</w:t>
      </w:r>
      <w:r w:rsidR="005A1777" w:rsidRPr="002968EC">
        <w:rPr>
          <w:rFonts w:asciiTheme="minorHAnsi" w:hAnsiTheme="minorHAnsi" w:cs="Calibri"/>
          <w:lang w:val="mk-MK"/>
        </w:rPr>
        <w:t>а</w:t>
      </w:r>
      <w:r w:rsidR="00EE3ACC" w:rsidRPr="002968EC">
        <w:rPr>
          <w:rFonts w:asciiTheme="minorHAnsi" w:hAnsiTheme="minorHAnsi" w:cs="Calibri"/>
          <w:lang w:val="mk-MK"/>
        </w:rPr>
        <w:t xml:space="preserve"> телефонск</w:t>
      </w:r>
      <w:r w:rsidR="005A1777" w:rsidRPr="002968EC">
        <w:rPr>
          <w:rFonts w:asciiTheme="minorHAnsi" w:hAnsiTheme="minorHAnsi" w:cs="Calibri"/>
          <w:lang w:val="mk-MK"/>
        </w:rPr>
        <w:t>а услуга</w:t>
      </w:r>
      <w:r w:rsidR="00EE3ACC" w:rsidRPr="002968EC">
        <w:rPr>
          <w:rFonts w:asciiTheme="minorHAnsi" w:hAnsiTheme="minorHAnsi" w:cs="Calibri"/>
          <w:lang w:val="mk-MK"/>
        </w:rPr>
        <w:t xml:space="preserve"> (фиксн</w:t>
      </w:r>
      <w:r w:rsidR="005A1777" w:rsidRPr="002968EC">
        <w:rPr>
          <w:rFonts w:asciiTheme="minorHAnsi" w:hAnsiTheme="minorHAnsi" w:cs="Calibri"/>
          <w:lang w:val="mk-MK"/>
        </w:rPr>
        <w:t>а</w:t>
      </w:r>
      <w:r w:rsidR="00EE3ACC" w:rsidRPr="002968EC">
        <w:rPr>
          <w:rFonts w:asciiTheme="minorHAnsi" w:hAnsiTheme="minorHAnsi" w:cs="Calibri"/>
          <w:lang w:val="mk-MK"/>
        </w:rPr>
        <w:t xml:space="preserve">) </w:t>
      </w:r>
      <w:r w:rsidR="00896938" w:rsidRPr="002968EC">
        <w:rPr>
          <w:rFonts w:asciiTheme="minorHAnsi" w:hAnsiTheme="minorHAnsi" w:cs="Calibri"/>
          <w:lang w:val="mk-MK"/>
        </w:rPr>
        <w:t>,</w:t>
      </w:r>
    </w:p>
    <w:p w:rsidR="000F3C36" w:rsidRPr="002968EC" w:rsidRDefault="000F3C36" w:rsidP="00962835">
      <w:pPr>
        <w:numPr>
          <w:ilvl w:val="0"/>
          <w:numId w:val="1"/>
        </w:numPr>
        <w:rPr>
          <w:rFonts w:asciiTheme="minorHAnsi" w:hAnsiTheme="minorHAnsi" w:cs="Calibri"/>
          <w:lang w:val="mk-MK"/>
        </w:rPr>
      </w:pPr>
      <w:r w:rsidRPr="002968EC">
        <w:rPr>
          <w:rFonts w:asciiTheme="minorHAnsi" w:hAnsiTheme="minorHAnsi" w:cs="Calibri"/>
          <w:lang w:val="mk-MK"/>
        </w:rPr>
        <w:t xml:space="preserve"> </w:t>
      </w:r>
      <w:r w:rsidR="00A63796" w:rsidRPr="002968EC">
        <w:rPr>
          <w:rFonts w:asciiTheme="minorHAnsi" w:hAnsiTheme="minorHAnsi" w:cs="Calibri"/>
          <w:lang w:val="mk-MK"/>
        </w:rPr>
        <w:t>широкопојасен пристап до интернет</w:t>
      </w:r>
      <w:r w:rsidR="00896938" w:rsidRPr="002968EC">
        <w:rPr>
          <w:rFonts w:asciiTheme="minorHAnsi" w:hAnsiTheme="minorHAnsi" w:cs="Calibri"/>
          <w:lang w:val="mk-MK"/>
        </w:rPr>
        <w:t>,</w:t>
      </w:r>
    </w:p>
    <w:p w:rsidR="000F3C36" w:rsidRPr="002968EC" w:rsidRDefault="000C3717" w:rsidP="00962835">
      <w:pPr>
        <w:numPr>
          <w:ilvl w:val="0"/>
          <w:numId w:val="1"/>
        </w:numPr>
        <w:rPr>
          <w:rFonts w:asciiTheme="minorHAnsi" w:hAnsiTheme="minorHAnsi" w:cs="Calibri"/>
          <w:lang w:val="mk-MK"/>
        </w:rPr>
      </w:pPr>
      <w:r w:rsidRPr="002968EC">
        <w:rPr>
          <w:rFonts w:asciiTheme="minorHAnsi" w:hAnsiTheme="minorHAnsi" w:cs="Calibri"/>
          <w:lang w:val="mk-MK"/>
        </w:rPr>
        <w:lastRenderedPageBreak/>
        <w:t>фикс</w:t>
      </w:r>
      <w:r w:rsidR="00F15B5B" w:rsidRPr="002968EC">
        <w:rPr>
          <w:rFonts w:asciiTheme="minorHAnsi" w:hAnsiTheme="minorHAnsi" w:cs="Calibri"/>
          <w:lang w:val="mk-MK"/>
        </w:rPr>
        <w:t>ен</w:t>
      </w:r>
      <w:r w:rsidRPr="002968EC">
        <w:rPr>
          <w:rFonts w:asciiTheme="minorHAnsi" w:hAnsiTheme="minorHAnsi" w:cs="Calibri"/>
          <w:lang w:val="mk-MK"/>
        </w:rPr>
        <w:t xml:space="preserve"> безжичен пристап</w:t>
      </w:r>
    </w:p>
    <w:p w:rsidR="000C3717" w:rsidRDefault="000C3717" w:rsidP="00962835">
      <w:pPr>
        <w:numPr>
          <w:ilvl w:val="0"/>
          <w:numId w:val="1"/>
        </w:numPr>
        <w:rPr>
          <w:rFonts w:asciiTheme="minorHAnsi" w:hAnsiTheme="minorHAnsi" w:cs="Calibri"/>
          <w:lang w:val="mk-MK"/>
        </w:rPr>
      </w:pPr>
      <w:r w:rsidRPr="002968EC">
        <w:rPr>
          <w:rFonts w:asciiTheme="minorHAnsi" w:hAnsiTheme="minorHAnsi" w:cs="Calibri"/>
          <w:lang w:val="mk-MK"/>
        </w:rPr>
        <w:t>пристап до јавна електронска комуникациска мрежа (мобилна)</w:t>
      </w:r>
    </w:p>
    <w:p w:rsidR="00545C9B" w:rsidRPr="002968EC" w:rsidRDefault="00545C9B" w:rsidP="00F33DED">
      <w:pPr>
        <w:rPr>
          <w:rFonts w:asciiTheme="minorHAnsi" w:hAnsiTheme="minorHAnsi" w:cs="Calibri"/>
          <w:lang w:val="mk-MK"/>
        </w:rPr>
      </w:pPr>
    </w:p>
    <w:p w:rsidR="002E3620" w:rsidRPr="006E317C" w:rsidRDefault="006E317C" w:rsidP="006E317C">
      <w:pPr>
        <w:pStyle w:val="Heading3"/>
        <w:rPr>
          <w:rFonts w:asciiTheme="minorHAnsi" w:hAnsiTheme="minorHAnsi"/>
        </w:rPr>
      </w:pPr>
      <w:bookmarkStart w:id="18" w:name="_Toc461617740"/>
      <w:r>
        <w:rPr>
          <w:rFonts w:asciiTheme="minorHAnsi" w:hAnsiTheme="minorHAnsi"/>
          <w:lang w:val="mk-MK"/>
        </w:rPr>
        <w:t>8</w:t>
      </w:r>
      <w:r w:rsidR="004E5400" w:rsidRPr="006E317C">
        <w:rPr>
          <w:rFonts w:asciiTheme="minorHAnsi" w:hAnsiTheme="minorHAnsi"/>
        </w:rPr>
        <w:t xml:space="preserve">.2.2 </w:t>
      </w:r>
      <w:r w:rsidR="00360963" w:rsidRPr="006E317C">
        <w:rPr>
          <w:rFonts w:asciiTheme="minorHAnsi" w:hAnsiTheme="minorHAnsi"/>
        </w:rPr>
        <w:t>Дали услуг</w:t>
      </w:r>
      <w:r w:rsidR="00AE744C" w:rsidRPr="006E317C">
        <w:rPr>
          <w:rFonts w:asciiTheme="minorHAnsi" w:hAnsiTheme="minorHAnsi"/>
        </w:rPr>
        <w:t>ите</w:t>
      </w:r>
      <w:r w:rsidR="00360963" w:rsidRPr="006E317C">
        <w:rPr>
          <w:rFonts w:asciiTheme="minorHAnsi" w:hAnsiTheme="minorHAnsi"/>
        </w:rPr>
        <w:t xml:space="preserve">  пристап до </w:t>
      </w:r>
      <w:r w:rsidR="008A38F9" w:rsidRPr="006E317C">
        <w:rPr>
          <w:rFonts w:asciiTheme="minorHAnsi" w:hAnsiTheme="minorHAnsi"/>
        </w:rPr>
        <w:t>јавна електронска комуникациска мрежа на фиксна локација</w:t>
      </w:r>
      <w:r w:rsidR="007151E4" w:rsidRPr="006E317C">
        <w:rPr>
          <w:rFonts w:asciiTheme="minorHAnsi" w:hAnsiTheme="minorHAnsi"/>
        </w:rPr>
        <w:t xml:space="preserve"> </w:t>
      </w:r>
      <w:r w:rsidR="00360963" w:rsidRPr="006E317C">
        <w:rPr>
          <w:rFonts w:asciiTheme="minorHAnsi" w:hAnsiTheme="minorHAnsi"/>
        </w:rPr>
        <w:t xml:space="preserve">и </w:t>
      </w:r>
      <w:r w:rsidR="005A1777" w:rsidRPr="006E317C">
        <w:rPr>
          <w:rFonts w:asciiTheme="minorHAnsi" w:hAnsiTheme="minorHAnsi"/>
        </w:rPr>
        <w:t xml:space="preserve">јавно достапна телефонска услуга </w:t>
      </w:r>
      <w:r w:rsidR="00D35F1B" w:rsidRPr="006E317C">
        <w:rPr>
          <w:rFonts w:asciiTheme="minorHAnsi" w:hAnsiTheme="minorHAnsi"/>
        </w:rPr>
        <w:t>на фиксна локација</w:t>
      </w:r>
      <w:r w:rsidR="00AE744C" w:rsidRPr="006E317C">
        <w:rPr>
          <w:rFonts w:asciiTheme="minorHAnsi" w:hAnsiTheme="minorHAnsi"/>
        </w:rPr>
        <w:t xml:space="preserve"> се дел од истиот пазар</w:t>
      </w:r>
      <w:r w:rsidR="00F13197" w:rsidRPr="006E317C">
        <w:rPr>
          <w:rFonts w:asciiTheme="minorHAnsi" w:hAnsiTheme="minorHAnsi"/>
        </w:rPr>
        <w:t>?</w:t>
      </w:r>
      <w:bookmarkEnd w:id="18"/>
    </w:p>
    <w:p w:rsidR="00D6381C" w:rsidRPr="002968EC" w:rsidRDefault="00D6381C" w:rsidP="00D6381C">
      <w:pPr>
        <w:rPr>
          <w:rFonts w:asciiTheme="minorHAnsi" w:hAnsiTheme="minorHAnsi"/>
        </w:rPr>
      </w:pPr>
    </w:p>
    <w:p w:rsidR="00E52849" w:rsidRPr="002968EC" w:rsidRDefault="00E52849" w:rsidP="00781AEE">
      <w:pPr>
        <w:rPr>
          <w:rFonts w:asciiTheme="minorHAnsi" w:hAnsiTheme="minorHAnsi" w:cs="Calibri"/>
          <w:lang w:val="mk-MK"/>
        </w:rPr>
      </w:pPr>
      <w:r w:rsidRPr="002968EC">
        <w:rPr>
          <w:rFonts w:asciiTheme="minorHAnsi" w:hAnsiTheme="minorHAnsi" w:cs="Calibri"/>
          <w:lang w:val="mk-MK"/>
        </w:rPr>
        <w:t>АЕК в</w:t>
      </w:r>
      <w:r w:rsidR="001C33CF" w:rsidRPr="002968EC">
        <w:rPr>
          <w:rFonts w:asciiTheme="minorHAnsi" w:hAnsiTheme="minorHAnsi" w:cs="Calibri"/>
          <w:lang w:val="mk-MK"/>
        </w:rPr>
        <w:t xml:space="preserve">о овој дел </w:t>
      </w:r>
      <w:r w:rsidRPr="002968EC">
        <w:rPr>
          <w:rFonts w:asciiTheme="minorHAnsi" w:hAnsiTheme="minorHAnsi" w:cs="Calibri"/>
          <w:lang w:val="mk-MK"/>
        </w:rPr>
        <w:t>анализираше</w:t>
      </w:r>
      <w:r w:rsidR="001C33CF" w:rsidRPr="002968EC">
        <w:rPr>
          <w:rFonts w:asciiTheme="minorHAnsi" w:hAnsiTheme="minorHAnsi" w:cs="Calibri"/>
          <w:lang w:val="mk-MK"/>
        </w:rPr>
        <w:t xml:space="preserve"> дали </w:t>
      </w:r>
      <w:r w:rsidR="000A060F" w:rsidRPr="002968EC">
        <w:rPr>
          <w:rFonts w:asciiTheme="minorHAnsi" w:hAnsiTheme="minorHAnsi" w:cs="Calibri"/>
          <w:lang w:val="mk-MK"/>
        </w:rPr>
        <w:t xml:space="preserve">услуга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267042" w:rsidRPr="002968EC">
        <w:rPr>
          <w:rFonts w:asciiTheme="minorHAnsi" w:hAnsiTheme="minorHAnsi" w:cs="Calibri"/>
          <w:lang w:val="mk-MK"/>
        </w:rPr>
        <w:t xml:space="preserve"> </w:t>
      </w:r>
      <w:r w:rsidR="001C33CF" w:rsidRPr="002968EC">
        <w:rPr>
          <w:rFonts w:asciiTheme="minorHAnsi" w:hAnsiTheme="minorHAnsi" w:cs="Calibri"/>
          <w:lang w:val="mk-MK"/>
        </w:rPr>
        <w:t xml:space="preserve">и </w:t>
      </w:r>
      <w:r w:rsidRPr="002968EC">
        <w:rPr>
          <w:rFonts w:asciiTheme="minorHAnsi" w:hAnsiTheme="minorHAnsi" w:cs="Calibri"/>
          <w:lang w:val="mk-MK"/>
        </w:rPr>
        <w:t xml:space="preserve">јавно достапна телефонска </w:t>
      </w:r>
      <w:r w:rsidR="001C33CF" w:rsidRPr="002968EC">
        <w:rPr>
          <w:rFonts w:asciiTheme="minorHAnsi" w:hAnsiTheme="minorHAnsi" w:cs="Calibri"/>
          <w:lang w:val="mk-MK"/>
        </w:rPr>
        <w:t>услуга</w:t>
      </w:r>
      <w:r w:rsidRPr="002968EC">
        <w:rPr>
          <w:rFonts w:asciiTheme="minorHAnsi" w:hAnsiTheme="minorHAnsi" w:cs="Calibri"/>
          <w:lang w:val="mk-MK"/>
        </w:rPr>
        <w:t xml:space="preserve"> на</w:t>
      </w:r>
      <w:r w:rsidR="001C33CF" w:rsidRPr="002968EC">
        <w:rPr>
          <w:rFonts w:asciiTheme="minorHAnsi" w:hAnsiTheme="minorHAnsi" w:cs="Calibri"/>
          <w:lang w:val="mk-MK"/>
        </w:rPr>
        <w:t xml:space="preserve"> фиксн</w:t>
      </w:r>
      <w:r w:rsidRPr="002968EC">
        <w:rPr>
          <w:rFonts w:asciiTheme="minorHAnsi" w:hAnsiTheme="minorHAnsi" w:cs="Calibri"/>
          <w:lang w:val="mk-MK"/>
        </w:rPr>
        <w:t>а</w:t>
      </w:r>
      <w:r w:rsidR="001C33CF" w:rsidRPr="002968EC">
        <w:rPr>
          <w:rFonts w:asciiTheme="minorHAnsi" w:hAnsiTheme="minorHAnsi" w:cs="Calibri"/>
          <w:lang w:val="mk-MK"/>
        </w:rPr>
        <w:t xml:space="preserve"> </w:t>
      </w:r>
      <w:r w:rsidRPr="002968EC">
        <w:rPr>
          <w:rFonts w:asciiTheme="minorHAnsi" w:hAnsiTheme="minorHAnsi" w:cs="Calibri"/>
          <w:lang w:val="mk-MK"/>
        </w:rPr>
        <w:t xml:space="preserve">локација </w:t>
      </w:r>
      <w:r w:rsidR="001C33CF" w:rsidRPr="002968EC">
        <w:rPr>
          <w:rFonts w:asciiTheme="minorHAnsi" w:hAnsiTheme="minorHAnsi" w:cs="Calibri"/>
          <w:lang w:val="mk-MK"/>
        </w:rPr>
        <w:t xml:space="preserve"> се дел од </w:t>
      </w:r>
      <w:r w:rsidR="00AE744C" w:rsidRPr="002968EC">
        <w:rPr>
          <w:rFonts w:asciiTheme="minorHAnsi" w:hAnsiTheme="minorHAnsi" w:cs="Calibri"/>
          <w:lang w:val="mk-MK"/>
        </w:rPr>
        <w:t xml:space="preserve">релевантниот </w:t>
      </w:r>
      <w:r w:rsidR="001C33CF" w:rsidRPr="002968EC">
        <w:rPr>
          <w:rFonts w:asciiTheme="minorHAnsi" w:hAnsiTheme="minorHAnsi" w:cs="Calibri"/>
          <w:lang w:val="mk-MK"/>
        </w:rPr>
        <w:t xml:space="preserve"> пазар</w:t>
      </w:r>
      <w:r w:rsidR="00AE744C" w:rsidRPr="002968EC">
        <w:rPr>
          <w:rFonts w:asciiTheme="minorHAnsi" w:hAnsiTheme="minorHAnsi" w:cs="Calibri"/>
          <w:lang w:val="mk-MK"/>
        </w:rPr>
        <w:t xml:space="preserve"> 1</w:t>
      </w:r>
      <w:r w:rsidR="001C33CF" w:rsidRPr="002968EC">
        <w:rPr>
          <w:rFonts w:asciiTheme="minorHAnsi" w:hAnsiTheme="minorHAnsi" w:cs="Calibri"/>
          <w:lang w:val="mk-MK"/>
        </w:rPr>
        <w:t>.</w:t>
      </w:r>
    </w:p>
    <w:p w:rsidR="00E52849" w:rsidRPr="002968EC" w:rsidRDefault="00E52849" w:rsidP="00F33DED">
      <w:pPr>
        <w:spacing w:after="0"/>
        <w:rPr>
          <w:rFonts w:asciiTheme="minorHAnsi" w:hAnsiTheme="minorHAnsi" w:cs="Calibri"/>
          <w:lang w:val="mk-MK"/>
        </w:rPr>
      </w:pPr>
      <w:r w:rsidRPr="002968EC">
        <w:rPr>
          <w:rFonts w:asciiTheme="minorHAnsi" w:hAnsiTheme="minorHAnsi" w:cs="Calibri"/>
          <w:lang w:val="mk-MK"/>
        </w:rPr>
        <w:t>Услугите за пристап и јавно достапни телефонски услуги на фиксна локација традиционално се</w:t>
      </w:r>
      <w:r w:rsidRPr="002968EC">
        <w:rPr>
          <w:rFonts w:asciiTheme="minorHAnsi" w:hAnsiTheme="minorHAnsi" w:cs="Calibri"/>
          <w:lang w:val="mk-MK"/>
        </w:rPr>
        <w:br/>
        <w:t>нудат на пазарот како пакетирани производи. Тоа е најмногу од причина што операторите имаат придобивки од заедничкото користење на двете услуги. Услугата п</w:t>
      </w:r>
      <w:r w:rsidR="00673C48" w:rsidRPr="002968EC">
        <w:rPr>
          <w:rFonts w:asciiTheme="minorHAnsi" w:hAnsiTheme="minorHAnsi" w:cs="Arial"/>
          <w:color w:val="222222"/>
          <w:lang w:val="mk-MK"/>
        </w:rPr>
        <w:t>ристап се состои во инсталацијата и одржување на линија од просториите на крајните корисници до точката на приклучување во јавна електронска комуникациск</w:t>
      </w:r>
      <w:r w:rsidR="00B13D90">
        <w:rPr>
          <w:rFonts w:asciiTheme="minorHAnsi" w:hAnsiTheme="minorHAnsi" w:cs="Arial"/>
          <w:color w:val="222222"/>
          <w:lang w:val="mk-MK"/>
        </w:rPr>
        <w:t>а мрежа. Од друга страна</w:t>
      </w:r>
      <w:r w:rsidR="00F33DED">
        <w:rPr>
          <w:rFonts w:asciiTheme="minorHAnsi" w:hAnsiTheme="minorHAnsi" w:cs="Arial"/>
          <w:color w:val="222222"/>
          <w:lang w:val="mk-MK"/>
        </w:rPr>
        <w:t xml:space="preserve"> пак, </w:t>
      </w:r>
      <w:r w:rsidR="00673C48" w:rsidRPr="002968EC">
        <w:rPr>
          <w:rFonts w:asciiTheme="minorHAnsi" w:hAnsiTheme="minorHAnsi" w:cs="Arial"/>
          <w:color w:val="222222"/>
          <w:lang w:val="mk-MK"/>
        </w:rPr>
        <w:t>т</w:t>
      </w:r>
      <w:r w:rsidR="00F33DED">
        <w:rPr>
          <w:rFonts w:asciiTheme="minorHAnsi" w:hAnsiTheme="minorHAnsi" w:cs="Arial"/>
          <w:color w:val="222222"/>
          <w:lang w:val="mk-MK"/>
        </w:rPr>
        <w:t xml:space="preserve">елефонската услуга се состои во </w:t>
      </w:r>
      <w:r w:rsidR="00673C48" w:rsidRPr="002968EC">
        <w:rPr>
          <w:rFonts w:asciiTheme="minorHAnsi" w:hAnsiTheme="minorHAnsi" w:cs="Arial"/>
          <w:color w:val="222222"/>
          <w:lang w:val="mk-MK"/>
        </w:rPr>
        <w:t>врска помеѓу две или повеќе страни преку канал з</w:t>
      </w:r>
      <w:r w:rsidR="00F33DED">
        <w:rPr>
          <w:rFonts w:asciiTheme="minorHAnsi" w:hAnsiTheme="minorHAnsi" w:cs="Arial"/>
          <w:color w:val="222222"/>
          <w:lang w:val="mk-MK"/>
        </w:rPr>
        <w:t xml:space="preserve">а пренос, дозволувајќи емисија, </w:t>
      </w:r>
      <w:r w:rsidR="00673C48" w:rsidRPr="002968EC">
        <w:rPr>
          <w:rFonts w:asciiTheme="minorHAnsi" w:hAnsiTheme="minorHAnsi" w:cs="Arial"/>
          <w:color w:val="222222"/>
          <w:lang w:val="mk-MK"/>
        </w:rPr>
        <w:t>размена и прием на информации (сигнали и пораки) во рамките на мрежата и помеѓу</w:t>
      </w:r>
      <w:r w:rsidR="00673C48" w:rsidRPr="002968EC">
        <w:rPr>
          <w:rFonts w:asciiTheme="minorHAnsi" w:hAnsiTheme="minorHAnsi" w:cs="Arial"/>
          <w:color w:val="222222"/>
          <w:lang w:val="mk-MK"/>
        </w:rPr>
        <w:br/>
        <w:t>повеќе мрежи, според серија на претходно дефинирани правила и свеста на инволвираните субјекти. Земајќи ги во предвид физичките и техничките карактеристики на горенаведените услуги може да се заклучи дека истите се комплементари а не заменливи услуги.</w:t>
      </w:r>
    </w:p>
    <w:p w:rsidR="00F13197" w:rsidRPr="002968EC" w:rsidRDefault="00E52849" w:rsidP="00F33DED">
      <w:pPr>
        <w:rPr>
          <w:rFonts w:asciiTheme="minorHAnsi" w:hAnsiTheme="minorHAnsi" w:cs="Calibri"/>
          <w:lang w:val="mk-MK"/>
        </w:rPr>
      </w:pPr>
      <w:r w:rsidRPr="002968EC">
        <w:rPr>
          <w:rFonts w:asciiTheme="minorHAnsi" w:hAnsiTheme="minorHAnsi" w:cs="Calibri"/>
          <w:lang w:val="mk-MK"/>
        </w:rPr>
        <w:t xml:space="preserve"> Од тие причини АЕК смета</w:t>
      </w:r>
      <w:r w:rsidR="001C33CF" w:rsidRPr="002968EC">
        <w:rPr>
          <w:rFonts w:asciiTheme="minorHAnsi" w:hAnsiTheme="minorHAnsi" w:cs="Calibri"/>
          <w:lang w:val="mk-MK"/>
        </w:rPr>
        <w:t xml:space="preserve"> дека овие две услуги се комплементарни услуги една на друга. Ова значи дека услугата </w:t>
      </w:r>
      <w:r w:rsidRPr="002968EC">
        <w:rPr>
          <w:rFonts w:asciiTheme="minorHAnsi" w:hAnsiTheme="minorHAnsi" w:cs="Calibri"/>
          <w:lang w:val="mk-MK"/>
        </w:rPr>
        <w:t>телефонска услуга</w:t>
      </w:r>
      <w:r w:rsidR="001C33CF" w:rsidRPr="002968EC">
        <w:rPr>
          <w:rFonts w:asciiTheme="minorHAnsi" w:hAnsiTheme="minorHAnsi" w:cs="Calibri"/>
          <w:lang w:val="mk-MK"/>
        </w:rPr>
        <w:t xml:space="preserve"> се надоврзува на </w:t>
      </w:r>
      <w:r w:rsidR="000A060F" w:rsidRPr="002968EC">
        <w:rPr>
          <w:rFonts w:asciiTheme="minorHAnsi" w:hAnsiTheme="minorHAnsi" w:cs="Calibri"/>
          <w:lang w:val="mk-MK"/>
        </w:rPr>
        <w:t xml:space="preserve">услуга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1C33CF" w:rsidRPr="002968EC">
        <w:rPr>
          <w:rFonts w:asciiTheme="minorHAnsi" w:hAnsiTheme="minorHAnsi" w:cs="Calibri"/>
          <w:lang w:val="mk-MK"/>
        </w:rPr>
        <w:t xml:space="preserve">. </w:t>
      </w:r>
    </w:p>
    <w:p w:rsidR="000442EB" w:rsidRPr="002968EC" w:rsidRDefault="00D44050" w:rsidP="00781AEE">
      <w:pPr>
        <w:rPr>
          <w:rFonts w:asciiTheme="minorHAnsi" w:hAnsiTheme="minorHAnsi" w:cs="Calibri"/>
          <w:lang w:val="mk-MK"/>
        </w:rPr>
      </w:pPr>
      <w:r w:rsidRPr="002968EC">
        <w:rPr>
          <w:rFonts w:asciiTheme="minorHAnsi" w:hAnsiTheme="minorHAnsi" w:cs="Calibri"/>
          <w:lang w:val="mk-MK"/>
        </w:rPr>
        <w:t xml:space="preserve">Во Одлуката за утврдување на релевантни пазари подложни на претходна регулација која </w:t>
      </w:r>
      <w:r w:rsidR="00E525A2" w:rsidRPr="002968EC">
        <w:rPr>
          <w:rFonts w:asciiTheme="minorHAnsi" w:hAnsiTheme="minorHAnsi" w:cs="Calibri"/>
          <w:lang w:val="mk-MK"/>
        </w:rPr>
        <w:t>е</w:t>
      </w:r>
      <w:r w:rsidRPr="002968EC">
        <w:rPr>
          <w:rFonts w:asciiTheme="minorHAnsi" w:hAnsiTheme="minorHAnsi" w:cs="Calibri"/>
          <w:lang w:val="mk-MK"/>
        </w:rPr>
        <w:t xml:space="preserve"> донес</w:t>
      </w:r>
      <w:r w:rsidR="00E525A2" w:rsidRPr="002968EC">
        <w:rPr>
          <w:rFonts w:asciiTheme="minorHAnsi" w:hAnsiTheme="minorHAnsi" w:cs="Calibri"/>
          <w:lang w:val="mk-MK"/>
        </w:rPr>
        <w:t>ена од</w:t>
      </w:r>
      <w:r w:rsidR="00F81581" w:rsidRPr="002968EC">
        <w:rPr>
          <w:rFonts w:asciiTheme="minorHAnsi" w:hAnsiTheme="minorHAnsi" w:cs="Calibri"/>
          <w:lang w:val="mk-MK"/>
        </w:rPr>
        <w:t xml:space="preserve"> страна на директорот на</w:t>
      </w:r>
      <w:r w:rsidRPr="002968EC">
        <w:rPr>
          <w:rFonts w:asciiTheme="minorHAnsi" w:hAnsiTheme="minorHAnsi" w:cs="Calibri"/>
          <w:lang w:val="mk-MK"/>
        </w:rPr>
        <w:t xml:space="preserve"> </w:t>
      </w:r>
      <w:r w:rsidR="007967C2" w:rsidRPr="002968EC">
        <w:rPr>
          <w:rFonts w:asciiTheme="minorHAnsi" w:hAnsiTheme="minorHAnsi" w:cs="Calibri"/>
          <w:lang w:val="mk-MK"/>
        </w:rPr>
        <w:t>АЕК</w:t>
      </w:r>
      <w:r w:rsidRPr="002968EC">
        <w:rPr>
          <w:rFonts w:asciiTheme="minorHAnsi" w:hAnsiTheme="minorHAnsi" w:cs="Calibri"/>
          <w:lang w:val="mk-MK"/>
        </w:rPr>
        <w:t xml:space="preserve"> </w:t>
      </w:r>
      <w:r w:rsidR="00F81581" w:rsidRPr="002968EC">
        <w:rPr>
          <w:rFonts w:asciiTheme="minorHAnsi" w:hAnsiTheme="minorHAnsi" w:cs="Calibri"/>
          <w:lang w:val="mk-MK"/>
        </w:rPr>
        <w:t>на 17.09.</w:t>
      </w:r>
      <w:r w:rsidRPr="002968EC">
        <w:rPr>
          <w:rFonts w:asciiTheme="minorHAnsi" w:hAnsiTheme="minorHAnsi" w:cs="Calibri"/>
          <w:lang w:val="mk-MK"/>
        </w:rPr>
        <w:t xml:space="preserve">2010 год, дефинирани </w:t>
      </w:r>
      <w:r w:rsidR="000442EB" w:rsidRPr="002968EC">
        <w:rPr>
          <w:rFonts w:asciiTheme="minorHAnsi" w:hAnsiTheme="minorHAnsi" w:cs="Calibri"/>
          <w:lang w:val="mk-MK"/>
        </w:rPr>
        <w:t xml:space="preserve">се </w:t>
      </w:r>
      <w:r w:rsidRPr="002968EC">
        <w:rPr>
          <w:rFonts w:asciiTheme="minorHAnsi" w:hAnsiTheme="minorHAnsi" w:cs="Calibri"/>
          <w:lang w:val="mk-MK"/>
        </w:rPr>
        <w:t>два различни пазари</w:t>
      </w:r>
      <w:r w:rsidR="000442EB" w:rsidRPr="002968EC">
        <w:rPr>
          <w:rFonts w:asciiTheme="minorHAnsi" w:hAnsiTheme="minorHAnsi" w:cs="Calibri"/>
          <w:lang w:val="mk-MK"/>
        </w:rPr>
        <w:t xml:space="preserve"> и тоа:</w:t>
      </w:r>
    </w:p>
    <w:p w:rsidR="00032CF5" w:rsidRDefault="000442EB">
      <w:pPr>
        <w:pStyle w:val="ListParagraph"/>
        <w:numPr>
          <w:ilvl w:val="0"/>
          <w:numId w:val="8"/>
        </w:numPr>
        <w:rPr>
          <w:rFonts w:asciiTheme="minorHAnsi" w:hAnsiTheme="minorHAnsi" w:cs="Calibri"/>
          <w:lang w:val="mk-MK"/>
        </w:rPr>
      </w:pPr>
      <w:r w:rsidRPr="002968EC">
        <w:rPr>
          <w:rFonts w:asciiTheme="minorHAnsi" w:hAnsiTheme="minorHAnsi" w:cs="Calibri"/>
          <w:lang w:val="mk-MK"/>
        </w:rPr>
        <w:t xml:space="preserve">пазар 1 </w:t>
      </w:r>
      <w:r w:rsidR="000A060F" w:rsidRPr="002968EC">
        <w:rPr>
          <w:rFonts w:asciiTheme="minorHAnsi" w:hAnsiTheme="minorHAnsi" w:cs="Calibri"/>
          <w:lang w:val="mk-MK"/>
        </w:rPr>
        <w:t xml:space="preserve">пристап до </w:t>
      </w:r>
      <w:r w:rsidRPr="002968EC">
        <w:rPr>
          <w:rFonts w:asciiTheme="minorHAnsi" w:hAnsiTheme="minorHAnsi" w:cs="Calibri"/>
          <w:lang w:val="mk-MK"/>
        </w:rPr>
        <w:t>телефонска мрежа на фиксна локација за резиденцијални и деловни корисници</w:t>
      </w:r>
    </w:p>
    <w:p w:rsidR="00032CF5" w:rsidRDefault="000442EB">
      <w:pPr>
        <w:pStyle w:val="ListParagraph"/>
        <w:numPr>
          <w:ilvl w:val="0"/>
          <w:numId w:val="8"/>
        </w:numPr>
        <w:rPr>
          <w:rFonts w:asciiTheme="minorHAnsi" w:hAnsiTheme="minorHAnsi" w:cs="Calibri"/>
          <w:lang w:val="mk-MK"/>
        </w:rPr>
      </w:pPr>
      <w:r w:rsidRPr="002968EC">
        <w:rPr>
          <w:rFonts w:asciiTheme="minorHAnsi" w:hAnsiTheme="minorHAnsi" w:cs="Calibri"/>
          <w:lang w:val="mk-MK"/>
        </w:rPr>
        <w:t>пазар 2</w:t>
      </w:r>
      <w:r w:rsidR="00D44050" w:rsidRPr="002968EC">
        <w:rPr>
          <w:rFonts w:asciiTheme="minorHAnsi" w:hAnsiTheme="minorHAnsi" w:cs="Calibri"/>
          <w:lang w:val="mk-MK"/>
        </w:rPr>
        <w:t xml:space="preserve"> </w:t>
      </w:r>
      <w:r w:rsidR="001739EF" w:rsidRPr="002968EC">
        <w:rPr>
          <w:rFonts w:asciiTheme="minorHAnsi" w:hAnsiTheme="minorHAnsi" w:cs="Calibri"/>
          <w:lang w:val="mk-MK"/>
        </w:rPr>
        <w:t>јавно достапн</w:t>
      </w:r>
      <w:r w:rsidR="006066D8" w:rsidRPr="002968EC">
        <w:rPr>
          <w:rFonts w:asciiTheme="minorHAnsi" w:hAnsiTheme="minorHAnsi" w:cs="Calibri"/>
          <w:lang w:val="mk-MK"/>
        </w:rPr>
        <w:t>и</w:t>
      </w:r>
      <w:r w:rsidR="001739EF" w:rsidRPr="002968EC">
        <w:rPr>
          <w:rFonts w:asciiTheme="minorHAnsi" w:hAnsiTheme="minorHAnsi" w:cs="Calibri"/>
          <w:lang w:val="mk-MK"/>
        </w:rPr>
        <w:t xml:space="preserve"> телефонск</w:t>
      </w:r>
      <w:r w:rsidR="006066D8" w:rsidRPr="002968EC">
        <w:rPr>
          <w:rFonts w:asciiTheme="minorHAnsi" w:hAnsiTheme="minorHAnsi" w:cs="Calibri"/>
          <w:lang w:val="mk-MK"/>
        </w:rPr>
        <w:t>и</w:t>
      </w:r>
      <w:r w:rsidR="001739EF" w:rsidRPr="002968EC">
        <w:rPr>
          <w:rFonts w:asciiTheme="minorHAnsi" w:hAnsiTheme="minorHAnsi" w:cs="Calibri"/>
          <w:lang w:val="mk-MK"/>
        </w:rPr>
        <w:t xml:space="preserve"> услуг</w:t>
      </w:r>
      <w:r w:rsidR="006066D8" w:rsidRPr="002968EC">
        <w:rPr>
          <w:rFonts w:asciiTheme="minorHAnsi" w:hAnsiTheme="minorHAnsi" w:cs="Calibri"/>
          <w:lang w:val="mk-MK"/>
        </w:rPr>
        <w:t>и</w:t>
      </w:r>
      <w:r w:rsidRPr="002968EC">
        <w:rPr>
          <w:rFonts w:asciiTheme="minorHAnsi" w:hAnsiTheme="minorHAnsi" w:cs="Calibri"/>
          <w:lang w:val="mk-MK"/>
        </w:rPr>
        <w:t xml:space="preserve"> на фиксна локација за резиденцијални и деловни корисници.</w:t>
      </w:r>
      <w:r w:rsidR="006066D8" w:rsidRPr="002968EC">
        <w:rPr>
          <w:rFonts w:asciiTheme="minorHAnsi" w:hAnsiTheme="minorHAnsi" w:cs="Calibri"/>
          <w:lang w:val="mk-MK"/>
        </w:rPr>
        <w:t xml:space="preserve"> </w:t>
      </w:r>
    </w:p>
    <w:p w:rsidR="0008416D" w:rsidRPr="002968EC" w:rsidRDefault="00245103" w:rsidP="00781AEE">
      <w:pPr>
        <w:rPr>
          <w:rFonts w:asciiTheme="minorHAnsi" w:hAnsiTheme="minorHAnsi" w:cs="Calibri"/>
          <w:lang w:val="mk-MK"/>
        </w:rPr>
      </w:pPr>
      <w:r w:rsidRPr="002968EC">
        <w:rPr>
          <w:rFonts w:asciiTheme="minorHAnsi" w:hAnsiTheme="minorHAnsi" w:cs="Calibri"/>
          <w:lang w:val="mk-MK"/>
        </w:rPr>
        <w:t xml:space="preserve">Ставот на </w:t>
      </w:r>
      <w:r w:rsidR="007967C2" w:rsidRPr="002968EC">
        <w:rPr>
          <w:rFonts w:asciiTheme="minorHAnsi" w:hAnsiTheme="minorHAnsi" w:cs="Calibri"/>
          <w:lang w:val="mk-MK"/>
        </w:rPr>
        <w:t>АЕК</w:t>
      </w:r>
      <w:r w:rsidRPr="002968EC">
        <w:rPr>
          <w:rFonts w:asciiTheme="minorHAnsi" w:hAnsiTheme="minorHAnsi" w:cs="Calibri"/>
          <w:lang w:val="mk-MK"/>
        </w:rPr>
        <w:t xml:space="preserve"> е дека </w:t>
      </w:r>
      <w:r w:rsidR="001739EF" w:rsidRPr="002968EC">
        <w:rPr>
          <w:rFonts w:asciiTheme="minorHAnsi" w:hAnsiTheme="minorHAnsi" w:cs="Calibri"/>
          <w:lang w:val="mk-MK"/>
        </w:rPr>
        <w:t>услуг</w:t>
      </w:r>
      <w:r w:rsidR="00F81581" w:rsidRPr="002968EC">
        <w:rPr>
          <w:rFonts w:asciiTheme="minorHAnsi" w:hAnsiTheme="minorHAnsi" w:cs="Calibri"/>
          <w:lang w:val="mk-MK"/>
        </w:rPr>
        <w:t>ите</w:t>
      </w:r>
      <w:r w:rsidR="001739EF" w:rsidRPr="002968EC">
        <w:rPr>
          <w:rFonts w:asciiTheme="minorHAnsi" w:hAnsiTheme="minorHAnsi" w:cs="Calibri"/>
          <w:lang w:val="mk-MK"/>
        </w:rPr>
        <w:t xml:space="preserve">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0442EB" w:rsidRPr="002968EC">
        <w:rPr>
          <w:rFonts w:asciiTheme="minorHAnsi" w:hAnsiTheme="minorHAnsi" w:cs="Calibri"/>
          <w:lang w:val="mk-MK"/>
        </w:rPr>
        <w:t xml:space="preserve"> </w:t>
      </w:r>
      <w:r w:rsidRPr="002968EC">
        <w:rPr>
          <w:rFonts w:asciiTheme="minorHAnsi" w:hAnsiTheme="minorHAnsi" w:cs="Calibri"/>
          <w:lang w:val="mk-MK"/>
        </w:rPr>
        <w:t xml:space="preserve">и </w:t>
      </w:r>
      <w:r w:rsidR="00F81581" w:rsidRPr="002968EC">
        <w:rPr>
          <w:rFonts w:asciiTheme="minorHAnsi" w:hAnsiTheme="minorHAnsi" w:cs="Calibri"/>
          <w:lang w:val="mk-MK"/>
        </w:rPr>
        <w:t xml:space="preserve">јавно достапна телефонска услуга на </w:t>
      </w:r>
      <w:r w:rsidRPr="002968EC">
        <w:rPr>
          <w:rFonts w:asciiTheme="minorHAnsi" w:hAnsiTheme="minorHAnsi" w:cs="Calibri"/>
          <w:lang w:val="mk-MK"/>
        </w:rPr>
        <w:t>фиксн</w:t>
      </w:r>
      <w:r w:rsidR="00F81581" w:rsidRPr="002968EC">
        <w:rPr>
          <w:rFonts w:asciiTheme="minorHAnsi" w:hAnsiTheme="minorHAnsi" w:cs="Calibri"/>
          <w:lang w:val="mk-MK"/>
        </w:rPr>
        <w:t>а локација</w:t>
      </w:r>
      <w:r w:rsidR="004377CE" w:rsidRPr="002968EC">
        <w:rPr>
          <w:rFonts w:asciiTheme="minorHAnsi" w:hAnsiTheme="minorHAnsi" w:cs="Calibri"/>
          <w:lang w:val="mk-MK"/>
        </w:rPr>
        <w:t xml:space="preserve"> не </w:t>
      </w:r>
      <w:r w:rsidRPr="002968EC">
        <w:rPr>
          <w:rFonts w:asciiTheme="minorHAnsi" w:hAnsiTheme="minorHAnsi" w:cs="Calibri"/>
          <w:lang w:val="mk-MK"/>
        </w:rPr>
        <w:t xml:space="preserve">претставуваат меѓусебно заменливи услуги. </w:t>
      </w:r>
      <w:r w:rsidR="004377CE" w:rsidRPr="002968EC">
        <w:rPr>
          <w:rFonts w:asciiTheme="minorHAnsi" w:hAnsiTheme="minorHAnsi" w:cs="Calibri"/>
          <w:lang w:val="mk-MK"/>
        </w:rPr>
        <w:t>У</w:t>
      </w:r>
      <w:r w:rsidR="001739EF" w:rsidRPr="002968EC">
        <w:rPr>
          <w:rFonts w:asciiTheme="minorHAnsi" w:hAnsiTheme="minorHAnsi" w:cs="Calibri"/>
          <w:lang w:val="mk-MK"/>
        </w:rPr>
        <w:t>слуга</w:t>
      </w:r>
      <w:r w:rsidR="004377CE" w:rsidRPr="002968EC">
        <w:rPr>
          <w:rFonts w:asciiTheme="minorHAnsi" w:hAnsiTheme="minorHAnsi" w:cs="Calibri"/>
          <w:lang w:val="mk-MK"/>
        </w:rPr>
        <w:t>та</w:t>
      </w:r>
      <w:r w:rsidR="001739EF" w:rsidRPr="002968EC">
        <w:rPr>
          <w:rFonts w:asciiTheme="minorHAnsi" w:hAnsiTheme="minorHAnsi" w:cs="Calibri"/>
          <w:lang w:val="mk-MK"/>
        </w:rPr>
        <w:t xml:space="preserve"> за пристап до </w:t>
      </w:r>
      <w:r w:rsidR="008A38F9" w:rsidRPr="002968EC">
        <w:rPr>
          <w:rFonts w:asciiTheme="minorHAnsi" w:hAnsiTheme="minorHAnsi" w:cs="Calibri"/>
          <w:lang w:val="mk-MK"/>
        </w:rPr>
        <w:t>јавна електронска комуникациска мрежа на фиксна локација</w:t>
      </w:r>
      <w:r w:rsidRPr="002968EC">
        <w:rPr>
          <w:rFonts w:asciiTheme="minorHAnsi" w:hAnsiTheme="minorHAnsi" w:cs="Calibri"/>
          <w:lang w:val="mk-MK"/>
        </w:rPr>
        <w:t xml:space="preserve"> обезбедува </w:t>
      </w:r>
      <w:r w:rsidR="00A439F0" w:rsidRPr="002968EC">
        <w:rPr>
          <w:rFonts w:asciiTheme="minorHAnsi" w:hAnsiTheme="minorHAnsi" w:cs="Calibri"/>
          <w:lang w:val="mk-MK"/>
        </w:rPr>
        <w:t>пристап</w:t>
      </w:r>
      <w:r w:rsidRPr="002968EC">
        <w:rPr>
          <w:rFonts w:asciiTheme="minorHAnsi" w:hAnsiTheme="minorHAnsi" w:cs="Calibri"/>
          <w:lang w:val="mk-MK"/>
        </w:rPr>
        <w:t xml:space="preserve"> на крајниот корисник до мрежата на операторот за обезбедување на говорна услуга или интернет.</w:t>
      </w:r>
      <w:r w:rsidR="0076327E" w:rsidRPr="002968EC">
        <w:rPr>
          <w:rFonts w:asciiTheme="minorHAnsi" w:hAnsiTheme="minorHAnsi" w:cs="Calibri"/>
          <w:lang w:val="mk-MK"/>
        </w:rPr>
        <w:t xml:space="preserve"> При купувањето на услугата фиксни говорни повици, претплатникот всушност </w:t>
      </w:r>
      <w:r w:rsidR="00642631" w:rsidRPr="002968EC">
        <w:rPr>
          <w:rFonts w:asciiTheme="minorHAnsi" w:hAnsiTheme="minorHAnsi" w:cs="Calibri"/>
          <w:lang w:val="mk-MK"/>
        </w:rPr>
        <w:t xml:space="preserve">ја </w:t>
      </w:r>
      <w:r w:rsidR="0076327E" w:rsidRPr="002968EC">
        <w:rPr>
          <w:rFonts w:asciiTheme="minorHAnsi" w:hAnsiTheme="minorHAnsi" w:cs="Calibri"/>
          <w:lang w:val="mk-MK"/>
        </w:rPr>
        <w:t xml:space="preserve">купува и </w:t>
      </w:r>
      <w:r w:rsidR="00A439F0" w:rsidRPr="002968EC">
        <w:rPr>
          <w:rFonts w:asciiTheme="minorHAnsi" w:hAnsiTheme="minorHAnsi" w:cs="Calibri"/>
          <w:lang w:val="mk-MK"/>
        </w:rPr>
        <w:t xml:space="preserve">услуга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76327E" w:rsidRPr="002968EC">
        <w:rPr>
          <w:rFonts w:asciiTheme="minorHAnsi" w:hAnsiTheme="minorHAnsi" w:cs="Calibri"/>
          <w:lang w:val="mk-MK"/>
        </w:rPr>
        <w:t>.</w:t>
      </w:r>
      <w:r w:rsidR="007E5784" w:rsidRPr="002968EC">
        <w:rPr>
          <w:rFonts w:asciiTheme="minorHAnsi" w:hAnsiTheme="minorHAnsi" w:cs="Calibri"/>
          <w:lang w:val="mk-MK"/>
        </w:rPr>
        <w:t xml:space="preserve"> </w:t>
      </w:r>
      <w:r w:rsidR="00D00329" w:rsidRPr="002968EC">
        <w:rPr>
          <w:rFonts w:asciiTheme="minorHAnsi" w:hAnsiTheme="minorHAnsi" w:cs="Calibri"/>
          <w:lang w:val="mk-MK"/>
        </w:rPr>
        <w:t>Тоа покажува дека</w:t>
      </w:r>
      <w:r w:rsidR="007E5784" w:rsidRPr="002968EC">
        <w:rPr>
          <w:rFonts w:asciiTheme="minorHAnsi" w:hAnsiTheme="minorHAnsi" w:cs="Calibri"/>
          <w:lang w:val="mk-MK"/>
        </w:rPr>
        <w:t xml:space="preserve"> една</w:t>
      </w:r>
      <w:r w:rsidR="00D00329" w:rsidRPr="002968EC">
        <w:rPr>
          <w:rFonts w:asciiTheme="minorHAnsi" w:hAnsiTheme="minorHAnsi" w:cs="Calibri"/>
          <w:lang w:val="mk-MK"/>
        </w:rPr>
        <w:t>та</w:t>
      </w:r>
      <w:r w:rsidR="007E5784" w:rsidRPr="002968EC">
        <w:rPr>
          <w:rFonts w:asciiTheme="minorHAnsi" w:hAnsiTheme="minorHAnsi" w:cs="Calibri"/>
          <w:lang w:val="mk-MK"/>
        </w:rPr>
        <w:t xml:space="preserve"> услуга е комплемент</w:t>
      </w:r>
      <w:r w:rsidR="00A439F0" w:rsidRPr="002968EC">
        <w:rPr>
          <w:rFonts w:asciiTheme="minorHAnsi" w:hAnsiTheme="minorHAnsi" w:cs="Calibri"/>
          <w:lang w:val="mk-MK"/>
        </w:rPr>
        <w:t>арна</w:t>
      </w:r>
      <w:r w:rsidR="007E5784" w:rsidRPr="002968EC">
        <w:rPr>
          <w:rFonts w:asciiTheme="minorHAnsi" w:hAnsiTheme="minorHAnsi" w:cs="Calibri"/>
          <w:lang w:val="mk-MK"/>
        </w:rPr>
        <w:t xml:space="preserve"> на другата на пазарот </w:t>
      </w:r>
      <w:r w:rsidR="00D00329" w:rsidRPr="002968EC">
        <w:rPr>
          <w:rFonts w:asciiTheme="minorHAnsi" w:hAnsiTheme="minorHAnsi" w:cs="Calibri"/>
          <w:lang w:val="mk-MK"/>
        </w:rPr>
        <w:t xml:space="preserve">и истите </w:t>
      </w:r>
      <w:r w:rsidR="007E5784" w:rsidRPr="002968EC">
        <w:rPr>
          <w:rFonts w:asciiTheme="minorHAnsi" w:hAnsiTheme="minorHAnsi" w:cs="Calibri"/>
          <w:lang w:val="mk-MK"/>
        </w:rPr>
        <w:t xml:space="preserve">се нудат </w:t>
      </w:r>
      <w:r w:rsidR="00D00329" w:rsidRPr="002968EC">
        <w:rPr>
          <w:rFonts w:asciiTheme="minorHAnsi" w:hAnsiTheme="minorHAnsi" w:cs="Calibri"/>
          <w:lang w:val="mk-MK"/>
        </w:rPr>
        <w:t>заедно во</w:t>
      </w:r>
      <w:r w:rsidR="007E5784" w:rsidRPr="002968EC">
        <w:rPr>
          <w:rFonts w:asciiTheme="minorHAnsi" w:hAnsiTheme="minorHAnsi" w:cs="Calibri"/>
          <w:lang w:val="mk-MK"/>
        </w:rPr>
        <w:t xml:space="preserve"> </w:t>
      </w:r>
      <w:r w:rsidR="00D00329" w:rsidRPr="002968EC">
        <w:rPr>
          <w:rFonts w:asciiTheme="minorHAnsi" w:hAnsiTheme="minorHAnsi" w:cs="Calibri"/>
          <w:lang w:val="mk-MK"/>
        </w:rPr>
        <w:t>пакет</w:t>
      </w:r>
      <w:r w:rsidR="007E5784" w:rsidRPr="002968EC">
        <w:rPr>
          <w:rFonts w:asciiTheme="minorHAnsi" w:hAnsiTheme="minorHAnsi" w:cs="Calibri"/>
          <w:lang w:val="mk-MK"/>
        </w:rPr>
        <w:t xml:space="preserve">. Продажбата на пазарот на овој вид пакет кој содржи </w:t>
      </w:r>
      <w:r w:rsidR="00A439F0" w:rsidRPr="002968EC">
        <w:rPr>
          <w:rFonts w:asciiTheme="minorHAnsi" w:hAnsiTheme="minorHAnsi" w:cs="Calibri"/>
          <w:lang w:val="mk-MK"/>
        </w:rPr>
        <w:t xml:space="preserve">услуга за пристап до </w:t>
      </w:r>
      <w:r w:rsidR="008A38F9" w:rsidRPr="002968EC">
        <w:rPr>
          <w:rFonts w:asciiTheme="minorHAnsi" w:hAnsiTheme="minorHAnsi" w:cs="Calibri"/>
          <w:lang w:val="mk-MK"/>
        </w:rPr>
        <w:t xml:space="preserve">јавна електронска комуникациска </w:t>
      </w:r>
      <w:r w:rsidR="008A38F9" w:rsidRPr="002968EC">
        <w:rPr>
          <w:rFonts w:asciiTheme="minorHAnsi" w:hAnsiTheme="minorHAnsi" w:cs="Calibri"/>
          <w:lang w:val="mk-MK"/>
        </w:rPr>
        <w:lastRenderedPageBreak/>
        <w:t>мрежа на фиксна локација</w:t>
      </w:r>
      <w:r w:rsidR="00B13D90">
        <w:rPr>
          <w:rFonts w:asciiTheme="minorHAnsi" w:hAnsiTheme="minorHAnsi" w:cs="Calibri"/>
          <w:lang w:val="mk-MK"/>
        </w:rPr>
        <w:t xml:space="preserve"> </w:t>
      </w:r>
      <w:r w:rsidR="007E5784" w:rsidRPr="002968EC">
        <w:rPr>
          <w:rFonts w:asciiTheme="minorHAnsi" w:hAnsiTheme="minorHAnsi" w:cs="Calibri"/>
          <w:lang w:val="mk-MK"/>
        </w:rPr>
        <w:t>и фиксни говорни повици еволуира со тек на време</w:t>
      </w:r>
      <w:r w:rsidR="00A439F0" w:rsidRPr="002968EC">
        <w:rPr>
          <w:rFonts w:asciiTheme="minorHAnsi" w:hAnsiTheme="minorHAnsi" w:cs="Calibri"/>
          <w:lang w:val="mk-MK"/>
        </w:rPr>
        <w:t>то</w:t>
      </w:r>
      <w:r w:rsidR="007E5784" w:rsidRPr="002968EC">
        <w:rPr>
          <w:rFonts w:asciiTheme="minorHAnsi" w:hAnsiTheme="minorHAnsi" w:cs="Calibri"/>
          <w:lang w:val="mk-MK"/>
        </w:rPr>
        <w:t xml:space="preserve"> под влијание на технолошкиот напредок</w:t>
      </w:r>
      <w:r w:rsidR="00D45115" w:rsidRPr="002968EC">
        <w:rPr>
          <w:rFonts w:asciiTheme="minorHAnsi" w:hAnsiTheme="minorHAnsi" w:cs="Calibri"/>
          <w:lang w:val="mk-MK"/>
        </w:rPr>
        <w:t xml:space="preserve"> и под влијание на однесувањето на ко</w:t>
      </w:r>
      <w:r w:rsidR="00E0662F" w:rsidRPr="002968EC">
        <w:rPr>
          <w:rFonts w:asciiTheme="minorHAnsi" w:hAnsiTheme="minorHAnsi" w:cs="Calibri"/>
          <w:lang w:val="mk-MK"/>
        </w:rPr>
        <w:t>рисниците, што директно влијае</w:t>
      </w:r>
      <w:r w:rsidR="00D45115" w:rsidRPr="002968EC">
        <w:rPr>
          <w:rFonts w:asciiTheme="minorHAnsi" w:hAnsiTheme="minorHAnsi" w:cs="Calibri"/>
          <w:lang w:val="mk-MK"/>
        </w:rPr>
        <w:t xml:space="preserve"> на пакетот</w:t>
      </w:r>
      <w:r w:rsidR="00642631" w:rsidRPr="002968EC">
        <w:rPr>
          <w:rFonts w:asciiTheme="minorHAnsi" w:hAnsiTheme="minorHAnsi" w:cs="Calibri"/>
          <w:lang w:val="mk-MK"/>
        </w:rPr>
        <w:t>. Доказ за тоа е</w:t>
      </w:r>
      <w:r w:rsidR="00D45115" w:rsidRPr="002968EC">
        <w:rPr>
          <w:rFonts w:asciiTheme="minorHAnsi" w:hAnsiTheme="minorHAnsi" w:cs="Calibri"/>
          <w:lang w:val="mk-MK"/>
        </w:rPr>
        <w:t xml:space="preserve"> </w:t>
      </w:r>
      <w:r w:rsidR="00642631" w:rsidRPr="002968EC">
        <w:rPr>
          <w:rFonts w:asciiTheme="minorHAnsi" w:hAnsiTheme="minorHAnsi" w:cs="Calibri"/>
          <w:lang w:val="mk-MK"/>
        </w:rPr>
        <w:t>завршениот процес на миграција на корисниците на операторот со значителна пазарна моќ на ИП платформа и користење</w:t>
      </w:r>
      <w:r w:rsidR="00D45115" w:rsidRPr="002968EC">
        <w:rPr>
          <w:rFonts w:asciiTheme="minorHAnsi" w:hAnsiTheme="minorHAnsi" w:cs="Calibri"/>
          <w:lang w:val="mk-MK"/>
        </w:rPr>
        <w:t xml:space="preserve"> на </w:t>
      </w:r>
      <w:r w:rsidR="00E0662F" w:rsidRPr="002968EC">
        <w:rPr>
          <w:rFonts w:asciiTheme="minorHAnsi" w:hAnsiTheme="minorHAnsi" w:cs="Calibri"/>
          <w:lang w:val="mk-MK"/>
        </w:rPr>
        <w:t>ВОИП</w:t>
      </w:r>
      <w:r w:rsidR="007E5784" w:rsidRPr="002968EC">
        <w:rPr>
          <w:rFonts w:asciiTheme="minorHAnsi" w:hAnsiTheme="minorHAnsi" w:cs="Calibri"/>
          <w:lang w:val="mk-MK"/>
        </w:rPr>
        <w:t xml:space="preserve"> повици</w:t>
      </w:r>
      <w:r w:rsidR="00642631" w:rsidRPr="002968EC">
        <w:rPr>
          <w:rFonts w:asciiTheme="minorHAnsi" w:hAnsiTheme="minorHAnsi" w:cs="Calibri"/>
          <w:lang w:val="mk-MK"/>
        </w:rPr>
        <w:t xml:space="preserve"> за обезбедување на фиксна телефонија</w:t>
      </w:r>
      <w:r w:rsidR="00D45115" w:rsidRPr="002968EC">
        <w:rPr>
          <w:rFonts w:asciiTheme="minorHAnsi" w:hAnsiTheme="minorHAnsi" w:cs="Calibri"/>
          <w:lang w:val="mk-MK"/>
        </w:rPr>
        <w:t>.</w:t>
      </w:r>
    </w:p>
    <w:p w:rsidR="007A43C2" w:rsidRPr="002968EC" w:rsidRDefault="007A43C2" w:rsidP="00B13D90">
      <w:pPr>
        <w:rPr>
          <w:rFonts w:asciiTheme="minorHAnsi" w:hAnsiTheme="minorHAnsi" w:cs="Calibri"/>
          <w:lang w:val="mk-MK"/>
        </w:rPr>
      </w:pPr>
      <w:r w:rsidRPr="002968EC">
        <w:rPr>
          <w:rFonts w:asciiTheme="minorHAnsi" w:hAnsiTheme="minorHAnsi" w:cs="Calibri"/>
          <w:lang w:val="mk-MK"/>
        </w:rPr>
        <w:t xml:space="preserve">На страната на </w:t>
      </w:r>
      <w:r w:rsidR="00B13D90">
        <w:rPr>
          <w:rFonts w:asciiTheme="minorHAnsi" w:hAnsiTheme="minorHAnsi" w:cs="Calibri"/>
          <w:lang w:val="mk-MK"/>
        </w:rPr>
        <w:t>побарувачката постои значителен процент</w:t>
      </w:r>
      <w:r w:rsidR="00D52878" w:rsidRPr="002968EC">
        <w:rPr>
          <w:rFonts w:asciiTheme="minorHAnsi" w:hAnsiTheme="minorHAnsi" w:cs="Calibri"/>
          <w:lang w:val="mk-MK"/>
        </w:rPr>
        <w:t xml:space="preserve"> на крајни</w:t>
      </w:r>
      <w:r w:rsidRPr="002968EC">
        <w:rPr>
          <w:rFonts w:asciiTheme="minorHAnsi" w:hAnsiTheme="minorHAnsi" w:cs="Calibri"/>
          <w:lang w:val="mk-MK"/>
        </w:rPr>
        <w:t xml:space="preserve"> корисници чија  побарувачка за услугата за пристап структурно се разликува од побарувачката за телефонски услуги. На пример, постојат  крајни корисници кои се подготвени да направат повици без оглед на нивната цена, но има и такви кои високо</w:t>
      </w:r>
      <w:r w:rsidR="00D52878" w:rsidRPr="002968EC">
        <w:rPr>
          <w:rFonts w:asciiTheme="minorHAnsi" w:hAnsiTheme="minorHAnsi" w:cs="Calibri"/>
          <w:lang w:val="mk-MK"/>
        </w:rPr>
        <w:t xml:space="preserve"> ја вреднуваат услугата</w:t>
      </w:r>
      <w:r w:rsidRPr="002968EC">
        <w:rPr>
          <w:rFonts w:asciiTheme="minorHAnsi" w:hAnsiTheme="minorHAnsi" w:cs="Calibri"/>
          <w:lang w:val="mk-MK"/>
        </w:rPr>
        <w:t xml:space="preserve"> пристап </w:t>
      </w:r>
      <w:r w:rsidR="00D52878" w:rsidRPr="002968EC">
        <w:rPr>
          <w:rFonts w:asciiTheme="minorHAnsi" w:hAnsiTheme="minorHAnsi" w:cs="Calibri"/>
          <w:lang w:val="mk-MK"/>
        </w:rPr>
        <w:t>поради можноста исклучиво да бидат</w:t>
      </w:r>
      <w:r w:rsidR="00B13D90">
        <w:rPr>
          <w:rFonts w:asciiTheme="minorHAnsi" w:hAnsiTheme="minorHAnsi" w:cs="Calibri"/>
          <w:lang w:val="mk-MK"/>
        </w:rPr>
        <w:t xml:space="preserve"> </w:t>
      </w:r>
      <w:r w:rsidRPr="002968EC">
        <w:rPr>
          <w:rFonts w:asciiTheme="minorHAnsi" w:hAnsiTheme="minorHAnsi" w:cs="Calibri"/>
          <w:lang w:val="mk-MK"/>
        </w:rPr>
        <w:t xml:space="preserve">контактирани. </w:t>
      </w:r>
      <w:r w:rsidR="00D52878" w:rsidRPr="002968EC">
        <w:rPr>
          <w:rFonts w:asciiTheme="minorHAnsi" w:hAnsiTheme="minorHAnsi" w:cs="Calibri"/>
          <w:lang w:val="mk-MK"/>
        </w:rPr>
        <w:t>Поради таквите</w:t>
      </w:r>
      <w:r w:rsidRPr="002968EC">
        <w:rPr>
          <w:rFonts w:asciiTheme="minorHAnsi" w:hAnsiTheme="minorHAnsi" w:cs="Calibri"/>
          <w:lang w:val="mk-MK"/>
        </w:rPr>
        <w:t xml:space="preserve"> карактеристики на услуги</w:t>
      </w:r>
      <w:r w:rsidR="00D52878" w:rsidRPr="002968EC">
        <w:rPr>
          <w:rFonts w:asciiTheme="minorHAnsi" w:hAnsiTheme="minorHAnsi" w:cs="Calibri"/>
          <w:lang w:val="mk-MK"/>
        </w:rPr>
        <w:t>те</w:t>
      </w:r>
      <w:r w:rsidRPr="002968EC">
        <w:rPr>
          <w:rFonts w:asciiTheme="minorHAnsi" w:hAnsiTheme="minorHAnsi" w:cs="Calibri"/>
          <w:lang w:val="mk-MK"/>
        </w:rPr>
        <w:t xml:space="preserve"> за пристап и на јавно достапни телефонски услуги на</w:t>
      </w:r>
      <w:r w:rsidR="00D52878" w:rsidRPr="002968EC">
        <w:rPr>
          <w:rFonts w:asciiTheme="minorHAnsi" w:hAnsiTheme="minorHAnsi" w:cs="Calibri"/>
          <w:lang w:val="mk-MK"/>
        </w:rPr>
        <w:t xml:space="preserve"> </w:t>
      </w:r>
      <w:r w:rsidRPr="002968EC">
        <w:rPr>
          <w:rFonts w:asciiTheme="minorHAnsi" w:hAnsiTheme="minorHAnsi" w:cs="Calibri"/>
          <w:lang w:val="mk-MK"/>
        </w:rPr>
        <w:t xml:space="preserve">фиксна локација </w:t>
      </w:r>
      <w:r w:rsidR="00D52878" w:rsidRPr="002968EC">
        <w:rPr>
          <w:rFonts w:asciiTheme="minorHAnsi" w:hAnsiTheme="minorHAnsi" w:cs="Calibri"/>
          <w:lang w:val="mk-MK"/>
        </w:rPr>
        <w:t>може да се дојде</w:t>
      </w:r>
      <w:r w:rsidRPr="002968EC">
        <w:rPr>
          <w:rFonts w:asciiTheme="minorHAnsi" w:hAnsiTheme="minorHAnsi" w:cs="Calibri"/>
          <w:lang w:val="mk-MK"/>
        </w:rPr>
        <w:t xml:space="preserve"> до заклучок дека тие имаат за цел исполнување на различни потреби, и затоа не претставува</w:t>
      </w:r>
      <w:r w:rsidR="00D52878" w:rsidRPr="002968EC">
        <w:rPr>
          <w:rFonts w:asciiTheme="minorHAnsi" w:hAnsiTheme="minorHAnsi" w:cs="Calibri"/>
          <w:lang w:val="mk-MK"/>
        </w:rPr>
        <w:t>ат замена една на друга</w:t>
      </w:r>
      <w:r w:rsidRPr="002968EC">
        <w:rPr>
          <w:rFonts w:asciiTheme="minorHAnsi" w:hAnsiTheme="minorHAnsi" w:cs="Calibri"/>
          <w:lang w:val="mk-MK"/>
        </w:rPr>
        <w:t>.</w:t>
      </w:r>
    </w:p>
    <w:p w:rsidR="004A5846" w:rsidRPr="002968EC" w:rsidRDefault="004A5846" w:rsidP="00781AEE">
      <w:pPr>
        <w:rPr>
          <w:rFonts w:asciiTheme="minorHAnsi" w:hAnsiTheme="minorHAnsi" w:cs="Calibri"/>
          <w:lang w:val="mk-MK"/>
        </w:rPr>
      </w:pPr>
      <w:r w:rsidRPr="002968EC">
        <w:rPr>
          <w:rFonts w:asciiTheme="minorHAnsi" w:hAnsiTheme="minorHAnsi" w:cs="Calibri"/>
          <w:lang w:val="mk-MK"/>
        </w:rPr>
        <w:t>Со оглед на тоа што услугите пристап и телефонски услуги се комплементарни, и тие генерално се продаваат и користат во пакет, постои основа за заедничка анализа на овие услуги. Сепак, би требало да се истакне дека услугата избор на оператор им овозможува на крајните корисници</w:t>
      </w:r>
      <w:r w:rsidR="00CB341A" w:rsidRPr="002968EC">
        <w:rPr>
          <w:rFonts w:asciiTheme="minorHAnsi" w:hAnsiTheme="minorHAnsi" w:cs="Calibri"/>
          <w:lang w:val="mk-MK"/>
        </w:rPr>
        <w:t xml:space="preserve"> да</w:t>
      </w:r>
      <w:r w:rsidR="00055429" w:rsidRPr="002968EC">
        <w:rPr>
          <w:rFonts w:asciiTheme="minorHAnsi" w:hAnsiTheme="minorHAnsi" w:cs="Calibri"/>
          <w:lang w:val="mk-MK"/>
        </w:rPr>
        <w:t xml:space="preserve"> изберат различен оператор преку кој ќе ја користат</w:t>
      </w:r>
      <w:r w:rsidRPr="002968EC">
        <w:rPr>
          <w:rFonts w:asciiTheme="minorHAnsi" w:hAnsiTheme="minorHAnsi" w:cs="Calibri"/>
          <w:lang w:val="mk-MK"/>
        </w:rPr>
        <w:t xml:space="preserve"> ус</w:t>
      </w:r>
      <w:r w:rsidR="00055429" w:rsidRPr="002968EC">
        <w:rPr>
          <w:rFonts w:asciiTheme="minorHAnsi" w:hAnsiTheme="minorHAnsi" w:cs="Calibri"/>
          <w:lang w:val="mk-MK"/>
        </w:rPr>
        <w:t>лугата</w:t>
      </w:r>
      <w:r w:rsidRPr="002968EC">
        <w:rPr>
          <w:rFonts w:asciiTheme="minorHAnsi" w:hAnsiTheme="minorHAnsi" w:cs="Calibri"/>
          <w:lang w:val="mk-MK"/>
        </w:rPr>
        <w:t xml:space="preserve"> за пристап</w:t>
      </w:r>
      <w:r w:rsidRPr="002968EC">
        <w:rPr>
          <w:rFonts w:asciiTheme="minorHAnsi" w:hAnsiTheme="minorHAnsi" w:cs="Calibri"/>
          <w:lang w:val="mk-MK"/>
        </w:rPr>
        <w:br/>
      </w:r>
      <w:r w:rsidR="00055429" w:rsidRPr="002968EC">
        <w:rPr>
          <w:rFonts w:asciiTheme="minorHAnsi" w:hAnsiTheme="minorHAnsi" w:cs="Calibri"/>
          <w:lang w:val="mk-MK"/>
        </w:rPr>
        <w:t>а друг оператор</w:t>
      </w:r>
      <w:r w:rsidRPr="002968EC">
        <w:rPr>
          <w:rFonts w:asciiTheme="minorHAnsi" w:hAnsiTheme="minorHAnsi" w:cs="Calibri"/>
          <w:lang w:val="mk-MK"/>
        </w:rPr>
        <w:t xml:space="preserve"> за обезбедување</w:t>
      </w:r>
      <w:r w:rsidR="00055429" w:rsidRPr="002968EC">
        <w:rPr>
          <w:rFonts w:asciiTheme="minorHAnsi" w:hAnsiTheme="minorHAnsi" w:cs="Calibri"/>
          <w:lang w:val="mk-MK"/>
        </w:rPr>
        <w:t xml:space="preserve"> на јавни</w:t>
      </w:r>
      <w:r w:rsidRPr="002968EC">
        <w:rPr>
          <w:rFonts w:asciiTheme="minorHAnsi" w:hAnsiTheme="minorHAnsi" w:cs="Calibri"/>
          <w:lang w:val="mk-MK"/>
        </w:rPr>
        <w:t xml:space="preserve"> телефонски услуги.</w:t>
      </w:r>
    </w:p>
    <w:p w:rsidR="004107B8" w:rsidRPr="002968EC" w:rsidRDefault="004107B8" w:rsidP="00781AEE">
      <w:pPr>
        <w:rPr>
          <w:rFonts w:asciiTheme="minorHAnsi" w:hAnsiTheme="minorHAnsi" w:cs="Calibri"/>
          <w:lang w:val="mk-MK"/>
        </w:rPr>
      </w:pPr>
      <w:r w:rsidRPr="002968EC">
        <w:rPr>
          <w:rFonts w:asciiTheme="minorHAnsi" w:hAnsiTheme="minorHAnsi" w:cs="Calibri"/>
          <w:lang w:val="mk-MK"/>
        </w:rPr>
        <w:t>Како што образложивме услугите пристап и говорни повици се комплементарни услуги една на друга гледано од аспект на побарув</w:t>
      </w:r>
      <w:r w:rsidR="00B13D90">
        <w:rPr>
          <w:rFonts w:asciiTheme="minorHAnsi" w:hAnsiTheme="minorHAnsi" w:cs="Calibri"/>
          <w:lang w:val="mk-MK"/>
        </w:rPr>
        <w:t>ачката. Крајниот корисник за да</w:t>
      </w:r>
      <w:r w:rsidRPr="002968EC">
        <w:rPr>
          <w:rFonts w:asciiTheme="minorHAnsi" w:hAnsiTheme="minorHAnsi" w:cs="Calibri"/>
          <w:lang w:val="mk-MK"/>
        </w:rPr>
        <w:t xml:space="preserve"> користи </w:t>
      </w:r>
      <w:r w:rsidR="00055429" w:rsidRPr="002968EC">
        <w:rPr>
          <w:rFonts w:asciiTheme="minorHAnsi" w:hAnsiTheme="minorHAnsi" w:cs="Calibri"/>
          <w:lang w:val="mk-MK"/>
        </w:rPr>
        <w:t xml:space="preserve">јавна телефонска </w:t>
      </w:r>
      <w:r w:rsidRPr="002968EC">
        <w:rPr>
          <w:rFonts w:asciiTheme="minorHAnsi" w:hAnsiTheme="minorHAnsi" w:cs="Calibri"/>
          <w:lang w:val="mk-MK"/>
        </w:rPr>
        <w:t>услуга  неопходно е да има пристап до мрежата на</w:t>
      </w:r>
      <w:r w:rsidR="00055429" w:rsidRPr="002968EC">
        <w:rPr>
          <w:rFonts w:asciiTheme="minorHAnsi" w:hAnsiTheme="minorHAnsi" w:cs="Calibri"/>
          <w:lang w:val="mk-MK"/>
        </w:rPr>
        <w:t xml:space="preserve"> некој</w:t>
      </w:r>
      <w:r w:rsidRPr="002968EC">
        <w:rPr>
          <w:rFonts w:asciiTheme="minorHAnsi" w:hAnsiTheme="minorHAnsi" w:cs="Calibri"/>
          <w:lang w:val="mk-MK"/>
        </w:rPr>
        <w:t xml:space="preserve"> оператор. Ова значи дека побарувачката на двете услуги е зависна една од друга. </w:t>
      </w:r>
    </w:p>
    <w:p w:rsidR="00A45096" w:rsidRDefault="008728AE" w:rsidP="00781AEE">
      <w:pPr>
        <w:rPr>
          <w:rFonts w:asciiTheme="minorHAnsi" w:hAnsiTheme="minorHAnsi" w:cs="Calibri"/>
          <w:lang w:val="mk-MK"/>
        </w:rPr>
      </w:pPr>
      <w:r w:rsidRPr="002968EC">
        <w:rPr>
          <w:rFonts w:asciiTheme="minorHAnsi" w:hAnsiTheme="minorHAnsi" w:cs="Calibri"/>
          <w:lang w:val="mk-MK"/>
        </w:rPr>
        <w:t xml:space="preserve"> </w:t>
      </w:r>
      <w:r w:rsidR="00CE6041" w:rsidRPr="002968EC">
        <w:rPr>
          <w:rFonts w:asciiTheme="minorHAnsi" w:hAnsiTheme="minorHAnsi" w:cs="Calibri"/>
          <w:lang w:val="mk-MK"/>
        </w:rPr>
        <w:t>Во моментот на пазарот на фиксна телефонија постојат</w:t>
      </w:r>
      <w:r w:rsidR="006B3193">
        <w:rPr>
          <w:rFonts w:asciiTheme="minorHAnsi" w:hAnsiTheme="minorHAnsi" w:cs="Calibri"/>
          <w:lang w:val="mk-MK"/>
        </w:rPr>
        <w:t xml:space="preserve"> </w:t>
      </w:r>
      <w:r w:rsidR="00DE0531" w:rsidRPr="002968EC">
        <w:rPr>
          <w:rFonts w:asciiTheme="minorHAnsi" w:hAnsiTheme="minorHAnsi" w:cs="Calibri"/>
          <w:lang w:val="mk-MK"/>
        </w:rPr>
        <w:t>8</w:t>
      </w:r>
      <w:r w:rsidR="00D35F1B" w:rsidRPr="002968EC">
        <w:rPr>
          <w:rFonts w:asciiTheme="minorHAnsi" w:hAnsiTheme="minorHAnsi" w:cs="Calibri"/>
          <w:lang w:val="mk-MK"/>
        </w:rPr>
        <w:t xml:space="preserve"> активни</w:t>
      </w:r>
      <w:r w:rsidR="00CE6041" w:rsidRPr="002968EC">
        <w:rPr>
          <w:rFonts w:asciiTheme="minorHAnsi" w:hAnsiTheme="minorHAnsi" w:cs="Calibri"/>
          <w:lang w:val="mk-MK"/>
        </w:rPr>
        <w:t xml:space="preserve"> оператори</w:t>
      </w:r>
      <w:r w:rsidR="00D35F1B" w:rsidRPr="002968EC">
        <w:rPr>
          <w:rFonts w:asciiTheme="minorHAnsi" w:hAnsiTheme="minorHAnsi" w:cs="Calibri"/>
          <w:lang w:val="mk-MK"/>
        </w:rPr>
        <w:t xml:space="preserve"> кои обезбедуваат </w:t>
      </w:r>
      <w:r w:rsidR="00CE6041" w:rsidRPr="002968EC">
        <w:rPr>
          <w:rFonts w:asciiTheme="minorHAnsi" w:hAnsiTheme="minorHAnsi" w:cs="Calibri"/>
          <w:lang w:val="mk-MK"/>
        </w:rPr>
        <w:t xml:space="preserve">фиксни телефонски услуги. Тие не прават </w:t>
      </w:r>
      <w:r w:rsidR="00982484" w:rsidRPr="002968EC">
        <w:rPr>
          <w:rFonts w:asciiTheme="minorHAnsi" w:hAnsiTheme="minorHAnsi" w:cs="Calibri"/>
          <w:lang w:val="mk-MK"/>
        </w:rPr>
        <w:t>по</w:t>
      </w:r>
      <w:r w:rsidR="00CE6041" w:rsidRPr="002968EC">
        <w:rPr>
          <w:rFonts w:asciiTheme="minorHAnsi" w:hAnsiTheme="minorHAnsi" w:cs="Calibri"/>
          <w:lang w:val="mk-MK"/>
        </w:rPr>
        <w:t xml:space="preserve">делба на </w:t>
      </w:r>
      <w:r w:rsidR="00B92610" w:rsidRPr="002968EC">
        <w:rPr>
          <w:rFonts w:asciiTheme="minorHAnsi" w:hAnsiTheme="minorHAnsi" w:cs="Calibri"/>
          <w:lang w:val="mk-MK"/>
        </w:rPr>
        <w:t xml:space="preserve">услуга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AD7068" w:rsidRPr="002968EC">
        <w:rPr>
          <w:rFonts w:asciiTheme="minorHAnsi" w:hAnsiTheme="minorHAnsi" w:cs="Calibri"/>
          <w:lang w:val="mk-MK"/>
        </w:rPr>
        <w:t xml:space="preserve"> </w:t>
      </w:r>
      <w:r w:rsidR="00CE6041" w:rsidRPr="002968EC">
        <w:rPr>
          <w:rFonts w:asciiTheme="minorHAnsi" w:hAnsiTheme="minorHAnsi" w:cs="Calibri"/>
          <w:lang w:val="mk-MK"/>
        </w:rPr>
        <w:t xml:space="preserve">и </w:t>
      </w:r>
      <w:r w:rsidR="00CE0EA7" w:rsidRPr="002968EC">
        <w:rPr>
          <w:rFonts w:asciiTheme="minorHAnsi" w:hAnsiTheme="minorHAnsi" w:cs="Calibri"/>
          <w:lang w:val="mk-MK"/>
        </w:rPr>
        <w:t>јавно достапни телефонски услуги (фиксни)</w:t>
      </w:r>
      <w:r w:rsidR="00982484" w:rsidRPr="002968EC">
        <w:rPr>
          <w:rFonts w:asciiTheme="minorHAnsi" w:hAnsiTheme="minorHAnsi" w:cs="Calibri"/>
          <w:lang w:val="mk-MK"/>
        </w:rPr>
        <w:t>,</w:t>
      </w:r>
      <w:r w:rsidR="00CE6041" w:rsidRPr="002968EC">
        <w:rPr>
          <w:rFonts w:asciiTheme="minorHAnsi" w:hAnsiTheme="minorHAnsi" w:cs="Calibri"/>
          <w:lang w:val="mk-MK"/>
        </w:rPr>
        <w:t xml:space="preserve"> односно т</w:t>
      </w:r>
      <w:r w:rsidR="00055429" w:rsidRPr="002968EC">
        <w:rPr>
          <w:rFonts w:asciiTheme="minorHAnsi" w:hAnsiTheme="minorHAnsi" w:cs="Calibri"/>
          <w:lang w:val="mk-MK"/>
        </w:rPr>
        <w:t>ие</w:t>
      </w:r>
      <w:r w:rsidR="00CE6041" w:rsidRPr="002968EC">
        <w:rPr>
          <w:rFonts w:asciiTheme="minorHAnsi" w:hAnsiTheme="minorHAnsi" w:cs="Calibri"/>
          <w:lang w:val="mk-MK"/>
        </w:rPr>
        <w:t xml:space="preserve"> услуг</w:t>
      </w:r>
      <w:r w:rsidR="00055429" w:rsidRPr="002968EC">
        <w:rPr>
          <w:rFonts w:asciiTheme="minorHAnsi" w:hAnsiTheme="minorHAnsi" w:cs="Calibri"/>
          <w:lang w:val="mk-MK"/>
        </w:rPr>
        <w:t>и</w:t>
      </w:r>
      <w:r w:rsidR="00CE6041" w:rsidRPr="002968EC">
        <w:rPr>
          <w:rFonts w:asciiTheme="minorHAnsi" w:hAnsiTheme="minorHAnsi" w:cs="Calibri"/>
          <w:lang w:val="mk-MK"/>
        </w:rPr>
        <w:t xml:space="preserve"> </w:t>
      </w:r>
      <w:r w:rsidR="00055429" w:rsidRPr="002968EC">
        <w:rPr>
          <w:rFonts w:asciiTheme="minorHAnsi" w:hAnsiTheme="minorHAnsi" w:cs="Calibri"/>
          <w:lang w:val="mk-MK"/>
        </w:rPr>
        <w:t>ги</w:t>
      </w:r>
      <w:r w:rsidR="00CE6041" w:rsidRPr="002968EC">
        <w:rPr>
          <w:rFonts w:asciiTheme="minorHAnsi" w:hAnsiTheme="minorHAnsi" w:cs="Calibri"/>
          <w:lang w:val="mk-MK"/>
        </w:rPr>
        <w:t xml:space="preserve"> продаваат како пакетирана услуга. Главната причина </w:t>
      </w:r>
      <w:r w:rsidR="004107B8" w:rsidRPr="002968EC">
        <w:rPr>
          <w:rFonts w:asciiTheme="minorHAnsi" w:hAnsiTheme="minorHAnsi" w:cs="Calibri"/>
          <w:lang w:val="mk-MK"/>
        </w:rPr>
        <w:t>претставува природата на овие две услуги односно крајниот корисник не може да користи услуга за повик од еден оператор без да има обезбедно пристап до неговата мрежа. Во случаеви кога се користи услугата избор на оператор крајниот корисник може да ја користи услугата пристап од еден оператор а услугата повик од друг оператор. Меѓутоа</w:t>
      </w:r>
      <w:r w:rsidR="00B13D90">
        <w:rPr>
          <w:rFonts w:asciiTheme="minorHAnsi" w:hAnsiTheme="minorHAnsi" w:cs="Calibri"/>
          <w:lang w:val="mk-MK"/>
        </w:rPr>
        <w:t xml:space="preserve"> со последната анализа на пазарот 2 Јавно достапни телефонски услуги на фиксна локација</w:t>
      </w:r>
      <w:r w:rsidR="004107B8" w:rsidRPr="002968EC">
        <w:rPr>
          <w:rFonts w:asciiTheme="minorHAnsi" w:hAnsiTheme="minorHAnsi" w:cs="Calibri"/>
          <w:lang w:val="mk-MK"/>
        </w:rPr>
        <w:t xml:space="preserve"> </w:t>
      </w:r>
      <w:r w:rsidR="00B13D90">
        <w:rPr>
          <w:rFonts w:asciiTheme="minorHAnsi" w:hAnsiTheme="minorHAnsi" w:cs="Calibri"/>
          <w:lang w:val="mk-MK"/>
        </w:rPr>
        <w:t>за резиденцијални и деловни корисници обврската на СМП операторот за обезбедување на овој вид на услуга престана да важи</w:t>
      </w:r>
      <w:r w:rsidR="00A45096">
        <w:rPr>
          <w:rFonts w:asciiTheme="minorHAnsi" w:hAnsiTheme="minorHAnsi" w:cs="Calibri"/>
          <w:lang w:val="mk-MK"/>
        </w:rPr>
        <w:t>.</w:t>
      </w:r>
      <w:r w:rsidR="00B13D90">
        <w:rPr>
          <w:rFonts w:asciiTheme="minorHAnsi" w:hAnsiTheme="minorHAnsi" w:cs="Calibri"/>
          <w:lang w:val="mk-MK"/>
        </w:rPr>
        <w:t xml:space="preserve"> </w:t>
      </w:r>
    </w:p>
    <w:p w:rsidR="00CE38FB" w:rsidRPr="002968EC" w:rsidRDefault="003F43E4" w:rsidP="00781AEE">
      <w:pPr>
        <w:rPr>
          <w:rFonts w:asciiTheme="minorHAnsi" w:hAnsiTheme="minorHAnsi" w:cs="Calibri"/>
          <w:lang w:val="mk-MK"/>
        </w:rPr>
      </w:pPr>
      <w:r w:rsidRPr="002968EC">
        <w:rPr>
          <w:rFonts w:asciiTheme="minorHAnsi" w:hAnsiTheme="minorHAnsi" w:cs="Calibri"/>
          <w:lang w:val="mk-MK"/>
        </w:rPr>
        <w:t xml:space="preserve">Изборот на оператор </w:t>
      </w:r>
      <w:r w:rsidR="00055429" w:rsidRPr="002968EC">
        <w:rPr>
          <w:rFonts w:asciiTheme="minorHAnsi" w:hAnsiTheme="minorHAnsi" w:cs="Calibri"/>
          <w:lang w:val="mk-MK"/>
        </w:rPr>
        <w:t xml:space="preserve">преку кој </w:t>
      </w:r>
      <w:r w:rsidRPr="002968EC">
        <w:rPr>
          <w:rFonts w:asciiTheme="minorHAnsi" w:hAnsiTheme="minorHAnsi" w:cs="Calibri"/>
          <w:lang w:val="mk-MK"/>
        </w:rPr>
        <w:t xml:space="preserve"> </w:t>
      </w:r>
      <w:r w:rsidR="00055429" w:rsidRPr="002968EC">
        <w:rPr>
          <w:rFonts w:asciiTheme="minorHAnsi" w:hAnsiTheme="minorHAnsi" w:cs="Calibri"/>
          <w:lang w:val="mk-MK"/>
        </w:rPr>
        <w:t xml:space="preserve">крајниот корисник ќе ја </w:t>
      </w:r>
      <w:r w:rsidRPr="002968EC">
        <w:rPr>
          <w:rFonts w:asciiTheme="minorHAnsi" w:hAnsiTheme="minorHAnsi" w:cs="Calibri"/>
          <w:lang w:val="mk-MK"/>
        </w:rPr>
        <w:t xml:space="preserve">обезбедува </w:t>
      </w:r>
      <w:r w:rsidR="00F307FA" w:rsidRPr="002968EC">
        <w:rPr>
          <w:rFonts w:asciiTheme="minorHAnsi" w:hAnsiTheme="minorHAnsi" w:cs="Calibri"/>
          <w:lang w:val="mk-MK"/>
        </w:rPr>
        <w:t xml:space="preserve">услуга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AD7068" w:rsidRPr="002968EC">
        <w:rPr>
          <w:rFonts w:asciiTheme="minorHAnsi" w:hAnsiTheme="minorHAnsi" w:cs="Calibri"/>
          <w:lang w:val="mk-MK"/>
        </w:rPr>
        <w:t xml:space="preserve"> </w:t>
      </w:r>
      <w:r w:rsidRPr="002968EC">
        <w:rPr>
          <w:rFonts w:asciiTheme="minorHAnsi" w:hAnsiTheme="minorHAnsi" w:cs="Calibri"/>
          <w:lang w:val="mk-MK"/>
        </w:rPr>
        <w:t>е сериозна одлука к</w:t>
      </w:r>
      <w:r w:rsidR="00100B39" w:rsidRPr="002968EC">
        <w:rPr>
          <w:rFonts w:asciiTheme="minorHAnsi" w:hAnsiTheme="minorHAnsi" w:cs="Calibri"/>
          <w:lang w:val="mk-MK"/>
        </w:rPr>
        <w:t xml:space="preserve">оја често пати се поврзува со </w:t>
      </w:r>
      <w:r w:rsidRPr="002968EC">
        <w:rPr>
          <w:rFonts w:asciiTheme="minorHAnsi" w:hAnsiTheme="minorHAnsi" w:cs="Calibri"/>
          <w:lang w:val="mk-MK"/>
        </w:rPr>
        <w:t xml:space="preserve">долгорочен договор. Ова </w:t>
      </w:r>
      <w:r w:rsidR="00100B39" w:rsidRPr="002968EC">
        <w:rPr>
          <w:rFonts w:asciiTheme="minorHAnsi" w:hAnsiTheme="minorHAnsi" w:cs="Calibri"/>
          <w:lang w:val="mk-MK"/>
        </w:rPr>
        <w:t xml:space="preserve">е така </w:t>
      </w:r>
      <w:r w:rsidRPr="002968EC">
        <w:rPr>
          <w:rFonts w:asciiTheme="minorHAnsi" w:hAnsiTheme="minorHAnsi" w:cs="Calibri"/>
          <w:lang w:val="mk-MK"/>
        </w:rPr>
        <w:t xml:space="preserve">од причина што </w:t>
      </w:r>
      <w:r w:rsidR="00EE044C" w:rsidRPr="002968EC">
        <w:rPr>
          <w:rFonts w:asciiTheme="minorHAnsi" w:hAnsiTheme="minorHAnsi" w:cs="Calibri"/>
          <w:lang w:val="mk-MK"/>
        </w:rPr>
        <w:t xml:space="preserve">услуга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AD7068" w:rsidRPr="002968EC">
        <w:rPr>
          <w:rFonts w:asciiTheme="minorHAnsi" w:hAnsiTheme="minorHAnsi" w:cs="Calibri"/>
          <w:lang w:val="mk-MK"/>
        </w:rPr>
        <w:t xml:space="preserve"> </w:t>
      </w:r>
      <w:r w:rsidRPr="002968EC">
        <w:rPr>
          <w:rFonts w:asciiTheme="minorHAnsi" w:hAnsiTheme="minorHAnsi" w:cs="Calibri"/>
          <w:lang w:val="mk-MK"/>
        </w:rPr>
        <w:t xml:space="preserve">создава услови за обезбедување на редица други </w:t>
      </w:r>
      <w:r w:rsidR="00EE044C" w:rsidRPr="002968EC">
        <w:rPr>
          <w:rFonts w:asciiTheme="minorHAnsi" w:hAnsiTheme="minorHAnsi" w:cs="Calibri"/>
          <w:lang w:val="mk-MK"/>
        </w:rPr>
        <w:t>услуги како повици, телевизија,</w:t>
      </w:r>
      <w:r w:rsidRPr="002968EC">
        <w:rPr>
          <w:rFonts w:asciiTheme="minorHAnsi" w:hAnsiTheme="minorHAnsi" w:cs="Calibri"/>
          <w:lang w:val="mk-MK"/>
        </w:rPr>
        <w:t xml:space="preserve"> интернет и други услуги</w:t>
      </w:r>
      <w:r w:rsidR="00EE044C" w:rsidRPr="002968EC">
        <w:rPr>
          <w:rFonts w:asciiTheme="minorHAnsi" w:hAnsiTheme="minorHAnsi" w:cs="Calibri"/>
          <w:lang w:val="mk-MK"/>
        </w:rPr>
        <w:t xml:space="preserve"> со додадена вредност</w:t>
      </w:r>
      <w:r w:rsidRPr="002968EC">
        <w:rPr>
          <w:rFonts w:asciiTheme="minorHAnsi" w:hAnsiTheme="minorHAnsi" w:cs="Calibri"/>
          <w:lang w:val="mk-MK"/>
        </w:rPr>
        <w:t xml:space="preserve">. </w:t>
      </w:r>
    </w:p>
    <w:p w:rsidR="00E075A4" w:rsidRPr="002968EC" w:rsidRDefault="000442AC" w:rsidP="00781AEE">
      <w:pPr>
        <w:rPr>
          <w:rFonts w:asciiTheme="minorHAnsi" w:hAnsiTheme="minorHAnsi" w:cs="Calibri"/>
          <w:lang w:val="mk-MK"/>
        </w:rPr>
      </w:pPr>
      <w:r w:rsidRPr="002968EC">
        <w:rPr>
          <w:rFonts w:asciiTheme="minorHAnsi" w:hAnsiTheme="minorHAnsi" w:cs="Calibri"/>
          <w:lang w:val="mk-MK"/>
        </w:rPr>
        <w:t>О</w:t>
      </w:r>
      <w:r w:rsidR="009D2727" w:rsidRPr="002968EC">
        <w:rPr>
          <w:rFonts w:asciiTheme="minorHAnsi" w:hAnsiTheme="minorHAnsi" w:cs="Calibri"/>
          <w:lang w:val="mk-MK"/>
        </w:rPr>
        <w:t>ператорите на пазарот обезбед</w:t>
      </w:r>
      <w:r w:rsidRPr="002968EC">
        <w:rPr>
          <w:rFonts w:asciiTheme="minorHAnsi" w:hAnsiTheme="minorHAnsi" w:cs="Calibri"/>
          <w:lang w:val="mk-MK"/>
        </w:rPr>
        <w:t>ув</w:t>
      </w:r>
      <w:r w:rsidR="009D2727" w:rsidRPr="002968EC">
        <w:rPr>
          <w:rFonts w:asciiTheme="minorHAnsi" w:hAnsiTheme="minorHAnsi" w:cs="Calibri"/>
          <w:lang w:val="mk-MK"/>
        </w:rPr>
        <w:t xml:space="preserve">ат соодветен </w:t>
      </w:r>
      <w:r w:rsidR="00E91D5A" w:rsidRPr="002968EC">
        <w:rPr>
          <w:rFonts w:asciiTheme="minorHAnsi" w:hAnsiTheme="minorHAnsi" w:cs="Calibri"/>
          <w:lang w:val="mk-MK"/>
        </w:rPr>
        <w:t>попус</w:t>
      </w:r>
      <w:r w:rsidR="009D2727" w:rsidRPr="002968EC">
        <w:rPr>
          <w:rFonts w:asciiTheme="minorHAnsi" w:hAnsiTheme="minorHAnsi" w:cs="Calibri"/>
          <w:lang w:val="mk-MK"/>
        </w:rPr>
        <w:t xml:space="preserve">т при користењето на услугите доколку истите се користат во пакет, </w:t>
      </w:r>
      <w:r w:rsidR="00FE0AB7" w:rsidRPr="002968EC">
        <w:rPr>
          <w:rFonts w:asciiTheme="minorHAnsi" w:hAnsiTheme="minorHAnsi" w:cs="Calibri"/>
          <w:lang w:val="mk-MK"/>
        </w:rPr>
        <w:t>во споредба</w:t>
      </w:r>
      <w:r w:rsidR="009D2727" w:rsidRPr="002968EC">
        <w:rPr>
          <w:rFonts w:asciiTheme="minorHAnsi" w:hAnsiTheme="minorHAnsi" w:cs="Calibri"/>
          <w:lang w:val="mk-MK"/>
        </w:rPr>
        <w:t xml:space="preserve"> со цените што би ги имале во случај на користење на </w:t>
      </w:r>
      <w:r w:rsidR="009D2727" w:rsidRPr="002968EC">
        <w:rPr>
          <w:rFonts w:asciiTheme="minorHAnsi" w:hAnsiTheme="minorHAnsi" w:cs="Calibri"/>
          <w:lang w:val="mk-MK"/>
        </w:rPr>
        <w:lastRenderedPageBreak/>
        <w:t xml:space="preserve">секоја услуга поединечно. </w:t>
      </w:r>
      <w:r w:rsidR="00076F5A" w:rsidRPr="002968EC">
        <w:rPr>
          <w:rFonts w:asciiTheme="minorHAnsi" w:hAnsiTheme="minorHAnsi" w:cs="Calibri"/>
          <w:lang w:val="mk-MK"/>
        </w:rPr>
        <w:t>Овие потенцијални фаворизирани цени на пакетираните услуги  привлек</w:t>
      </w:r>
      <w:r w:rsidR="004B3E7C" w:rsidRPr="002968EC">
        <w:rPr>
          <w:rFonts w:asciiTheme="minorHAnsi" w:hAnsiTheme="minorHAnsi" w:cs="Calibri"/>
          <w:lang w:val="mk-MK"/>
        </w:rPr>
        <w:t>уваат</w:t>
      </w:r>
      <w:r w:rsidR="00076F5A" w:rsidRPr="002968EC">
        <w:rPr>
          <w:rFonts w:asciiTheme="minorHAnsi" w:hAnsiTheme="minorHAnsi" w:cs="Calibri"/>
          <w:lang w:val="mk-MK"/>
        </w:rPr>
        <w:t xml:space="preserve"> поголемо внимание од страна на крајните корисници на малопродажниот пазар. </w:t>
      </w:r>
    </w:p>
    <w:p w:rsidR="00EB5F73" w:rsidRPr="002968EC" w:rsidRDefault="00A45096" w:rsidP="00781AEE">
      <w:pPr>
        <w:rPr>
          <w:rFonts w:asciiTheme="minorHAnsi" w:hAnsiTheme="minorHAnsi" w:cs="Calibri"/>
          <w:lang w:val="mk-MK"/>
        </w:rPr>
      </w:pPr>
      <w:r>
        <w:rPr>
          <w:rFonts w:asciiTheme="minorHAnsi" w:hAnsiTheme="minorHAnsi" w:cs="Calibri"/>
          <w:lang w:val="mk-MK"/>
        </w:rPr>
        <w:t>Во пракса к</w:t>
      </w:r>
      <w:r w:rsidR="009224F1" w:rsidRPr="002968EC">
        <w:rPr>
          <w:rFonts w:asciiTheme="minorHAnsi" w:hAnsiTheme="minorHAnsi" w:cs="Calibri"/>
          <w:lang w:val="mk-MK"/>
        </w:rPr>
        <w:t xml:space="preserve">рајните корисници </w:t>
      </w:r>
      <w:r w:rsidR="005247DD" w:rsidRPr="002968EC">
        <w:rPr>
          <w:rFonts w:asciiTheme="minorHAnsi" w:hAnsiTheme="minorHAnsi" w:cs="Calibri"/>
          <w:lang w:val="mk-MK"/>
        </w:rPr>
        <w:t xml:space="preserve">се </w:t>
      </w:r>
      <w:r w:rsidR="009224F1" w:rsidRPr="002968EC">
        <w:rPr>
          <w:rFonts w:asciiTheme="minorHAnsi" w:hAnsiTheme="minorHAnsi" w:cs="Calibri"/>
          <w:lang w:val="mk-MK"/>
        </w:rPr>
        <w:t>во можност</w:t>
      </w:r>
      <w:r w:rsidR="005247DD" w:rsidRPr="002968EC">
        <w:rPr>
          <w:rFonts w:asciiTheme="minorHAnsi" w:hAnsiTheme="minorHAnsi" w:cs="Calibri"/>
          <w:lang w:val="mk-MK"/>
        </w:rPr>
        <w:t xml:space="preserve"> </w:t>
      </w:r>
      <w:r w:rsidR="009224F1" w:rsidRPr="002968EC">
        <w:rPr>
          <w:rFonts w:asciiTheme="minorHAnsi" w:hAnsiTheme="minorHAnsi" w:cs="Calibri"/>
          <w:lang w:val="mk-MK"/>
        </w:rPr>
        <w:t xml:space="preserve">да </w:t>
      </w:r>
      <w:r w:rsidR="00055429" w:rsidRPr="002968EC">
        <w:rPr>
          <w:rFonts w:asciiTheme="minorHAnsi" w:hAnsiTheme="minorHAnsi" w:cs="Calibri"/>
          <w:lang w:val="mk-MK"/>
        </w:rPr>
        <w:t>ги</w:t>
      </w:r>
      <w:r w:rsidR="009224F1" w:rsidRPr="002968EC">
        <w:rPr>
          <w:rFonts w:asciiTheme="minorHAnsi" w:hAnsiTheme="minorHAnsi" w:cs="Calibri"/>
          <w:lang w:val="mk-MK"/>
        </w:rPr>
        <w:t xml:space="preserve"> користат услуг</w:t>
      </w:r>
      <w:r w:rsidR="00055429" w:rsidRPr="002968EC">
        <w:rPr>
          <w:rFonts w:asciiTheme="minorHAnsi" w:hAnsiTheme="minorHAnsi" w:cs="Calibri"/>
          <w:lang w:val="mk-MK"/>
        </w:rPr>
        <w:t>ите</w:t>
      </w:r>
      <w:r w:rsidR="009224F1" w:rsidRPr="002968EC">
        <w:rPr>
          <w:rFonts w:asciiTheme="minorHAnsi" w:hAnsiTheme="minorHAnsi" w:cs="Calibri"/>
          <w:lang w:val="mk-MK"/>
        </w:rPr>
        <w:t xml:space="preserve"> за </w:t>
      </w:r>
      <w:r w:rsidR="005247DD" w:rsidRPr="002968EC">
        <w:rPr>
          <w:rFonts w:asciiTheme="minorHAnsi" w:hAnsiTheme="minorHAnsi" w:cs="Calibri"/>
          <w:lang w:val="mk-MK"/>
        </w:rPr>
        <w:t xml:space="preserve">пристап до </w:t>
      </w:r>
      <w:r w:rsidR="008A38F9" w:rsidRPr="002968EC">
        <w:rPr>
          <w:rFonts w:asciiTheme="minorHAnsi" w:hAnsiTheme="minorHAnsi" w:cs="Calibri"/>
          <w:lang w:val="mk-MK"/>
        </w:rPr>
        <w:t>јавна електронска комуникациска мрежа на фиксна локација</w:t>
      </w:r>
      <w:r w:rsidR="00AD7068" w:rsidRPr="002968EC">
        <w:rPr>
          <w:rFonts w:asciiTheme="minorHAnsi" w:hAnsiTheme="minorHAnsi" w:cs="Calibri"/>
          <w:lang w:val="mk-MK"/>
        </w:rPr>
        <w:t xml:space="preserve"> </w:t>
      </w:r>
      <w:r w:rsidR="009224F1" w:rsidRPr="002968EC">
        <w:rPr>
          <w:rFonts w:asciiTheme="minorHAnsi" w:hAnsiTheme="minorHAnsi" w:cs="Calibri"/>
          <w:lang w:val="mk-MK"/>
        </w:rPr>
        <w:t xml:space="preserve">и </w:t>
      </w:r>
      <w:r w:rsidR="00055429" w:rsidRPr="002968EC">
        <w:rPr>
          <w:rFonts w:asciiTheme="minorHAnsi" w:hAnsiTheme="minorHAnsi" w:cs="Calibri"/>
          <w:lang w:val="mk-MK"/>
        </w:rPr>
        <w:t>јавна телефонска услуга</w:t>
      </w:r>
      <w:r w:rsidR="009224F1" w:rsidRPr="002968EC">
        <w:rPr>
          <w:rFonts w:asciiTheme="minorHAnsi" w:hAnsiTheme="minorHAnsi" w:cs="Calibri"/>
          <w:lang w:val="mk-MK"/>
        </w:rPr>
        <w:t xml:space="preserve"> од различен оператор</w:t>
      </w:r>
      <w:r w:rsidR="00060F20" w:rsidRPr="002968EC">
        <w:rPr>
          <w:rFonts w:asciiTheme="minorHAnsi" w:hAnsiTheme="minorHAnsi" w:cs="Calibri"/>
          <w:lang w:val="mk-MK"/>
        </w:rPr>
        <w:t>,</w:t>
      </w:r>
      <w:r w:rsidR="00C4634E" w:rsidRPr="002968EC">
        <w:rPr>
          <w:rFonts w:asciiTheme="minorHAnsi" w:hAnsiTheme="minorHAnsi" w:cs="Calibri"/>
          <w:lang w:val="mk-MK"/>
        </w:rPr>
        <w:t xml:space="preserve"> </w:t>
      </w:r>
      <w:r w:rsidR="00060F20" w:rsidRPr="002968EC">
        <w:rPr>
          <w:rFonts w:asciiTheme="minorHAnsi" w:hAnsiTheme="minorHAnsi" w:cs="Calibri"/>
          <w:lang w:val="mk-MK"/>
        </w:rPr>
        <w:t xml:space="preserve"> со тоа што би имале месечна претплата од инкамбент операторот, а </w:t>
      </w:r>
      <w:r w:rsidR="00055429" w:rsidRPr="002968EC">
        <w:rPr>
          <w:rFonts w:asciiTheme="minorHAnsi" w:hAnsiTheme="minorHAnsi" w:cs="Calibri"/>
          <w:lang w:val="mk-MK"/>
        </w:rPr>
        <w:t xml:space="preserve">телефонската </w:t>
      </w:r>
      <w:r w:rsidR="00060F20" w:rsidRPr="002968EC">
        <w:rPr>
          <w:rFonts w:asciiTheme="minorHAnsi" w:hAnsiTheme="minorHAnsi" w:cs="Calibri"/>
          <w:lang w:val="mk-MK"/>
        </w:rPr>
        <w:t xml:space="preserve">услуга </w:t>
      </w:r>
      <w:r w:rsidR="00055429" w:rsidRPr="002968EC">
        <w:rPr>
          <w:rFonts w:asciiTheme="minorHAnsi" w:hAnsiTheme="minorHAnsi" w:cs="Calibri"/>
          <w:lang w:val="mk-MK"/>
        </w:rPr>
        <w:t xml:space="preserve"> би </w:t>
      </w:r>
      <w:r w:rsidR="00060F20" w:rsidRPr="002968EC">
        <w:rPr>
          <w:rFonts w:asciiTheme="minorHAnsi" w:hAnsiTheme="minorHAnsi" w:cs="Calibri"/>
          <w:lang w:val="mk-MK"/>
        </w:rPr>
        <w:t>им ја обезбедува</w:t>
      </w:r>
      <w:r w:rsidR="00055429" w:rsidRPr="002968EC">
        <w:rPr>
          <w:rFonts w:asciiTheme="minorHAnsi" w:hAnsiTheme="minorHAnsi" w:cs="Calibri"/>
          <w:lang w:val="mk-MK"/>
        </w:rPr>
        <w:t>л</w:t>
      </w:r>
      <w:r w:rsidR="00060F20" w:rsidRPr="002968EC">
        <w:rPr>
          <w:rFonts w:asciiTheme="minorHAnsi" w:hAnsiTheme="minorHAnsi" w:cs="Calibri"/>
          <w:lang w:val="mk-MK"/>
        </w:rPr>
        <w:t xml:space="preserve"> алтернативниот оператор</w:t>
      </w:r>
      <w:r w:rsidR="00C4634E" w:rsidRPr="002968EC">
        <w:rPr>
          <w:rFonts w:asciiTheme="minorHAnsi" w:hAnsiTheme="minorHAnsi" w:cs="Calibri"/>
          <w:lang w:val="mk-MK"/>
        </w:rPr>
        <w:t xml:space="preserve"> (избор на оператор)</w:t>
      </w:r>
      <w:r>
        <w:rPr>
          <w:rFonts w:asciiTheme="minorHAnsi" w:hAnsiTheme="minorHAnsi" w:cs="Calibri"/>
          <w:lang w:val="mk-MK"/>
        </w:rPr>
        <w:t>, н</w:t>
      </w:r>
      <w:r w:rsidR="009224F1" w:rsidRPr="002968EC">
        <w:rPr>
          <w:rFonts w:asciiTheme="minorHAnsi" w:hAnsiTheme="minorHAnsi" w:cs="Calibri"/>
          <w:lang w:val="mk-MK"/>
        </w:rPr>
        <w:t>о во тој случај се соочуваат со ситуација да добиваат две сметки од два различни оператори</w:t>
      </w:r>
      <w:r w:rsidR="000360B1" w:rsidRPr="002968EC">
        <w:rPr>
          <w:rFonts w:asciiTheme="minorHAnsi" w:hAnsiTheme="minorHAnsi" w:cs="Calibri"/>
          <w:lang w:val="mk-MK"/>
        </w:rPr>
        <w:t>.</w:t>
      </w:r>
      <w:r>
        <w:rPr>
          <w:rFonts w:asciiTheme="minorHAnsi" w:hAnsiTheme="minorHAnsi" w:cs="Calibri"/>
          <w:lang w:val="mk-MK"/>
        </w:rPr>
        <w:t xml:space="preserve"> Сепак како што напоменавме погоре со</w:t>
      </w:r>
      <w:r w:rsidRPr="00A45096">
        <w:rPr>
          <w:rFonts w:asciiTheme="minorHAnsi" w:hAnsiTheme="minorHAnsi" w:cs="Calibri"/>
          <w:lang w:val="mk-MK"/>
        </w:rPr>
        <w:t xml:space="preserve"> </w:t>
      </w:r>
      <w:r>
        <w:rPr>
          <w:rFonts w:asciiTheme="minorHAnsi" w:hAnsiTheme="minorHAnsi" w:cs="Calibri"/>
          <w:lang w:val="mk-MK"/>
        </w:rPr>
        <w:t xml:space="preserve">последната анализа на пазарот 2 обврската на инкамбент операторот за обезбедување на овој вид на услуга престана да важи.  </w:t>
      </w:r>
      <w:r w:rsidR="009224F1" w:rsidRPr="002968EC">
        <w:rPr>
          <w:rFonts w:asciiTheme="minorHAnsi" w:hAnsiTheme="minorHAnsi" w:cs="Calibri"/>
          <w:lang w:val="mk-MK"/>
        </w:rPr>
        <w:t xml:space="preserve">Операторот кој обезбедува услуга </w:t>
      </w:r>
      <w:r w:rsidR="008734C0" w:rsidRPr="002968EC">
        <w:rPr>
          <w:rFonts w:asciiTheme="minorHAnsi" w:hAnsiTheme="minorHAnsi" w:cs="Calibri"/>
          <w:lang w:val="mk-MK"/>
        </w:rPr>
        <w:t>пристап до јавна телефонска мрежа на фиксна локација</w:t>
      </w:r>
      <w:r w:rsidR="009224F1" w:rsidRPr="002968EC">
        <w:rPr>
          <w:rFonts w:asciiTheme="minorHAnsi" w:hAnsiTheme="minorHAnsi" w:cs="Calibri"/>
          <w:lang w:val="mk-MK"/>
        </w:rPr>
        <w:t>, може да ја зголеми цената на оваа услуга, но истиот ризикува да го изгуби крајниот корисник на тој начин што би се префрлил д</w:t>
      </w:r>
      <w:r w:rsidR="008734C0" w:rsidRPr="002968EC">
        <w:rPr>
          <w:rFonts w:asciiTheme="minorHAnsi" w:hAnsiTheme="minorHAnsi" w:cs="Calibri"/>
          <w:lang w:val="mk-MK"/>
        </w:rPr>
        <w:t>а ја користи услугата</w:t>
      </w:r>
      <w:r w:rsidR="00C4634E" w:rsidRPr="002968EC">
        <w:rPr>
          <w:rFonts w:asciiTheme="minorHAnsi" w:hAnsiTheme="minorHAnsi" w:cs="Calibri"/>
          <w:lang w:val="mk-MK"/>
        </w:rPr>
        <w:t xml:space="preserve"> за пристап</w:t>
      </w:r>
      <w:r w:rsidR="008734C0" w:rsidRPr="002968EC">
        <w:rPr>
          <w:rFonts w:asciiTheme="minorHAnsi" w:hAnsiTheme="minorHAnsi" w:cs="Calibri"/>
          <w:lang w:val="mk-MK"/>
        </w:rPr>
        <w:t xml:space="preserve"> од друг о</w:t>
      </w:r>
      <w:r w:rsidR="009224F1" w:rsidRPr="002968EC">
        <w:rPr>
          <w:rFonts w:asciiTheme="minorHAnsi" w:hAnsiTheme="minorHAnsi" w:cs="Calibri"/>
          <w:lang w:val="mk-MK"/>
        </w:rPr>
        <w:t>п</w:t>
      </w:r>
      <w:r w:rsidR="008734C0" w:rsidRPr="002968EC">
        <w:rPr>
          <w:rFonts w:asciiTheme="minorHAnsi" w:hAnsiTheme="minorHAnsi" w:cs="Calibri"/>
          <w:lang w:val="mk-MK"/>
        </w:rPr>
        <w:t>е</w:t>
      </w:r>
      <w:r w:rsidR="009224F1" w:rsidRPr="002968EC">
        <w:rPr>
          <w:rFonts w:asciiTheme="minorHAnsi" w:hAnsiTheme="minorHAnsi" w:cs="Calibri"/>
          <w:lang w:val="mk-MK"/>
        </w:rPr>
        <w:t xml:space="preserve">ратор. </w:t>
      </w:r>
    </w:p>
    <w:p w:rsidR="00177823" w:rsidRPr="002968EC" w:rsidRDefault="000360B1" w:rsidP="00781AEE">
      <w:pPr>
        <w:rPr>
          <w:rFonts w:asciiTheme="minorHAnsi" w:hAnsiTheme="minorHAnsi" w:cs="Calibri"/>
          <w:lang w:val="mk-MK"/>
        </w:rPr>
      </w:pPr>
      <w:r w:rsidRPr="002968EC">
        <w:rPr>
          <w:rFonts w:asciiTheme="minorHAnsi" w:hAnsiTheme="minorHAnsi" w:cs="Calibri"/>
          <w:lang w:val="mk-MK"/>
        </w:rPr>
        <w:t>АЕК смета</w:t>
      </w:r>
      <w:r w:rsidR="009224F1" w:rsidRPr="002968EC">
        <w:rPr>
          <w:rFonts w:asciiTheme="minorHAnsi" w:hAnsiTheme="minorHAnsi" w:cs="Calibri"/>
          <w:lang w:val="mk-MK"/>
        </w:rPr>
        <w:t xml:space="preserve"> дека во пракса во </w:t>
      </w:r>
      <w:r w:rsidR="00CA3180" w:rsidRPr="002968EC">
        <w:rPr>
          <w:rFonts w:asciiTheme="minorHAnsi" w:hAnsiTheme="minorHAnsi" w:cs="Calibri"/>
          <w:lang w:val="mk-MK"/>
        </w:rPr>
        <w:t>Р.</w:t>
      </w:r>
      <w:r w:rsidR="009224F1" w:rsidRPr="002968EC">
        <w:rPr>
          <w:rFonts w:asciiTheme="minorHAnsi" w:hAnsiTheme="minorHAnsi" w:cs="Calibri"/>
          <w:lang w:val="mk-MK"/>
        </w:rPr>
        <w:t xml:space="preserve">Македонија, корисниците преферираат да ја користат услугата </w:t>
      </w:r>
      <w:r w:rsidR="00CA3180" w:rsidRPr="002968EC">
        <w:rPr>
          <w:rFonts w:asciiTheme="minorHAnsi" w:hAnsiTheme="minorHAnsi" w:cs="Calibri"/>
          <w:lang w:val="mk-MK"/>
        </w:rPr>
        <w:t xml:space="preserve">пристап до </w:t>
      </w:r>
      <w:r w:rsidR="008A38F9" w:rsidRPr="002968EC">
        <w:rPr>
          <w:rFonts w:asciiTheme="minorHAnsi" w:hAnsiTheme="minorHAnsi" w:cs="Calibri"/>
          <w:lang w:val="mk-MK"/>
        </w:rPr>
        <w:t>јавна електронска комуникациска мрежа на фиксна локација</w:t>
      </w:r>
      <w:r w:rsidR="00AD7068" w:rsidRPr="002968EC">
        <w:rPr>
          <w:rFonts w:asciiTheme="minorHAnsi" w:hAnsiTheme="minorHAnsi" w:cs="Calibri"/>
          <w:lang w:val="mk-MK"/>
        </w:rPr>
        <w:t xml:space="preserve"> </w:t>
      </w:r>
      <w:r w:rsidR="009224F1" w:rsidRPr="002968EC">
        <w:rPr>
          <w:rFonts w:asciiTheme="minorHAnsi" w:hAnsiTheme="minorHAnsi" w:cs="Calibri"/>
          <w:lang w:val="mk-MK"/>
        </w:rPr>
        <w:t xml:space="preserve">и </w:t>
      </w:r>
      <w:r w:rsidRPr="002968EC">
        <w:rPr>
          <w:rFonts w:asciiTheme="minorHAnsi" w:hAnsiTheme="minorHAnsi" w:cs="Calibri"/>
          <w:lang w:val="mk-MK"/>
        </w:rPr>
        <w:t>јавна телефонска услуга</w:t>
      </w:r>
      <w:r w:rsidR="009224F1" w:rsidRPr="002968EC">
        <w:rPr>
          <w:rFonts w:asciiTheme="minorHAnsi" w:hAnsiTheme="minorHAnsi" w:cs="Calibri"/>
          <w:lang w:val="mk-MK"/>
        </w:rPr>
        <w:t xml:space="preserve"> од еден ист оператор, имајќи ги предвид поволностите од добивање на единствена сметка за услугите. На тој начин корисникот ги намалува трансакциските трошоци. </w:t>
      </w:r>
    </w:p>
    <w:p w:rsidR="00370FF3" w:rsidRPr="002968EC" w:rsidRDefault="0024280A" w:rsidP="00781AEE">
      <w:pPr>
        <w:rPr>
          <w:rFonts w:asciiTheme="minorHAnsi" w:hAnsiTheme="minorHAnsi" w:cs="Calibri"/>
          <w:lang w:val="mk-MK"/>
        </w:rPr>
      </w:pPr>
      <w:r w:rsidRPr="002968EC">
        <w:rPr>
          <w:rFonts w:asciiTheme="minorHAnsi" w:hAnsiTheme="minorHAnsi" w:cs="Calibri"/>
          <w:lang w:val="mk-MK"/>
        </w:rPr>
        <w:t>Според горе</w:t>
      </w:r>
      <w:r w:rsidR="00FE0AB7" w:rsidRPr="002968EC">
        <w:rPr>
          <w:rFonts w:asciiTheme="minorHAnsi" w:hAnsiTheme="minorHAnsi" w:cs="Calibri"/>
          <w:lang w:val="mk-MK"/>
        </w:rPr>
        <w:t>наведе</w:t>
      </w:r>
      <w:r w:rsidR="00A22614" w:rsidRPr="002968EC">
        <w:rPr>
          <w:rFonts w:asciiTheme="minorHAnsi" w:hAnsiTheme="minorHAnsi" w:cs="Calibri"/>
          <w:lang w:val="mk-MK"/>
        </w:rPr>
        <w:t xml:space="preserve">ното, </w:t>
      </w:r>
      <w:r w:rsidR="00FE0AB7" w:rsidRPr="002968EC">
        <w:rPr>
          <w:rFonts w:asciiTheme="minorHAnsi" w:hAnsiTheme="minorHAnsi" w:cs="Calibri"/>
          <w:lang w:val="mk-MK"/>
        </w:rPr>
        <w:t>може да се</w:t>
      </w:r>
      <w:r w:rsidR="00A22614" w:rsidRPr="002968EC">
        <w:rPr>
          <w:rFonts w:asciiTheme="minorHAnsi" w:hAnsiTheme="minorHAnsi" w:cs="Calibri"/>
          <w:lang w:val="mk-MK"/>
        </w:rPr>
        <w:t xml:space="preserve"> заклуч</w:t>
      </w:r>
      <w:r w:rsidR="00FE0AB7" w:rsidRPr="002968EC">
        <w:rPr>
          <w:rFonts w:asciiTheme="minorHAnsi" w:hAnsiTheme="minorHAnsi" w:cs="Calibri"/>
          <w:lang w:val="mk-MK"/>
        </w:rPr>
        <w:t>и</w:t>
      </w:r>
      <w:r w:rsidR="00A22614" w:rsidRPr="002968EC">
        <w:rPr>
          <w:rFonts w:asciiTheme="minorHAnsi" w:hAnsiTheme="minorHAnsi" w:cs="Calibri"/>
          <w:lang w:val="mk-MK"/>
        </w:rPr>
        <w:t xml:space="preserve"> дека </w:t>
      </w:r>
      <w:r w:rsidR="001275DB" w:rsidRPr="002968EC">
        <w:rPr>
          <w:rFonts w:asciiTheme="minorHAnsi" w:hAnsiTheme="minorHAnsi" w:cs="Calibri"/>
          <w:lang w:val="mk-MK"/>
        </w:rPr>
        <w:t xml:space="preserve">услугите пристап </w:t>
      </w:r>
      <w:r w:rsidRPr="002968EC">
        <w:rPr>
          <w:rFonts w:asciiTheme="minorHAnsi" w:hAnsiTheme="minorHAnsi" w:cs="Calibri"/>
          <w:lang w:val="mk-MK"/>
        </w:rPr>
        <w:t xml:space="preserve">до </w:t>
      </w:r>
      <w:r w:rsidR="008A38F9" w:rsidRPr="002968EC">
        <w:rPr>
          <w:rFonts w:asciiTheme="minorHAnsi" w:hAnsiTheme="minorHAnsi" w:cs="Calibri"/>
          <w:lang w:val="mk-MK"/>
        </w:rPr>
        <w:t>јавна електронска комуникациска мрежа на фиксна локација</w:t>
      </w:r>
      <w:r w:rsidR="00AD7068" w:rsidRPr="002968EC">
        <w:rPr>
          <w:rFonts w:asciiTheme="minorHAnsi" w:hAnsiTheme="minorHAnsi" w:cs="Calibri"/>
          <w:lang w:val="mk-MK"/>
        </w:rPr>
        <w:t xml:space="preserve"> </w:t>
      </w:r>
      <w:r w:rsidR="001275DB" w:rsidRPr="002968EC">
        <w:rPr>
          <w:rFonts w:asciiTheme="minorHAnsi" w:hAnsiTheme="minorHAnsi" w:cs="Calibri"/>
          <w:lang w:val="mk-MK"/>
        </w:rPr>
        <w:t xml:space="preserve">и </w:t>
      </w:r>
      <w:r w:rsidR="004B3E7C" w:rsidRPr="002968EC">
        <w:rPr>
          <w:rFonts w:asciiTheme="minorHAnsi" w:hAnsiTheme="minorHAnsi" w:cs="Calibri"/>
          <w:lang w:val="mk-MK"/>
        </w:rPr>
        <w:t>јавно достапна телефонска услуга на фиксна локација</w:t>
      </w:r>
      <w:r w:rsidR="001275DB" w:rsidRPr="002968EC">
        <w:rPr>
          <w:rFonts w:asciiTheme="minorHAnsi" w:hAnsiTheme="minorHAnsi" w:cs="Calibri"/>
          <w:lang w:val="mk-MK"/>
        </w:rPr>
        <w:t xml:space="preserve"> се </w:t>
      </w:r>
      <w:r w:rsidR="00370FF3" w:rsidRPr="002968EC">
        <w:rPr>
          <w:rFonts w:asciiTheme="minorHAnsi" w:hAnsiTheme="minorHAnsi" w:cs="Calibri"/>
          <w:lang w:val="mk-MK"/>
        </w:rPr>
        <w:t>обезбеду</w:t>
      </w:r>
      <w:r w:rsidR="001275DB" w:rsidRPr="002968EC">
        <w:rPr>
          <w:rFonts w:asciiTheme="minorHAnsi" w:hAnsiTheme="minorHAnsi" w:cs="Calibri"/>
          <w:lang w:val="mk-MK"/>
        </w:rPr>
        <w:t xml:space="preserve">ваат од еден </w:t>
      </w:r>
      <w:r w:rsidR="00370FF3" w:rsidRPr="002968EC">
        <w:rPr>
          <w:rFonts w:asciiTheme="minorHAnsi" w:hAnsiTheme="minorHAnsi" w:cs="Calibri"/>
          <w:lang w:val="mk-MK"/>
        </w:rPr>
        <w:t>оператор</w:t>
      </w:r>
      <w:r w:rsidR="001275DB" w:rsidRPr="002968EC">
        <w:rPr>
          <w:rFonts w:asciiTheme="minorHAnsi" w:hAnsiTheme="minorHAnsi" w:cs="Calibri"/>
          <w:lang w:val="mk-MK"/>
        </w:rPr>
        <w:t xml:space="preserve">. Ова навестува </w:t>
      </w:r>
      <w:r w:rsidR="00F532C1" w:rsidRPr="002968EC">
        <w:rPr>
          <w:rFonts w:asciiTheme="minorHAnsi" w:hAnsiTheme="minorHAnsi" w:cs="Calibri"/>
          <w:lang w:val="mk-MK"/>
        </w:rPr>
        <w:t>дека супституција на страна на побарувачката помеѓу овие две услуги не постои</w:t>
      </w:r>
      <w:r w:rsidR="004B3E7C" w:rsidRPr="002968EC">
        <w:rPr>
          <w:rFonts w:asciiTheme="minorHAnsi" w:hAnsiTheme="minorHAnsi" w:cs="Calibri"/>
          <w:lang w:val="mk-MK"/>
        </w:rPr>
        <w:t xml:space="preserve"> односно истите се комплементарни услуги и како такви се нудат на пазарот</w:t>
      </w:r>
      <w:r w:rsidR="001275DB" w:rsidRPr="002968EC">
        <w:rPr>
          <w:rFonts w:asciiTheme="minorHAnsi" w:hAnsiTheme="minorHAnsi" w:cs="Calibri"/>
          <w:lang w:val="mk-MK"/>
        </w:rPr>
        <w:t xml:space="preserve"> </w:t>
      </w:r>
    </w:p>
    <w:p w:rsidR="00181E76" w:rsidRPr="002968EC" w:rsidRDefault="00F532C1" w:rsidP="000442AC">
      <w:pPr>
        <w:rPr>
          <w:rFonts w:asciiTheme="minorHAnsi" w:hAnsiTheme="minorHAnsi" w:cs="Calibri"/>
          <w:lang w:val="mk-MK"/>
        </w:rPr>
      </w:pPr>
      <w:r w:rsidRPr="002968EC">
        <w:rPr>
          <w:rFonts w:asciiTheme="minorHAnsi" w:hAnsiTheme="minorHAnsi" w:cs="Calibri"/>
          <w:lang w:val="mk-MK"/>
        </w:rPr>
        <w:t xml:space="preserve">На страна на понудата може да се констатира дека еден оператор кој поседува </w:t>
      </w:r>
      <w:r w:rsidR="008A38F9" w:rsidRPr="002968EC">
        <w:rPr>
          <w:rFonts w:asciiTheme="minorHAnsi" w:hAnsiTheme="minorHAnsi" w:cs="Calibri"/>
          <w:lang w:val="mk-MK"/>
        </w:rPr>
        <w:t>јавна електронска комуникациска мрежа на фиксна локација</w:t>
      </w:r>
      <w:r w:rsidRPr="002968EC">
        <w:rPr>
          <w:rFonts w:asciiTheme="minorHAnsi" w:hAnsiTheme="minorHAnsi" w:cs="Calibri"/>
          <w:lang w:val="mk-MK"/>
        </w:rPr>
        <w:t xml:space="preserve"> може многу лесно да одлучи да обезбедува јавно достапни </w:t>
      </w:r>
      <w:r w:rsidR="006114C4" w:rsidRPr="002968EC">
        <w:rPr>
          <w:rFonts w:asciiTheme="minorHAnsi" w:hAnsiTheme="minorHAnsi" w:cs="Calibri"/>
          <w:lang w:val="mk-MK"/>
        </w:rPr>
        <w:t>телефонски услуги (фиксни). Доколку на пазарот би настанала ситуација на мало</w:t>
      </w:r>
      <w:r w:rsidR="00A45096">
        <w:rPr>
          <w:rFonts w:asciiTheme="minorHAnsi" w:hAnsiTheme="minorHAnsi" w:cs="Calibri"/>
          <w:lang w:val="mk-MK"/>
        </w:rPr>
        <w:t xml:space="preserve"> но значително</w:t>
      </w:r>
      <w:r w:rsidR="006114C4" w:rsidRPr="002968EC">
        <w:rPr>
          <w:rFonts w:asciiTheme="minorHAnsi" w:hAnsiTheme="minorHAnsi" w:cs="Calibri"/>
          <w:lang w:val="mk-MK"/>
        </w:rPr>
        <w:t xml:space="preserve"> зголемување на цената на фиксните повици, сосема очекувано е операторите кои поседуваат мрежа да најдат свој интерес и да започнат да ја обезбедуваат</w:t>
      </w:r>
      <w:r w:rsidR="00DE0531" w:rsidRPr="002968EC">
        <w:rPr>
          <w:rFonts w:asciiTheme="minorHAnsi" w:hAnsiTheme="minorHAnsi" w:cs="Calibri"/>
          <w:lang w:val="mk-MK"/>
        </w:rPr>
        <w:t xml:space="preserve"> услугата</w:t>
      </w:r>
      <w:r w:rsidR="006114C4" w:rsidRPr="002968EC">
        <w:rPr>
          <w:rFonts w:asciiTheme="minorHAnsi" w:hAnsiTheme="minorHAnsi" w:cs="Calibri"/>
          <w:lang w:val="mk-MK"/>
        </w:rPr>
        <w:t xml:space="preserve"> фиксни говорни повици. Меѓутоа од аспект на постоење на супституција помеѓу услугата пристап и повик не може да се зборува. Операторот што ја обезбедува услугата пристап до </w:t>
      </w:r>
      <w:r w:rsidR="008A38F9" w:rsidRPr="002968EC">
        <w:rPr>
          <w:rFonts w:asciiTheme="minorHAnsi" w:hAnsiTheme="minorHAnsi" w:cs="Calibri"/>
          <w:lang w:val="mk-MK"/>
        </w:rPr>
        <w:t>јавна електронска комуникациска мрежа на фиксна локација</w:t>
      </w:r>
      <w:r w:rsidR="00B0698A" w:rsidRPr="002968EC">
        <w:rPr>
          <w:rFonts w:asciiTheme="minorHAnsi" w:hAnsiTheme="minorHAnsi" w:cs="Calibri"/>
          <w:lang w:val="mk-MK"/>
        </w:rPr>
        <w:t xml:space="preserve"> </w:t>
      </w:r>
      <w:r w:rsidR="006114C4" w:rsidRPr="002968EC">
        <w:rPr>
          <w:rFonts w:asciiTheme="minorHAnsi" w:hAnsiTheme="minorHAnsi" w:cs="Calibri"/>
          <w:lang w:val="mk-MK"/>
        </w:rPr>
        <w:t>би ја обезбедувал услугата повик како дополнителна услуга</w:t>
      </w:r>
      <w:r w:rsidR="00181E76" w:rsidRPr="002968EC">
        <w:rPr>
          <w:rFonts w:asciiTheme="minorHAnsi" w:hAnsiTheme="minorHAnsi" w:cs="Calibri"/>
          <w:lang w:val="mk-MK"/>
        </w:rPr>
        <w:t>. Во таа смисла</w:t>
      </w:r>
      <w:r w:rsidR="000360B1" w:rsidRPr="002968EC">
        <w:rPr>
          <w:rFonts w:asciiTheme="minorHAnsi" w:hAnsiTheme="minorHAnsi" w:cs="Calibri"/>
          <w:lang w:val="mk-MK"/>
        </w:rPr>
        <w:t xml:space="preserve"> јавната телефонска</w:t>
      </w:r>
      <w:r w:rsidR="00181E76" w:rsidRPr="002968EC">
        <w:rPr>
          <w:rFonts w:asciiTheme="minorHAnsi" w:hAnsiTheme="minorHAnsi" w:cs="Calibri"/>
          <w:lang w:val="mk-MK"/>
        </w:rPr>
        <w:t xml:space="preserve"> услуга  претставува комплементарна</w:t>
      </w:r>
      <w:r w:rsidR="000360B1" w:rsidRPr="002968EC">
        <w:rPr>
          <w:rFonts w:asciiTheme="minorHAnsi" w:hAnsiTheme="minorHAnsi" w:cs="Calibri"/>
          <w:lang w:val="mk-MK"/>
        </w:rPr>
        <w:t xml:space="preserve"> услуга</w:t>
      </w:r>
      <w:r w:rsidR="00181E76" w:rsidRPr="002968EC">
        <w:rPr>
          <w:rFonts w:asciiTheme="minorHAnsi" w:hAnsiTheme="minorHAnsi" w:cs="Calibri"/>
          <w:lang w:val="mk-MK"/>
        </w:rPr>
        <w:t xml:space="preserve"> на услугата пристап. </w:t>
      </w:r>
      <w:r w:rsidR="00EE670E" w:rsidRPr="002968EC">
        <w:rPr>
          <w:rFonts w:asciiTheme="minorHAnsi" w:hAnsiTheme="minorHAnsi" w:cs="Calibri"/>
          <w:lang w:val="mk-MK"/>
        </w:rPr>
        <w:t xml:space="preserve">Ако еден хипотетички монополист на пазарот за пристап до </w:t>
      </w:r>
      <w:r w:rsidR="008A38F9" w:rsidRPr="002968EC">
        <w:rPr>
          <w:rFonts w:asciiTheme="minorHAnsi" w:hAnsiTheme="minorHAnsi"/>
          <w:lang w:val="mk-MK"/>
        </w:rPr>
        <w:t>јавна електронска комуникациска мрежа на фиксна локација</w:t>
      </w:r>
      <w:r w:rsidR="00DA456B" w:rsidRPr="002968EC">
        <w:rPr>
          <w:rFonts w:asciiTheme="minorHAnsi" w:hAnsiTheme="minorHAnsi" w:cs="Calibri"/>
          <w:lang w:val="mk-MK"/>
        </w:rPr>
        <w:t xml:space="preserve"> </w:t>
      </w:r>
      <w:r w:rsidR="00EE670E" w:rsidRPr="002968EC">
        <w:rPr>
          <w:rFonts w:asciiTheme="minorHAnsi" w:hAnsiTheme="minorHAnsi" w:cs="Calibri"/>
          <w:lang w:val="mk-MK"/>
        </w:rPr>
        <w:t xml:space="preserve">посегне кон мало, но значително долгорочно зголемување на цената на услугата за пристап операторите кои обезбедуваат единствено услуги на јавно достапни телефонски услуги (фиксни) нема да бидат во можност да го преориентираат своето производство, со цел да обезбедат услуга на пристап. Имајќи ја </w:t>
      </w:r>
      <w:r w:rsidR="00EB612E" w:rsidRPr="002968EC">
        <w:rPr>
          <w:rFonts w:asciiTheme="minorHAnsi" w:hAnsiTheme="minorHAnsi" w:cs="Calibri"/>
          <w:lang w:val="mk-MK"/>
        </w:rPr>
        <w:t xml:space="preserve">предвид </w:t>
      </w:r>
      <w:r w:rsidR="00EE670E" w:rsidRPr="002968EC">
        <w:rPr>
          <w:rFonts w:asciiTheme="minorHAnsi" w:hAnsiTheme="minorHAnsi" w:cs="Calibri"/>
          <w:lang w:val="mk-MK"/>
        </w:rPr>
        <w:t>економијата на обем и трошоците кои во нормални услови се рентабилни на долг рок, инаку напуштањето на пазарот пред тој временски период ќе претставуваат загуба (sunk costs), АЕК смета дека не постои реална можност за супституција на страната на понудата.</w:t>
      </w:r>
      <w:r w:rsidR="00EB612E" w:rsidRPr="002968EC">
        <w:rPr>
          <w:rFonts w:asciiTheme="minorHAnsi" w:hAnsiTheme="minorHAnsi" w:cs="Calibri"/>
          <w:lang w:val="mk-MK"/>
        </w:rPr>
        <w:t xml:space="preserve"> </w:t>
      </w:r>
      <w:r w:rsidR="00181E76" w:rsidRPr="002968EC">
        <w:rPr>
          <w:rFonts w:asciiTheme="minorHAnsi" w:hAnsiTheme="minorHAnsi" w:cs="Calibri"/>
          <w:lang w:val="mk-MK"/>
        </w:rPr>
        <w:t xml:space="preserve">Во таа смисла АЕК констатира дека </w:t>
      </w:r>
      <w:r w:rsidR="003107F6" w:rsidRPr="002968EC">
        <w:rPr>
          <w:rFonts w:asciiTheme="minorHAnsi" w:hAnsiTheme="minorHAnsi" w:cs="Calibri"/>
          <w:lang w:val="mk-MK"/>
        </w:rPr>
        <w:t xml:space="preserve">на страна на понудата </w:t>
      </w:r>
      <w:r w:rsidR="00181E76" w:rsidRPr="002968EC">
        <w:rPr>
          <w:rFonts w:asciiTheme="minorHAnsi" w:hAnsiTheme="minorHAnsi" w:cs="Calibri"/>
          <w:lang w:val="mk-MK"/>
        </w:rPr>
        <w:t xml:space="preserve">не постои супституција помеѓу услугите пристап до </w:t>
      </w:r>
      <w:r w:rsidR="008A38F9" w:rsidRPr="002968EC">
        <w:rPr>
          <w:rFonts w:asciiTheme="minorHAnsi" w:hAnsiTheme="minorHAnsi" w:cs="Calibri"/>
          <w:lang w:val="mk-MK"/>
        </w:rPr>
        <w:t>јавна електронска комуникациска мрежа на фиксна локација</w:t>
      </w:r>
      <w:r w:rsidR="00181E76" w:rsidRPr="002968EC">
        <w:rPr>
          <w:rFonts w:asciiTheme="minorHAnsi" w:hAnsiTheme="minorHAnsi" w:cs="Calibri"/>
          <w:lang w:val="mk-MK"/>
        </w:rPr>
        <w:t xml:space="preserve"> и јавно достапна телефонска услуга</w:t>
      </w:r>
      <w:r w:rsidR="00A45096">
        <w:rPr>
          <w:rFonts w:asciiTheme="minorHAnsi" w:hAnsiTheme="minorHAnsi" w:cs="Calibri"/>
          <w:lang w:val="mk-MK"/>
        </w:rPr>
        <w:t xml:space="preserve"> на фиксна локација</w:t>
      </w:r>
      <w:r w:rsidR="00181E76" w:rsidRPr="002968EC">
        <w:rPr>
          <w:rFonts w:asciiTheme="minorHAnsi" w:hAnsiTheme="minorHAnsi" w:cs="Calibri"/>
          <w:lang w:val="mk-MK"/>
        </w:rPr>
        <w:t>.</w:t>
      </w:r>
    </w:p>
    <w:p w:rsidR="00AB7F90" w:rsidRPr="002968EC" w:rsidRDefault="00AB7F90" w:rsidP="00781AEE">
      <w:pPr>
        <w:rPr>
          <w:rFonts w:asciiTheme="minorHAnsi" w:hAnsiTheme="minorHAnsi" w:cs="Calibri"/>
          <w:lang w:val="mk-MK"/>
        </w:rPr>
      </w:pPr>
    </w:p>
    <w:p w:rsidR="006200DA" w:rsidRPr="002968EC" w:rsidRDefault="007D2ABE" w:rsidP="00781AEE">
      <w:pPr>
        <w:rPr>
          <w:rFonts w:asciiTheme="minorHAnsi" w:hAnsiTheme="minorHAnsi" w:cs="Calibri"/>
          <w:lang w:val="mk-MK"/>
        </w:rPr>
      </w:pPr>
      <w:r w:rsidRPr="002968EC">
        <w:rPr>
          <w:rFonts w:asciiTheme="minorHAnsi" w:hAnsiTheme="minorHAnsi" w:cs="Calibri"/>
          <w:lang w:val="mk-MK"/>
        </w:rPr>
        <w:t>Состојбата на пазарот во Р Македонија во периодот на</w:t>
      </w:r>
      <w:r w:rsidR="005B27B6" w:rsidRPr="002968EC">
        <w:rPr>
          <w:rFonts w:asciiTheme="minorHAnsi" w:hAnsiTheme="minorHAnsi" w:cs="Calibri"/>
          <w:lang w:val="mk-MK"/>
        </w:rPr>
        <w:t xml:space="preserve"> изготвување на</w:t>
      </w:r>
      <w:r w:rsidRPr="002968EC">
        <w:rPr>
          <w:rFonts w:asciiTheme="minorHAnsi" w:hAnsiTheme="minorHAnsi" w:cs="Calibri"/>
          <w:lang w:val="mk-MK"/>
        </w:rPr>
        <w:t xml:space="preserve"> оваа анализа е таква да</w:t>
      </w:r>
      <w:r w:rsidR="003B146B" w:rsidRPr="002968EC">
        <w:rPr>
          <w:rFonts w:asciiTheme="minorHAnsi" w:hAnsiTheme="minorHAnsi" w:cs="Calibri"/>
          <w:lang w:val="mk-MK"/>
        </w:rPr>
        <w:t xml:space="preserve"> </w:t>
      </w:r>
      <w:r w:rsidR="00F032AA" w:rsidRPr="002968EC">
        <w:rPr>
          <w:rFonts w:asciiTheme="minorHAnsi" w:hAnsiTheme="minorHAnsi" w:cs="Calibri"/>
          <w:lang w:val="mk-MK"/>
        </w:rPr>
        <w:t xml:space="preserve">крајните корисници ги купуваат овие услуги како пакет на услуга </w:t>
      </w:r>
      <w:r w:rsidRPr="002968EC">
        <w:rPr>
          <w:rFonts w:asciiTheme="minorHAnsi" w:hAnsiTheme="minorHAnsi" w:cs="Calibri"/>
          <w:lang w:val="mk-MK"/>
        </w:rPr>
        <w:t xml:space="preserve">за </w:t>
      </w:r>
      <w:r w:rsidR="00F032AA" w:rsidRPr="002968EC">
        <w:rPr>
          <w:rFonts w:asciiTheme="minorHAnsi" w:hAnsiTheme="minorHAnsi" w:cs="Calibri"/>
          <w:lang w:val="mk-MK"/>
        </w:rPr>
        <w:t xml:space="preserve">пристап до мрежа и повици, и тоа од еден ист оператор со што се обезбедува добивање единствена </w:t>
      </w:r>
      <w:r w:rsidR="00BC7B7A" w:rsidRPr="002968EC">
        <w:rPr>
          <w:rFonts w:asciiTheme="minorHAnsi" w:hAnsiTheme="minorHAnsi" w:cs="Calibri"/>
          <w:lang w:val="mk-MK"/>
        </w:rPr>
        <w:t xml:space="preserve">месечна </w:t>
      </w:r>
      <w:r w:rsidR="00F032AA" w:rsidRPr="002968EC">
        <w:rPr>
          <w:rFonts w:asciiTheme="minorHAnsi" w:hAnsiTheme="minorHAnsi" w:cs="Calibri"/>
          <w:lang w:val="mk-MK"/>
        </w:rPr>
        <w:t xml:space="preserve">сметка. </w:t>
      </w:r>
    </w:p>
    <w:p w:rsidR="00C119E1" w:rsidRPr="002968EC" w:rsidRDefault="0037313B" w:rsidP="00781AEE">
      <w:pPr>
        <w:rPr>
          <w:rFonts w:asciiTheme="minorHAnsi" w:hAnsiTheme="minorHAnsi"/>
          <w:lang w:val="mk-MK"/>
        </w:rPr>
      </w:pPr>
      <w:r w:rsidRPr="002968EC">
        <w:rPr>
          <w:rFonts w:asciiTheme="minorHAnsi" w:hAnsiTheme="minorHAnsi"/>
          <w:lang w:val="mk-MK"/>
        </w:rPr>
        <w:t xml:space="preserve">Врз основа на претходните проценки, </w:t>
      </w:r>
      <w:r w:rsidR="007967C2" w:rsidRPr="002968EC">
        <w:rPr>
          <w:rFonts w:asciiTheme="minorHAnsi" w:hAnsiTheme="minorHAnsi"/>
          <w:lang w:val="mk-MK"/>
        </w:rPr>
        <w:t>АЕК</w:t>
      </w:r>
      <w:r w:rsidR="00BC7B7A" w:rsidRPr="002968EC">
        <w:rPr>
          <w:rFonts w:asciiTheme="minorHAnsi" w:hAnsiTheme="minorHAnsi"/>
          <w:lang w:val="mk-MK"/>
        </w:rPr>
        <w:t xml:space="preserve"> </w:t>
      </w:r>
      <w:r w:rsidRPr="002968EC">
        <w:rPr>
          <w:rFonts w:asciiTheme="minorHAnsi" w:hAnsiTheme="minorHAnsi"/>
          <w:lang w:val="mk-MK"/>
        </w:rPr>
        <w:t xml:space="preserve">смета дека услугите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B0698A" w:rsidRPr="002968EC">
        <w:rPr>
          <w:rFonts w:asciiTheme="minorHAnsi" w:hAnsiTheme="minorHAnsi"/>
          <w:lang w:val="mk-MK"/>
        </w:rPr>
        <w:t xml:space="preserve"> </w:t>
      </w:r>
      <w:r w:rsidRPr="002968EC">
        <w:rPr>
          <w:rFonts w:asciiTheme="minorHAnsi" w:hAnsiTheme="minorHAnsi"/>
          <w:lang w:val="mk-MK"/>
        </w:rPr>
        <w:t xml:space="preserve">и услугите за јавно достапни телефонски услуги </w:t>
      </w:r>
      <w:r w:rsidR="007D2ABE" w:rsidRPr="002968EC">
        <w:rPr>
          <w:rFonts w:asciiTheme="minorHAnsi" w:hAnsiTheme="minorHAnsi"/>
          <w:lang w:val="mk-MK"/>
        </w:rPr>
        <w:t>(</w:t>
      </w:r>
      <w:r w:rsidRPr="002968EC">
        <w:rPr>
          <w:rFonts w:asciiTheme="minorHAnsi" w:hAnsiTheme="minorHAnsi"/>
          <w:lang w:val="mk-MK"/>
        </w:rPr>
        <w:t>фиксн</w:t>
      </w:r>
      <w:r w:rsidR="007D2ABE" w:rsidRPr="002968EC">
        <w:rPr>
          <w:rFonts w:asciiTheme="minorHAnsi" w:hAnsiTheme="minorHAnsi"/>
          <w:lang w:val="mk-MK"/>
        </w:rPr>
        <w:t>и)</w:t>
      </w:r>
      <w:r w:rsidRPr="002968EC">
        <w:rPr>
          <w:rFonts w:asciiTheme="minorHAnsi" w:hAnsiTheme="minorHAnsi"/>
          <w:lang w:val="mk-MK"/>
        </w:rPr>
        <w:t xml:space="preserve">  не преставуваат супститути</w:t>
      </w:r>
      <w:r w:rsidR="007D2ABE" w:rsidRPr="002968EC">
        <w:rPr>
          <w:rFonts w:asciiTheme="minorHAnsi" w:hAnsiTheme="minorHAnsi"/>
          <w:lang w:val="mk-MK"/>
        </w:rPr>
        <w:t xml:space="preserve">и </w:t>
      </w:r>
      <w:r w:rsidR="003B146B" w:rsidRPr="002968EC">
        <w:rPr>
          <w:rFonts w:asciiTheme="minorHAnsi" w:hAnsiTheme="minorHAnsi"/>
          <w:lang w:val="mk-MK"/>
        </w:rPr>
        <w:t>односно истите се комплементарни услуги и како такви се нудат на пазарот.</w:t>
      </w:r>
      <w:r w:rsidRPr="002968EC">
        <w:rPr>
          <w:rFonts w:asciiTheme="minorHAnsi" w:hAnsiTheme="minorHAnsi"/>
          <w:lang w:val="mk-MK"/>
        </w:rPr>
        <w:t xml:space="preserve"> </w:t>
      </w:r>
    </w:p>
    <w:p w:rsidR="00C119E1" w:rsidRPr="0079552E" w:rsidRDefault="005B27B6" w:rsidP="00781AEE">
      <w:pPr>
        <w:rPr>
          <w:rFonts w:asciiTheme="minorHAnsi" w:hAnsiTheme="minorHAnsi"/>
          <w:lang w:val="mk-MK"/>
        </w:rPr>
      </w:pPr>
      <w:r w:rsidRPr="002968EC">
        <w:rPr>
          <w:rFonts w:asciiTheme="minorHAnsi" w:hAnsiTheme="minorHAnsi"/>
          <w:lang w:val="mk-MK"/>
        </w:rPr>
        <w:t xml:space="preserve">Според горекажаното АЕК заклучи дека услугата пристап до јавна електронска комуникациска мрежа на фиксна локација и јавно достапна телефонска услуга на фиксна локација не се обезбедуваат на истиот релевантен пазар. </w:t>
      </w:r>
    </w:p>
    <w:p w:rsidR="00F63EF3" w:rsidRPr="002968EC" w:rsidRDefault="00F63EF3" w:rsidP="00781AEE">
      <w:pPr>
        <w:pStyle w:val="Heading3"/>
        <w:rPr>
          <w:rFonts w:asciiTheme="minorHAnsi" w:hAnsiTheme="minorHAnsi" w:cs="Calibri"/>
          <w:sz w:val="22"/>
          <w:szCs w:val="22"/>
          <w:lang w:val="mk-MK"/>
        </w:rPr>
      </w:pPr>
      <w:bookmarkStart w:id="19" w:name="_MON_1453812681"/>
      <w:bookmarkEnd w:id="19"/>
    </w:p>
    <w:p w:rsidR="00F15011" w:rsidRPr="006E317C" w:rsidRDefault="006E317C" w:rsidP="006E317C">
      <w:pPr>
        <w:pStyle w:val="Heading3"/>
        <w:rPr>
          <w:rFonts w:asciiTheme="minorHAnsi" w:hAnsiTheme="minorHAnsi"/>
        </w:rPr>
      </w:pPr>
      <w:bookmarkStart w:id="20" w:name="_Toc461617741"/>
      <w:r>
        <w:rPr>
          <w:rFonts w:asciiTheme="minorHAnsi" w:hAnsiTheme="minorHAnsi"/>
          <w:lang w:val="mk-MK"/>
        </w:rPr>
        <w:t>8</w:t>
      </w:r>
      <w:r w:rsidR="004E5400" w:rsidRPr="006E317C">
        <w:rPr>
          <w:rFonts w:asciiTheme="minorHAnsi" w:hAnsiTheme="minorHAnsi"/>
        </w:rPr>
        <w:t xml:space="preserve">.2.3 </w:t>
      </w:r>
      <w:r w:rsidR="00A74E51" w:rsidRPr="006E317C">
        <w:rPr>
          <w:rFonts w:asciiTheme="minorHAnsi" w:hAnsiTheme="minorHAnsi"/>
        </w:rPr>
        <w:t xml:space="preserve">Дали резиденцијалните и </w:t>
      </w:r>
      <w:r w:rsidR="00A54113" w:rsidRPr="006E317C">
        <w:rPr>
          <w:rFonts w:asciiTheme="minorHAnsi" w:hAnsiTheme="minorHAnsi"/>
        </w:rPr>
        <w:t>делов</w:t>
      </w:r>
      <w:r w:rsidR="00A74E51" w:rsidRPr="006E317C">
        <w:rPr>
          <w:rFonts w:asciiTheme="minorHAnsi" w:hAnsiTheme="minorHAnsi"/>
        </w:rPr>
        <w:t xml:space="preserve">ните корисници </w:t>
      </w:r>
      <w:r w:rsidR="00D6381C" w:rsidRPr="006E317C">
        <w:rPr>
          <w:rFonts w:asciiTheme="minorHAnsi" w:hAnsiTheme="minorHAnsi"/>
        </w:rPr>
        <w:t>се дел од</w:t>
      </w:r>
      <w:r w:rsidR="00A74E51" w:rsidRPr="006E317C">
        <w:rPr>
          <w:rFonts w:asciiTheme="minorHAnsi" w:hAnsiTheme="minorHAnsi"/>
        </w:rPr>
        <w:t xml:space="preserve"> истиот пазар?</w:t>
      </w:r>
      <w:bookmarkEnd w:id="20"/>
    </w:p>
    <w:p w:rsidR="007D2945" w:rsidRPr="002968EC" w:rsidRDefault="007D2945" w:rsidP="007D2945">
      <w:pPr>
        <w:rPr>
          <w:rFonts w:asciiTheme="minorHAnsi" w:hAnsiTheme="minorHAnsi"/>
          <w:lang w:val="mk-MK"/>
        </w:rPr>
      </w:pPr>
    </w:p>
    <w:p w:rsidR="00F63EF3" w:rsidRPr="002968EC" w:rsidRDefault="007967C2" w:rsidP="00781AEE">
      <w:pPr>
        <w:rPr>
          <w:rFonts w:asciiTheme="minorHAnsi" w:hAnsiTheme="minorHAnsi" w:cs="Calibri"/>
          <w:lang w:val="mk-MK"/>
        </w:rPr>
      </w:pPr>
      <w:r w:rsidRPr="002968EC">
        <w:rPr>
          <w:rFonts w:asciiTheme="minorHAnsi" w:hAnsiTheme="minorHAnsi" w:cs="Calibri"/>
          <w:lang w:val="mk-MK"/>
        </w:rPr>
        <w:t>АЕК</w:t>
      </w:r>
      <w:r w:rsidR="00FE2C35" w:rsidRPr="002968EC">
        <w:rPr>
          <w:rFonts w:asciiTheme="minorHAnsi" w:hAnsiTheme="minorHAnsi" w:cs="Calibri"/>
          <w:lang w:val="mk-MK"/>
        </w:rPr>
        <w:t xml:space="preserve"> е свесна дека различните видови на крајни корисници на услугата за пристап </w:t>
      </w:r>
      <w:r w:rsidR="00607B85" w:rsidRPr="002968EC">
        <w:rPr>
          <w:rFonts w:asciiTheme="minorHAnsi" w:hAnsiTheme="minorHAnsi" w:cs="Calibri"/>
          <w:lang w:val="mk-MK"/>
        </w:rPr>
        <w:t xml:space="preserve">до </w:t>
      </w:r>
      <w:r w:rsidR="008A38F9" w:rsidRPr="002968EC">
        <w:rPr>
          <w:rFonts w:asciiTheme="minorHAnsi" w:hAnsiTheme="minorHAnsi" w:cs="Calibri"/>
          <w:lang w:val="mk-MK"/>
        </w:rPr>
        <w:t>јавна електронска комуникациска мрежа на фиксна локација</w:t>
      </w:r>
      <w:r w:rsidR="00B0698A" w:rsidRPr="002968EC">
        <w:rPr>
          <w:rFonts w:asciiTheme="minorHAnsi" w:hAnsiTheme="minorHAnsi" w:cs="Calibri"/>
          <w:lang w:val="mk-MK"/>
        </w:rPr>
        <w:t xml:space="preserve"> </w:t>
      </w:r>
      <w:r w:rsidR="00FE2C35" w:rsidRPr="002968EC">
        <w:rPr>
          <w:rFonts w:asciiTheme="minorHAnsi" w:hAnsiTheme="minorHAnsi" w:cs="Calibri"/>
          <w:lang w:val="mk-MK"/>
        </w:rPr>
        <w:t xml:space="preserve">изразуваат различни преференции и различна ценовна еластичност. </w:t>
      </w:r>
      <w:r w:rsidR="00794AC6" w:rsidRPr="002968EC">
        <w:rPr>
          <w:rFonts w:asciiTheme="minorHAnsi" w:hAnsiTheme="minorHAnsi" w:cs="Calibri"/>
          <w:lang w:val="mk-MK"/>
        </w:rPr>
        <w:t>С</w:t>
      </w:r>
      <w:r w:rsidR="004576DC" w:rsidRPr="002968EC">
        <w:rPr>
          <w:rFonts w:asciiTheme="minorHAnsi" w:hAnsiTheme="minorHAnsi" w:cs="Calibri"/>
          <w:lang w:val="mk-MK"/>
        </w:rPr>
        <w:t>упституцијата на</w:t>
      </w:r>
      <w:r w:rsidR="00FE2C35" w:rsidRPr="002968EC">
        <w:rPr>
          <w:rFonts w:asciiTheme="minorHAnsi" w:hAnsiTheme="minorHAnsi" w:cs="Calibri"/>
          <w:lang w:val="mk-MK"/>
        </w:rPr>
        <w:t xml:space="preserve"> </w:t>
      </w:r>
      <w:r w:rsidR="004576DC" w:rsidRPr="002968EC">
        <w:rPr>
          <w:rFonts w:asciiTheme="minorHAnsi" w:hAnsiTheme="minorHAnsi" w:cs="Calibri"/>
          <w:lang w:val="mk-MK"/>
        </w:rPr>
        <w:t xml:space="preserve">страната на понудата може исто така да варира кога е во прашање обезбедување на услугата за пристап </w:t>
      </w:r>
      <w:r w:rsidR="00607B85" w:rsidRPr="002968EC">
        <w:rPr>
          <w:rFonts w:asciiTheme="minorHAnsi" w:hAnsiTheme="minorHAnsi" w:cs="Calibri"/>
          <w:lang w:val="mk-MK"/>
        </w:rPr>
        <w:t xml:space="preserve">до </w:t>
      </w:r>
      <w:r w:rsidR="008A38F9" w:rsidRPr="002968EC">
        <w:rPr>
          <w:rFonts w:asciiTheme="minorHAnsi" w:hAnsiTheme="minorHAnsi" w:cs="Calibri"/>
          <w:lang w:val="mk-MK"/>
        </w:rPr>
        <w:t>јавна електронска комуникациска мрежа на фиксна локација</w:t>
      </w:r>
      <w:r w:rsidR="00B0698A" w:rsidRPr="002968EC">
        <w:rPr>
          <w:rFonts w:asciiTheme="minorHAnsi" w:hAnsiTheme="minorHAnsi" w:cs="Calibri"/>
          <w:lang w:val="mk-MK"/>
        </w:rPr>
        <w:t xml:space="preserve"> </w:t>
      </w:r>
      <w:r w:rsidR="004576DC" w:rsidRPr="002968EC">
        <w:rPr>
          <w:rFonts w:asciiTheme="minorHAnsi" w:hAnsiTheme="minorHAnsi" w:cs="Calibri"/>
          <w:lang w:val="mk-MK"/>
        </w:rPr>
        <w:t xml:space="preserve">за различни кориснички групи во одредени географски области и локации. </w:t>
      </w:r>
      <w:r w:rsidRPr="002968EC">
        <w:rPr>
          <w:rFonts w:asciiTheme="minorHAnsi" w:hAnsiTheme="minorHAnsi" w:cs="Calibri"/>
          <w:lang w:val="mk-MK"/>
        </w:rPr>
        <w:t>АЕК</w:t>
      </w:r>
      <w:r w:rsidR="004576DC" w:rsidRPr="002968EC">
        <w:rPr>
          <w:rFonts w:asciiTheme="minorHAnsi" w:hAnsiTheme="minorHAnsi" w:cs="Calibri"/>
          <w:lang w:val="mk-MK"/>
        </w:rPr>
        <w:t xml:space="preserve"> го разгледува</w:t>
      </w:r>
      <w:r w:rsidR="00794AC6" w:rsidRPr="002968EC">
        <w:rPr>
          <w:rFonts w:asciiTheme="minorHAnsi" w:hAnsiTheme="minorHAnsi" w:cs="Calibri"/>
          <w:lang w:val="mk-MK"/>
        </w:rPr>
        <w:t>ш</w:t>
      </w:r>
      <w:r w:rsidR="004576DC" w:rsidRPr="002968EC">
        <w:rPr>
          <w:rFonts w:asciiTheme="minorHAnsi" w:hAnsiTheme="minorHAnsi" w:cs="Calibri"/>
          <w:lang w:val="mk-MK"/>
        </w:rPr>
        <w:t xml:space="preserve">е постоењето на супституција помеѓу резиденцијалните и </w:t>
      </w:r>
      <w:r w:rsidR="00EA6553" w:rsidRPr="002968EC">
        <w:rPr>
          <w:rFonts w:asciiTheme="minorHAnsi" w:hAnsiTheme="minorHAnsi" w:cs="Calibri"/>
          <w:lang w:val="mk-MK"/>
        </w:rPr>
        <w:t>деловните</w:t>
      </w:r>
      <w:r w:rsidR="004576DC" w:rsidRPr="002968EC">
        <w:rPr>
          <w:rFonts w:asciiTheme="minorHAnsi" w:hAnsiTheme="minorHAnsi" w:cs="Calibri"/>
          <w:lang w:val="mk-MK"/>
        </w:rPr>
        <w:t xml:space="preserve"> корисници </w:t>
      </w:r>
      <w:r w:rsidR="00754D6A" w:rsidRPr="002968EC">
        <w:rPr>
          <w:rFonts w:asciiTheme="minorHAnsi" w:hAnsiTheme="minorHAnsi" w:cs="Calibri"/>
          <w:lang w:val="mk-MK"/>
        </w:rPr>
        <w:t>и заклучи</w:t>
      </w:r>
      <w:r w:rsidR="004576DC" w:rsidRPr="002968EC">
        <w:rPr>
          <w:rFonts w:asciiTheme="minorHAnsi" w:hAnsiTheme="minorHAnsi" w:cs="Calibri"/>
          <w:lang w:val="mk-MK"/>
        </w:rPr>
        <w:t xml:space="preserve"> дека тие припаѓаат на ист релевантен пазар. Анализата во овој дел се фокусира главно на тоа дали определен резиденцијален корисник би можел во определен временски период да пронајде </w:t>
      </w:r>
      <w:r w:rsidR="00754D6A" w:rsidRPr="002968EC">
        <w:rPr>
          <w:rFonts w:asciiTheme="minorHAnsi" w:hAnsiTheme="minorHAnsi" w:cs="Calibri"/>
          <w:lang w:val="mk-MK"/>
        </w:rPr>
        <w:t>соодветна</w:t>
      </w:r>
      <w:r w:rsidR="004576DC" w:rsidRPr="002968EC">
        <w:rPr>
          <w:rFonts w:asciiTheme="minorHAnsi" w:hAnsiTheme="minorHAnsi" w:cs="Calibri"/>
          <w:lang w:val="mk-MK"/>
        </w:rPr>
        <w:t xml:space="preserve"> понуда од бизнис сегментот која би ги задоволила неговите преференции од услугата, и обратно. Дали супституцијата на понудата во овој случај ќе имплицира комбиниран или засебен пазар за пристап </w:t>
      </w:r>
      <w:r w:rsidR="00607B85" w:rsidRPr="002968EC">
        <w:rPr>
          <w:rFonts w:asciiTheme="minorHAnsi" w:hAnsiTheme="minorHAnsi" w:cs="Calibri"/>
          <w:lang w:val="mk-MK"/>
        </w:rPr>
        <w:t xml:space="preserve">до </w:t>
      </w:r>
      <w:r w:rsidR="008A38F9" w:rsidRPr="002968EC">
        <w:rPr>
          <w:rFonts w:asciiTheme="minorHAnsi" w:hAnsiTheme="minorHAnsi"/>
          <w:lang w:val="mk-MK"/>
        </w:rPr>
        <w:t>јавна електронска комуникациска мрежа на фиксна локација</w:t>
      </w:r>
      <w:r w:rsidR="00DA456B" w:rsidRPr="002968EC">
        <w:rPr>
          <w:rFonts w:asciiTheme="minorHAnsi" w:hAnsiTheme="minorHAnsi" w:cs="Calibri"/>
          <w:lang w:val="mk-MK"/>
        </w:rPr>
        <w:t xml:space="preserve"> </w:t>
      </w:r>
      <w:r w:rsidR="004576DC" w:rsidRPr="002968EC">
        <w:rPr>
          <w:rFonts w:asciiTheme="minorHAnsi" w:hAnsiTheme="minorHAnsi" w:cs="Calibri"/>
          <w:lang w:val="mk-MK"/>
        </w:rPr>
        <w:t>за овој сегмент на крајни корисници.</w:t>
      </w:r>
      <w:r w:rsidR="004E2E0E" w:rsidRPr="002968EC">
        <w:rPr>
          <w:rFonts w:asciiTheme="minorHAnsi" w:hAnsiTheme="minorHAnsi" w:cs="Calibri"/>
          <w:lang w:val="mk-MK"/>
        </w:rPr>
        <w:t xml:space="preserve"> </w:t>
      </w:r>
      <w:r w:rsidR="00754D6A" w:rsidRPr="002968EC">
        <w:rPr>
          <w:rFonts w:asciiTheme="minorHAnsi" w:hAnsiTheme="minorHAnsi" w:cs="Calibri"/>
          <w:lang w:val="mk-MK"/>
        </w:rPr>
        <w:t>Во</w:t>
      </w:r>
      <w:r w:rsidR="004E2E0E" w:rsidRPr="002968EC">
        <w:rPr>
          <w:rFonts w:asciiTheme="minorHAnsi" w:hAnsiTheme="minorHAnsi" w:cs="Calibri"/>
          <w:lang w:val="mk-MK"/>
        </w:rPr>
        <w:t xml:space="preserve"> </w:t>
      </w:r>
      <w:r w:rsidR="00754D6A" w:rsidRPr="002968EC">
        <w:rPr>
          <w:rFonts w:asciiTheme="minorHAnsi" w:hAnsiTheme="minorHAnsi" w:cs="Calibri"/>
          <w:lang w:val="mk-MK"/>
        </w:rPr>
        <w:t>втората</w:t>
      </w:r>
      <w:r w:rsidR="004E2E0E" w:rsidRPr="002968EC">
        <w:rPr>
          <w:rFonts w:asciiTheme="minorHAnsi" w:hAnsiTheme="minorHAnsi" w:cs="Calibri"/>
          <w:lang w:val="mk-MK"/>
        </w:rPr>
        <w:t xml:space="preserve"> анализа на релевантниот малопродажен пазар за пристап до </w:t>
      </w:r>
      <w:r w:rsidR="008A38F9" w:rsidRPr="002968EC">
        <w:rPr>
          <w:rFonts w:asciiTheme="minorHAnsi" w:hAnsiTheme="minorHAnsi"/>
          <w:lang w:val="mk-MK"/>
        </w:rPr>
        <w:t>јавна електронска комуникациска мрежа на фиксна локација</w:t>
      </w:r>
      <w:r w:rsidR="00DA456B" w:rsidRPr="002968EC">
        <w:rPr>
          <w:rFonts w:asciiTheme="minorHAnsi" w:hAnsiTheme="minorHAnsi" w:cs="Calibri"/>
          <w:lang w:val="mk-MK"/>
        </w:rPr>
        <w:t xml:space="preserve"> </w:t>
      </w:r>
      <w:r w:rsidR="004E2E0E" w:rsidRPr="002968EC">
        <w:rPr>
          <w:rFonts w:asciiTheme="minorHAnsi" w:hAnsiTheme="minorHAnsi" w:cs="Calibri"/>
          <w:lang w:val="mk-MK"/>
        </w:rPr>
        <w:t xml:space="preserve">и </w:t>
      </w:r>
      <w:r w:rsidR="00754D6A" w:rsidRPr="002968EC">
        <w:rPr>
          <w:rFonts w:asciiTheme="minorHAnsi" w:hAnsiTheme="minorHAnsi" w:cs="Calibri"/>
          <w:lang w:val="mk-MK"/>
        </w:rPr>
        <w:t>во</w:t>
      </w:r>
      <w:r w:rsidR="004E2E0E" w:rsidRPr="002968EC">
        <w:rPr>
          <w:rFonts w:asciiTheme="minorHAnsi" w:hAnsiTheme="minorHAnsi" w:cs="Calibri"/>
          <w:lang w:val="mk-MK"/>
        </w:rPr>
        <w:t xml:space="preserve"> препораките на Европската Комисија е утврдено постоење на еден релевантен пазар кој ги опфаќа</w:t>
      </w:r>
      <w:r w:rsidR="008C5CE4" w:rsidRPr="002968EC">
        <w:rPr>
          <w:rFonts w:asciiTheme="minorHAnsi" w:hAnsiTheme="minorHAnsi" w:cs="Calibri"/>
          <w:lang w:val="mk-MK"/>
        </w:rPr>
        <w:t xml:space="preserve"> резиденцијални</w:t>
      </w:r>
      <w:r w:rsidR="004E2E0E" w:rsidRPr="002968EC">
        <w:rPr>
          <w:rFonts w:asciiTheme="minorHAnsi" w:hAnsiTheme="minorHAnsi" w:cs="Calibri"/>
          <w:lang w:val="mk-MK"/>
        </w:rPr>
        <w:t>те</w:t>
      </w:r>
      <w:r w:rsidR="008C5CE4" w:rsidRPr="002968EC">
        <w:rPr>
          <w:rFonts w:asciiTheme="minorHAnsi" w:hAnsiTheme="minorHAnsi" w:cs="Calibri"/>
          <w:lang w:val="mk-MK"/>
        </w:rPr>
        <w:t xml:space="preserve"> и </w:t>
      </w:r>
      <w:r w:rsidR="00607B85" w:rsidRPr="002968EC">
        <w:rPr>
          <w:rFonts w:asciiTheme="minorHAnsi" w:hAnsiTheme="minorHAnsi" w:cs="Calibri"/>
          <w:lang w:val="mk-MK"/>
        </w:rPr>
        <w:t>деловни</w:t>
      </w:r>
      <w:r w:rsidR="004E2E0E" w:rsidRPr="002968EC">
        <w:rPr>
          <w:rFonts w:asciiTheme="minorHAnsi" w:hAnsiTheme="minorHAnsi" w:cs="Calibri"/>
          <w:lang w:val="mk-MK"/>
        </w:rPr>
        <w:t>те</w:t>
      </w:r>
      <w:r w:rsidR="008C5CE4" w:rsidRPr="002968EC">
        <w:rPr>
          <w:rFonts w:asciiTheme="minorHAnsi" w:hAnsiTheme="minorHAnsi" w:cs="Calibri"/>
          <w:lang w:val="mk-MK"/>
        </w:rPr>
        <w:t xml:space="preserve"> корисници. </w:t>
      </w:r>
    </w:p>
    <w:p w:rsidR="006A30A1" w:rsidRPr="002968EC" w:rsidRDefault="006A30A1" w:rsidP="00781AEE">
      <w:pPr>
        <w:rPr>
          <w:rFonts w:asciiTheme="minorHAnsi" w:hAnsiTheme="minorHAnsi" w:cs="Calibri"/>
          <w:lang w:val="mk-MK"/>
        </w:rPr>
      </w:pPr>
      <w:r w:rsidRPr="002968EC">
        <w:rPr>
          <w:rFonts w:asciiTheme="minorHAnsi" w:hAnsiTheme="minorHAnsi" w:cs="Calibri"/>
          <w:lang w:val="mk-MK"/>
        </w:rPr>
        <w:t xml:space="preserve">За </w:t>
      </w:r>
      <w:r w:rsidR="00173908" w:rsidRPr="002968EC">
        <w:rPr>
          <w:rFonts w:asciiTheme="minorHAnsi" w:hAnsiTheme="minorHAnsi" w:cs="Calibri"/>
          <w:lang w:val="mk-MK"/>
        </w:rPr>
        <w:t>пазарот да биде дефиниран како единствен пазар за резиденцијални и деловни корисници</w:t>
      </w:r>
      <w:r w:rsidR="00066C6D" w:rsidRPr="002968EC">
        <w:rPr>
          <w:rFonts w:asciiTheme="minorHAnsi" w:hAnsiTheme="minorHAnsi" w:cs="Calibri"/>
          <w:lang w:val="mk-MK"/>
        </w:rPr>
        <w:t>,</w:t>
      </w:r>
      <w:r w:rsidRPr="002968EC">
        <w:rPr>
          <w:rFonts w:asciiTheme="minorHAnsi" w:hAnsiTheme="minorHAnsi" w:cs="Calibri"/>
          <w:lang w:val="mk-MK"/>
        </w:rPr>
        <w:t xml:space="preserve"> не е неопходно сите резиденцијални крајни корисници на пазарот </w:t>
      </w:r>
      <w:r w:rsidR="00173908" w:rsidRPr="002968EC">
        <w:rPr>
          <w:rFonts w:asciiTheme="minorHAnsi" w:hAnsiTheme="minorHAnsi" w:cs="Calibri"/>
          <w:lang w:val="mk-MK"/>
        </w:rPr>
        <w:t xml:space="preserve">да </w:t>
      </w:r>
      <w:r w:rsidRPr="002968EC">
        <w:rPr>
          <w:rFonts w:asciiTheme="minorHAnsi" w:hAnsiTheme="minorHAnsi" w:cs="Calibri"/>
          <w:lang w:val="mk-MK"/>
        </w:rPr>
        <w:t xml:space="preserve">ја сметаат услугата за </w:t>
      </w:r>
      <w:r w:rsidR="00466C64" w:rsidRPr="002968EC">
        <w:rPr>
          <w:rFonts w:asciiTheme="minorHAnsi" w:hAnsiTheme="minorHAnsi" w:cs="Calibri"/>
          <w:lang w:val="mk-MK"/>
        </w:rPr>
        <w:t>деловен</w:t>
      </w:r>
      <w:r w:rsidR="00173908" w:rsidRPr="002968EC">
        <w:rPr>
          <w:rFonts w:asciiTheme="minorHAnsi" w:hAnsiTheme="minorHAnsi" w:cs="Calibri"/>
          <w:lang w:val="mk-MK"/>
        </w:rPr>
        <w:t xml:space="preserve"> пристап како заменлива</w:t>
      </w:r>
      <w:r w:rsidRPr="002968EC">
        <w:rPr>
          <w:rFonts w:asciiTheme="minorHAnsi" w:hAnsiTheme="minorHAnsi" w:cs="Calibri"/>
          <w:lang w:val="mk-MK"/>
        </w:rPr>
        <w:t xml:space="preserve"> на резиденцијалн</w:t>
      </w:r>
      <w:r w:rsidR="00173908" w:rsidRPr="002968EC">
        <w:rPr>
          <w:rFonts w:asciiTheme="minorHAnsi" w:hAnsiTheme="minorHAnsi" w:cs="Calibri"/>
          <w:lang w:val="mk-MK"/>
        </w:rPr>
        <w:t>иот</w:t>
      </w:r>
      <w:r w:rsidRPr="002968EC">
        <w:rPr>
          <w:rFonts w:asciiTheme="minorHAnsi" w:hAnsiTheme="minorHAnsi" w:cs="Calibri"/>
          <w:lang w:val="mk-MK"/>
        </w:rPr>
        <w:t xml:space="preserve"> пристап</w:t>
      </w:r>
      <w:r w:rsidR="00173908" w:rsidRPr="002968EC">
        <w:rPr>
          <w:rFonts w:asciiTheme="minorHAnsi" w:hAnsiTheme="minorHAnsi" w:cs="Calibri"/>
          <w:lang w:val="mk-MK"/>
        </w:rPr>
        <w:t xml:space="preserve"> и обратно.</w:t>
      </w:r>
      <w:r w:rsidRPr="002968EC">
        <w:rPr>
          <w:rFonts w:asciiTheme="minorHAnsi" w:hAnsiTheme="minorHAnsi" w:cs="Calibri"/>
          <w:lang w:val="mk-MK"/>
        </w:rPr>
        <w:t xml:space="preserve"> Неопходно е значителен дел од крајните корисници да се префрлат на бизнис претплата и користат услуга за пристап </w:t>
      </w:r>
      <w:r w:rsidR="00466C64" w:rsidRPr="002968EC">
        <w:rPr>
          <w:rFonts w:asciiTheme="minorHAnsi" w:hAnsiTheme="minorHAnsi" w:cs="Calibri"/>
          <w:lang w:val="mk-MK"/>
        </w:rPr>
        <w:t>до јавна телефонска мрежа на фиксна локација</w:t>
      </w:r>
      <w:r w:rsidRPr="002968EC">
        <w:rPr>
          <w:rFonts w:asciiTheme="minorHAnsi" w:hAnsiTheme="minorHAnsi" w:cs="Calibri"/>
          <w:lang w:val="mk-MK"/>
        </w:rPr>
        <w:t xml:space="preserve">, окарактеризирана како бизнис со цел да реагираат на </w:t>
      </w:r>
      <w:r w:rsidR="00466C64" w:rsidRPr="002968EC">
        <w:rPr>
          <w:rFonts w:asciiTheme="minorHAnsi" w:hAnsiTheme="minorHAnsi" w:cs="Calibri"/>
          <w:lang w:val="mk-MK"/>
        </w:rPr>
        <w:t>хипотетскиот монополистички</w:t>
      </w:r>
      <w:r w:rsidRPr="002968EC">
        <w:rPr>
          <w:rFonts w:asciiTheme="minorHAnsi" w:hAnsiTheme="minorHAnsi" w:cs="Calibri"/>
        </w:rPr>
        <w:t xml:space="preserve"> </w:t>
      </w:r>
      <w:r w:rsidRPr="002968EC">
        <w:rPr>
          <w:rFonts w:asciiTheme="minorHAnsi" w:hAnsiTheme="minorHAnsi" w:cs="Calibri"/>
          <w:lang w:val="mk-MK"/>
        </w:rPr>
        <w:t>тест</w:t>
      </w:r>
      <w:r w:rsidR="00754D6A" w:rsidRPr="002968EC">
        <w:rPr>
          <w:rFonts w:asciiTheme="minorHAnsi" w:hAnsiTheme="minorHAnsi" w:cs="Calibri"/>
          <w:lang w:val="mk-MK"/>
        </w:rPr>
        <w:t xml:space="preserve"> за мало но значително покачување на цените на услугата</w:t>
      </w:r>
      <w:r w:rsidRPr="002968EC">
        <w:rPr>
          <w:rFonts w:asciiTheme="minorHAnsi" w:hAnsiTheme="minorHAnsi" w:cs="Calibri"/>
          <w:lang w:val="mk-MK"/>
        </w:rPr>
        <w:t>.</w:t>
      </w:r>
    </w:p>
    <w:p w:rsidR="006A30A1" w:rsidRPr="002968EC" w:rsidRDefault="006A30A1" w:rsidP="00781AEE">
      <w:pPr>
        <w:rPr>
          <w:rFonts w:asciiTheme="minorHAnsi" w:hAnsiTheme="minorHAnsi" w:cs="Calibri"/>
        </w:rPr>
      </w:pPr>
      <w:r w:rsidRPr="002968EC">
        <w:rPr>
          <w:rFonts w:asciiTheme="minorHAnsi" w:hAnsiTheme="minorHAnsi" w:cs="Calibri"/>
          <w:lang w:val="mk-MK"/>
        </w:rPr>
        <w:lastRenderedPageBreak/>
        <w:t xml:space="preserve">Секој краен корисник во основа ја купува услугата за пристап </w:t>
      </w:r>
      <w:r w:rsidR="00466C64" w:rsidRPr="002968EC">
        <w:rPr>
          <w:rFonts w:asciiTheme="minorHAnsi" w:hAnsiTheme="minorHAnsi" w:cs="Calibri"/>
          <w:lang w:val="mk-MK"/>
        </w:rPr>
        <w:t xml:space="preserve">до </w:t>
      </w:r>
      <w:r w:rsidR="008A38F9" w:rsidRPr="002968EC">
        <w:rPr>
          <w:rFonts w:asciiTheme="minorHAnsi" w:hAnsiTheme="minorHAnsi" w:cs="Calibri"/>
          <w:lang w:val="mk-MK"/>
        </w:rPr>
        <w:t>јавна електронска комуникациска мрежа на фиксна локација</w:t>
      </w:r>
      <w:r w:rsidR="00B0698A" w:rsidRPr="002968EC">
        <w:rPr>
          <w:rFonts w:asciiTheme="minorHAnsi" w:hAnsiTheme="minorHAnsi" w:cs="Calibri"/>
          <w:lang w:val="mk-MK"/>
        </w:rPr>
        <w:t xml:space="preserve"> </w:t>
      </w:r>
      <w:r w:rsidRPr="002968EC">
        <w:rPr>
          <w:rFonts w:asciiTheme="minorHAnsi" w:hAnsiTheme="minorHAnsi" w:cs="Calibri"/>
          <w:lang w:val="mk-MK"/>
        </w:rPr>
        <w:t xml:space="preserve">имајќи ја предвид нејзината основна вредност а тоа е </w:t>
      </w:r>
      <w:r w:rsidR="000341DC" w:rsidRPr="002968EC">
        <w:rPr>
          <w:rFonts w:asciiTheme="minorHAnsi" w:hAnsiTheme="minorHAnsi" w:cs="Calibri"/>
          <w:lang w:val="mk-MK"/>
        </w:rPr>
        <w:t>пристапна линија до мрежата на операторот. Пример, при употребата на услугата пристап</w:t>
      </w:r>
      <w:r w:rsidR="00633859" w:rsidRPr="002968EC">
        <w:rPr>
          <w:rFonts w:asciiTheme="minorHAnsi" w:hAnsiTheme="minorHAnsi" w:cs="Calibri"/>
          <w:lang w:val="mk-MK"/>
        </w:rPr>
        <w:t xml:space="preserve"> до</w:t>
      </w:r>
      <w:r w:rsidR="000341DC" w:rsidRPr="002968EC">
        <w:rPr>
          <w:rFonts w:asciiTheme="minorHAnsi" w:hAnsiTheme="minorHAnsi" w:cs="Calibri"/>
          <w:lang w:val="mk-MK"/>
        </w:rPr>
        <w:t xml:space="preserve"> </w:t>
      </w:r>
      <w:r w:rsidR="008A38F9" w:rsidRPr="002968EC">
        <w:rPr>
          <w:rFonts w:asciiTheme="minorHAnsi" w:hAnsiTheme="minorHAnsi" w:cs="Calibri"/>
          <w:lang w:val="mk-MK"/>
        </w:rPr>
        <w:t>јавна електронска комуникациска мрежа на фиксна локација</w:t>
      </w:r>
      <w:r w:rsidR="000341DC" w:rsidRPr="002968EC">
        <w:rPr>
          <w:rFonts w:asciiTheme="minorHAnsi" w:hAnsiTheme="minorHAnsi" w:cs="Calibri"/>
          <w:lang w:val="mk-MK"/>
        </w:rPr>
        <w:t>, технички се користи истата услуга како и за обезбедување на услугата фиксни говорни повици и понатаму останатите комплементарни услуги</w:t>
      </w:r>
      <w:r w:rsidR="00466C64" w:rsidRPr="002968EC">
        <w:rPr>
          <w:rFonts w:asciiTheme="minorHAnsi" w:hAnsiTheme="minorHAnsi" w:cs="Calibri"/>
          <w:lang w:val="mk-MK"/>
        </w:rPr>
        <w:t xml:space="preserve"> на нив</w:t>
      </w:r>
      <w:r w:rsidR="000341DC" w:rsidRPr="002968EC">
        <w:rPr>
          <w:rFonts w:asciiTheme="minorHAnsi" w:hAnsiTheme="minorHAnsi" w:cs="Calibri"/>
          <w:lang w:val="mk-MK"/>
        </w:rPr>
        <w:t xml:space="preserve">. Основната функционалност на услугата пристап независно дали ќе се обезбедува </w:t>
      </w:r>
      <w:r w:rsidR="00C953D6" w:rsidRPr="002968EC">
        <w:rPr>
          <w:rFonts w:asciiTheme="minorHAnsi" w:hAnsiTheme="minorHAnsi" w:cs="Calibri"/>
          <w:lang w:val="mk-MK"/>
        </w:rPr>
        <w:t xml:space="preserve">за </w:t>
      </w:r>
      <w:r w:rsidR="000341DC" w:rsidRPr="002968EC">
        <w:rPr>
          <w:rFonts w:asciiTheme="minorHAnsi" w:hAnsiTheme="minorHAnsi" w:cs="Calibri"/>
          <w:lang w:val="mk-MK"/>
        </w:rPr>
        <w:t xml:space="preserve">резиденцијални  или </w:t>
      </w:r>
      <w:r w:rsidR="00066C6D" w:rsidRPr="002968EC">
        <w:rPr>
          <w:rFonts w:asciiTheme="minorHAnsi" w:hAnsiTheme="minorHAnsi" w:cs="Calibri"/>
          <w:lang w:val="mk-MK"/>
        </w:rPr>
        <w:t>деловни</w:t>
      </w:r>
      <w:r w:rsidR="000341DC" w:rsidRPr="002968EC">
        <w:rPr>
          <w:rFonts w:asciiTheme="minorHAnsi" w:hAnsiTheme="minorHAnsi" w:cs="Calibri"/>
          <w:lang w:val="mk-MK"/>
        </w:rPr>
        <w:t xml:space="preserve"> </w:t>
      </w:r>
      <w:r w:rsidR="00633859" w:rsidRPr="002968EC">
        <w:rPr>
          <w:rFonts w:asciiTheme="minorHAnsi" w:hAnsiTheme="minorHAnsi" w:cs="Calibri"/>
          <w:lang w:val="mk-MK"/>
        </w:rPr>
        <w:t>крајни корисници</w:t>
      </w:r>
      <w:r w:rsidR="000341DC" w:rsidRPr="002968EC">
        <w:rPr>
          <w:rFonts w:asciiTheme="minorHAnsi" w:hAnsiTheme="minorHAnsi" w:cs="Calibri"/>
          <w:lang w:val="mk-MK"/>
        </w:rPr>
        <w:t xml:space="preserve"> е потполно еднаква. Може да постојат разлики од аспект на грижа за корисниците, техничка подршка</w:t>
      </w:r>
      <w:r w:rsidR="00754D6A" w:rsidRPr="002968EC">
        <w:rPr>
          <w:rFonts w:asciiTheme="minorHAnsi" w:hAnsiTheme="minorHAnsi" w:cs="Calibri"/>
          <w:lang w:val="mk-MK"/>
        </w:rPr>
        <w:t>,</w:t>
      </w:r>
      <w:r w:rsidR="000341DC" w:rsidRPr="002968EC">
        <w:rPr>
          <w:rFonts w:asciiTheme="minorHAnsi" w:hAnsiTheme="minorHAnsi" w:cs="Calibri"/>
          <w:lang w:val="mk-MK"/>
        </w:rPr>
        <w:t xml:space="preserve"> поправки итн. </w:t>
      </w:r>
      <w:r w:rsidR="00F31C63" w:rsidRPr="002968EC">
        <w:rPr>
          <w:rFonts w:asciiTheme="minorHAnsi" w:hAnsiTheme="minorHAnsi" w:cs="Calibri"/>
          <w:lang w:val="mk-MK"/>
        </w:rPr>
        <w:t>О</w:t>
      </w:r>
      <w:r w:rsidR="000341DC" w:rsidRPr="002968EC">
        <w:rPr>
          <w:rFonts w:asciiTheme="minorHAnsi" w:hAnsiTheme="minorHAnsi" w:cs="Calibri"/>
          <w:lang w:val="mk-MK"/>
        </w:rPr>
        <w:t xml:space="preserve">ператорот има посебни одделенија за подршка на големите </w:t>
      </w:r>
      <w:r w:rsidR="00F31C63" w:rsidRPr="002968EC">
        <w:rPr>
          <w:rFonts w:asciiTheme="minorHAnsi" w:hAnsiTheme="minorHAnsi" w:cs="Calibri"/>
          <w:lang w:val="mk-MK"/>
        </w:rPr>
        <w:t>деловни</w:t>
      </w:r>
      <w:r w:rsidR="000341DC" w:rsidRPr="002968EC">
        <w:rPr>
          <w:rFonts w:asciiTheme="minorHAnsi" w:hAnsiTheme="minorHAnsi" w:cs="Calibri"/>
          <w:lang w:val="mk-MK"/>
        </w:rPr>
        <w:t xml:space="preserve"> корисници (</w:t>
      </w:r>
      <w:r w:rsidR="000341DC" w:rsidRPr="002968EC">
        <w:rPr>
          <w:rFonts w:asciiTheme="minorHAnsi" w:hAnsiTheme="minorHAnsi" w:cs="Calibri"/>
        </w:rPr>
        <w:t>key account)</w:t>
      </w:r>
      <w:r w:rsidR="000341DC" w:rsidRPr="002968EC">
        <w:rPr>
          <w:rFonts w:asciiTheme="minorHAnsi" w:hAnsiTheme="minorHAnsi" w:cs="Calibri"/>
          <w:lang w:val="mk-MK"/>
        </w:rPr>
        <w:t xml:space="preserve">, рокови за поправка на водовите и договори кои се поврзани со одредено ниво на </w:t>
      </w:r>
      <w:r w:rsidR="000341DC" w:rsidRPr="002968EC">
        <w:rPr>
          <w:rFonts w:asciiTheme="minorHAnsi" w:hAnsiTheme="minorHAnsi" w:cs="Calibri"/>
        </w:rPr>
        <w:t>SLA (service level agreement).</w:t>
      </w:r>
    </w:p>
    <w:p w:rsidR="00237EE2" w:rsidRPr="002968EC" w:rsidRDefault="00754D6A" w:rsidP="00781AEE">
      <w:pPr>
        <w:rPr>
          <w:rFonts w:asciiTheme="minorHAnsi" w:hAnsiTheme="minorHAnsi" w:cs="Calibri"/>
          <w:lang w:val="mk-MK"/>
        </w:rPr>
      </w:pPr>
      <w:r w:rsidRPr="002968EC">
        <w:rPr>
          <w:rFonts w:asciiTheme="minorHAnsi" w:hAnsiTheme="minorHAnsi" w:cs="Calibri"/>
          <w:lang w:val="mk-MK"/>
        </w:rPr>
        <w:t>Во временскиот период на изготвување на анализата м</w:t>
      </w:r>
      <w:r w:rsidR="00450BD1" w:rsidRPr="002968EC">
        <w:rPr>
          <w:rFonts w:asciiTheme="minorHAnsi" w:hAnsiTheme="minorHAnsi" w:cs="Calibri"/>
          <w:lang w:val="mk-MK"/>
        </w:rPr>
        <w:t xml:space="preserve">оже да се забележи дека скоро сите оператори на пазарот кои ја обезбедуваат услугата пристап, ја нудат и на резиденцијални и на </w:t>
      </w:r>
      <w:r w:rsidR="00F31C63" w:rsidRPr="002968EC">
        <w:rPr>
          <w:rFonts w:asciiTheme="minorHAnsi" w:hAnsiTheme="minorHAnsi" w:cs="Calibri"/>
          <w:lang w:val="mk-MK"/>
        </w:rPr>
        <w:t>деловни</w:t>
      </w:r>
      <w:r w:rsidR="00450BD1" w:rsidRPr="002968EC">
        <w:rPr>
          <w:rFonts w:asciiTheme="minorHAnsi" w:hAnsiTheme="minorHAnsi" w:cs="Calibri"/>
          <w:lang w:val="mk-MK"/>
        </w:rPr>
        <w:t xml:space="preserve"> корисници. </w:t>
      </w:r>
      <w:r w:rsidR="00F31C63" w:rsidRPr="002968EC">
        <w:rPr>
          <w:rFonts w:asciiTheme="minorHAnsi" w:hAnsiTheme="minorHAnsi" w:cs="Calibri"/>
          <w:lang w:val="mk-MK"/>
        </w:rPr>
        <w:t>П</w:t>
      </w:r>
      <w:r w:rsidR="00450BD1" w:rsidRPr="002968EC">
        <w:rPr>
          <w:rFonts w:asciiTheme="minorHAnsi" w:hAnsiTheme="minorHAnsi" w:cs="Calibri"/>
          <w:lang w:val="mk-MK"/>
        </w:rPr>
        <w:t>онудите</w:t>
      </w:r>
      <w:r w:rsidR="00F31C63" w:rsidRPr="002968EC">
        <w:rPr>
          <w:rFonts w:asciiTheme="minorHAnsi" w:hAnsiTheme="minorHAnsi" w:cs="Calibri"/>
          <w:lang w:val="mk-MK"/>
        </w:rPr>
        <w:t xml:space="preserve"> за деловни корисници</w:t>
      </w:r>
      <w:r w:rsidR="00450BD1" w:rsidRPr="002968EC">
        <w:rPr>
          <w:rFonts w:asciiTheme="minorHAnsi" w:hAnsiTheme="minorHAnsi" w:cs="Calibri"/>
          <w:lang w:val="mk-MK"/>
        </w:rPr>
        <w:t xml:space="preserve"> имаат тенденција да бидат повеќе прилагодливи на потребите на </w:t>
      </w:r>
      <w:r w:rsidR="00633859" w:rsidRPr="002968EC">
        <w:rPr>
          <w:rFonts w:asciiTheme="minorHAnsi" w:hAnsiTheme="minorHAnsi" w:cs="Calibri"/>
          <w:lang w:val="mk-MK"/>
        </w:rPr>
        <w:t xml:space="preserve">деловните </w:t>
      </w:r>
      <w:r w:rsidR="00450BD1" w:rsidRPr="002968EC">
        <w:rPr>
          <w:rFonts w:asciiTheme="minorHAnsi" w:hAnsiTheme="minorHAnsi" w:cs="Calibri"/>
          <w:lang w:val="mk-MK"/>
        </w:rPr>
        <w:t xml:space="preserve">корисници отколку понудите за резиденцијалните корисници. Може да постои разлика во некои дополнителни услуги кај бизнис </w:t>
      </w:r>
      <w:r w:rsidR="00902933">
        <w:rPr>
          <w:rFonts w:asciiTheme="minorHAnsi" w:hAnsiTheme="minorHAnsi" w:cs="Calibri"/>
          <w:lang w:val="mk-MK"/>
        </w:rPr>
        <w:t>понудата во смисла</w:t>
      </w:r>
      <w:r w:rsidR="004E4092" w:rsidRPr="002968EC">
        <w:rPr>
          <w:rFonts w:asciiTheme="minorHAnsi" w:hAnsiTheme="minorHAnsi" w:cs="Calibri"/>
          <w:lang w:val="mk-MK"/>
        </w:rPr>
        <w:t xml:space="preserve"> на за</w:t>
      </w:r>
      <w:r w:rsidR="00066C6D" w:rsidRPr="002968EC">
        <w:rPr>
          <w:rFonts w:asciiTheme="minorHAnsi" w:hAnsiTheme="minorHAnsi" w:cs="Calibri"/>
          <w:lang w:val="mk-MK"/>
        </w:rPr>
        <w:t>силена</w:t>
      </w:r>
      <w:r w:rsidR="004E4092" w:rsidRPr="002968EC">
        <w:rPr>
          <w:rFonts w:asciiTheme="minorHAnsi" w:hAnsiTheme="minorHAnsi" w:cs="Calibri"/>
          <w:lang w:val="mk-MK"/>
        </w:rPr>
        <w:t xml:space="preserve"> 24 часовна подршка и одржување на линија, различно време на одговор и поправки итн. </w:t>
      </w:r>
      <w:r w:rsidR="00897C4B" w:rsidRPr="002968EC">
        <w:rPr>
          <w:rFonts w:asciiTheme="minorHAnsi" w:hAnsiTheme="minorHAnsi" w:cs="Calibri"/>
          <w:lang w:val="mk-MK"/>
        </w:rPr>
        <w:t>Деловните</w:t>
      </w:r>
      <w:r w:rsidR="004E4092" w:rsidRPr="002968EC">
        <w:rPr>
          <w:rFonts w:asciiTheme="minorHAnsi" w:hAnsiTheme="minorHAnsi" w:cs="Calibri"/>
          <w:lang w:val="mk-MK"/>
        </w:rPr>
        <w:t xml:space="preserve"> понуди генерално опфаќаат добивање повеќе линии на една претплата и со една месечна сметка, повици внатре во компанијата преку централа одржувана од операторот, повеќекратни дојдовни повици истовремено на истиот број. Овие разлики би можеле да бидат разгледувани како различен пазар но само во случај кога истите би биле толку г</w:t>
      </w:r>
      <w:r w:rsidR="003B0E14" w:rsidRPr="002968EC">
        <w:rPr>
          <w:rFonts w:asciiTheme="minorHAnsi" w:hAnsiTheme="minorHAnsi" w:cs="Calibri"/>
          <w:lang w:val="mk-MK"/>
        </w:rPr>
        <w:t xml:space="preserve">олеми и различно вреднувани во </w:t>
      </w:r>
      <w:r w:rsidR="004E4092" w:rsidRPr="002968EC">
        <w:rPr>
          <w:rFonts w:asciiTheme="minorHAnsi" w:hAnsiTheme="minorHAnsi" w:cs="Calibri"/>
          <w:lang w:val="mk-MK"/>
        </w:rPr>
        <w:t xml:space="preserve">голема мера како производ диференциран од оној на резиденцијалните корисници што </w:t>
      </w:r>
      <w:r w:rsidR="003B0E14" w:rsidRPr="002968EC">
        <w:rPr>
          <w:rFonts w:asciiTheme="minorHAnsi" w:hAnsiTheme="minorHAnsi" w:cs="Calibri"/>
          <w:lang w:val="mk-MK"/>
        </w:rPr>
        <w:t>ќе има</w:t>
      </w:r>
      <w:r w:rsidR="004E4092" w:rsidRPr="002968EC">
        <w:rPr>
          <w:rFonts w:asciiTheme="minorHAnsi" w:hAnsiTheme="minorHAnsi" w:cs="Calibri"/>
          <w:lang w:val="mk-MK"/>
        </w:rPr>
        <w:t xml:space="preserve"> соодветно влијание при спроведување на </w:t>
      </w:r>
      <w:r w:rsidR="003B0E14" w:rsidRPr="002968EC">
        <w:rPr>
          <w:rFonts w:asciiTheme="minorHAnsi" w:hAnsiTheme="minorHAnsi" w:cs="Calibri"/>
          <w:lang w:val="mk-MK"/>
        </w:rPr>
        <w:t>хипотетскиот монополистички</w:t>
      </w:r>
      <w:r w:rsidR="003B0E14" w:rsidRPr="002968EC">
        <w:rPr>
          <w:rFonts w:asciiTheme="minorHAnsi" w:hAnsiTheme="minorHAnsi" w:cs="Calibri"/>
        </w:rPr>
        <w:t xml:space="preserve"> </w:t>
      </w:r>
      <w:r w:rsidR="003B0E14" w:rsidRPr="002968EC">
        <w:rPr>
          <w:rFonts w:asciiTheme="minorHAnsi" w:hAnsiTheme="minorHAnsi" w:cs="Calibri"/>
          <w:lang w:val="mk-MK"/>
        </w:rPr>
        <w:t>тест</w:t>
      </w:r>
      <w:r w:rsidR="004E4092" w:rsidRPr="002968EC">
        <w:rPr>
          <w:rFonts w:asciiTheme="minorHAnsi" w:hAnsiTheme="minorHAnsi" w:cs="Calibri"/>
          <w:lang w:val="mk-MK"/>
        </w:rPr>
        <w:t>.</w:t>
      </w:r>
    </w:p>
    <w:p w:rsidR="00BF2FE5" w:rsidRPr="002968EC" w:rsidRDefault="00167D6A" w:rsidP="00781AEE">
      <w:pPr>
        <w:rPr>
          <w:rFonts w:asciiTheme="minorHAnsi" w:hAnsiTheme="minorHAnsi" w:cs="Calibri"/>
          <w:lang w:val="mk-MK"/>
        </w:rPr>
      </w:pPr>
      <w:r w:rsidRPr="002968EC">
        <w:rPr>
          <w:rFonts w:asciiTheme="minorHAnsi" w:hAnsiTheme="minorHAnsi" w:cs="Calibri"/>
          <w:lang w:val="mk-MK"/>
        </w:rPr>
        <w:t xml:space="preserve">Голем дел од компаниите во Македонија, се рангирани како мали бизниси и не вработуваат повеќе од 10-ина вработени. Најчесто овие компании функционираат од единствена канцеларија. Барањата и потребите за фиксна линија кај овие бизниси воглавно не се разликува многу од барањата на едно домаќинство. </w:t>
      </w:r>
      <w:r w:rsidR="00066C6D" w:rsidRPr="002968EC">
        <w:rPr>
          <w:rFonts w:asciiTheme="minorHAnsi" w:hAnsiTheme="minorHAnsi" w:cs="Calibri"/>
          <w:lang w:val="mk-MK"/>
        </w:rPr>
        <w:t>Поради тоа</w:t>
      </w:r>
      <w:r w:rsidR="00053C60" w:rsidRPr="002968EC">
        <w:rPr>
          <w:rFonts w:asciiTheme="minorHAnsi" w:hAnsiTheme="minorHAnsi" w:cs="Calibri"/>
          <w:lang w:val="mk-MK"/>
        </w:rPr>
        <w:t xml:space="preserve"> </w:t>
      </w:r>
      <w:r w:rsidR="007967C2" w:rsidRPr="002968EC">
        <w:rPr>
          <w:rFonts w:asciiTheme="minorHAnsi" w:hAnsiTheme="minorHAnsi" w:cs="Calibri"/>
          <w:lang w:val="mk-MK"/>
        </w:rPr>
        <w:t>АЕК</w:t>
      </w:r>
      <w:r w:rsidR="00053C60" w:rsidRPr="002968EC">
        <w:rPr>
          <w:rFonts w:asciiTheme="minorHAnsi" w:hAnsiTheme="minorHAnsi" w:cs="Calibri"/>
          <w:lang w:val="mk-MK"/>
        </w:rPr>
        <w:t xml:space="preserve"> ќе го испитува ова влијание и разлики во однесувањето на резиденцијалните и </w:t>
      </w:r>
      <w:r w:rsidR="003B0E14" w:rsidRPr="002968EC">
        <w:rPr>
          <w:rFonts w:asciiTheme="minorHAnsi" w:hAnsiTheme="minorHAnsi" w:cs="Calibri"/>
          <w:lang w:val="mk-MK"/>
        </w:rPr>
        <w:t>деловните</w:t>
      </w:r>
      <w:r w:rsidR="00053C60" w:rsidRPr="002968EC">
        <w:rPr>
          <w:rFonts w:asciiTheme="minorHAnsi" w:hAnsiTheme="minorHAnsi" w:cs="Calibri"/>
          <w:lang w:val="mk-MK"/>
        </w:rPr>
        <w:t xml:space="preserve"> корисници на услугата </w:t>
      </w:r>
      <w:r w:rsidR="003B0E14" w:rsidRPr="002968EC">
        <w:rPr>
          <w:rFonts w:asciiTheme="minorHAnsi" w:hAnsiTheme="minorHAnsi" w:cs="Calibri"/>
          <w:lang w:val="mk-MK"/>
        </w:rPr>
        <w:t xml:space="preserve">пристап до </w:t>
      </w:r>
      <w:r w:rsidR="008A38F9" w:rsidRPr="002968EC">
        <w:rPr>
          <w:rFonts w:asciiTheme="minorHAnsi" w:hAnsiTheme="minorHAnsi" w:cs="Calibri"/>
          <w:lang w:val="mk-MK"/>
        </w:rPr>
        <w:t>јавна електронска комуникациска мрежа на фиксна локација</w:t>
      </w:r>
      <w:r w:rsidR="00053C60" w:rsidRPr="002968EC">
        <w:rPr>
          <w:rFonts w:asciiTheme="minorHAnsi" w:hAnsiTheme="minorHAnsi" w:cs="Calibri"/>
          <w:lang w:val="mk-MK"/>
        </w:rPr>
        <w:t xml:space="preserve">. Важно е да се процени дали разликите во начинот на кој домаќинствата ја користат услугата за пристап и </w:t>
      </w:r>
      <w:r w:rsidR="003B0E14" w:rsidRPr="002968EC">
        <w:rPr>
          <w:rFonts w:asciiTheme="minorHAnsi" w:hAnsiTheme="minorHAnsi" w:cs="Calibri"/>
          <w:lang w:val="mk-MK"/>
        </w:rPr>
        <w:t xml:space="preserve">деловниот корисник </w:t>
      </w:r>
      <w:r w:rsidR="00066C6D" w:rsidRPr="002968EC">
        <w:rPr>
          <w:rFonts w:asciiTheme="minorHAnsi" w:hAnsiTheme="minorHAnsi" w:cs="Calibri"/>
          <w:lang w:val="mk-MK"/>
        </w:rPr>
        <w:t>с</w:t>
      </w:r>
      <w:r w:rsidR="00053C60" w:rsidRPr="002968EC">
        <w:rPr>
          <w:rFonts w:asciiTheme="minorHAnsi" w:hAnsiTheme="minorHAnsi" w:cs="Calibri"/>
          <w:lang w:val="mk-MK"/>
        </w:rPr>
        <w:t>е значителн</w:t>
      </w:r>
      <w:r w:rsidR="00066C6D" w:rsidRPr="002968EC">
        <w:rPr>
          <w:rFonts w:asciiTheme="minorHAnsi" w:hAnsiTheme="minorHAnsi" w:cs="Calibri"/>
          <w:lang w:val="mk-MK"/>
        </w:rPr>
        <w:t>и</w:t>
      </w:r>
      <w:r w:rsidR="00053C60" w:rsidRPr="002968EC">
        <w:rPr>
          <w:rFonts w:asciiTheme="minorHAnsi" w:hAnsiTheme="minorHAnsi" w:cs="Calibri"/>
          <w:lang w:val="mk-MK"/>
        </w:rPr>
        <w:t xml:space="preserve"> што може да предизвика сместување на овие форми на пристап во различен релевантен пазар.</w:t>
      </w:r>
    </w:p>
    <w:p w:rsidR="007318B7" w:rsidRPr="002968EC" w:rsidRDefault="007318B7" w:rsidP="00781AEE">
      <w:pPr>
        <w:rPr>
          <w:rFonts w:asciiTheme="minorHAnsi" w:hAnsiTheme="minorHAnsi" w:cs="Calibri"/>
          <w:lang w:val="mk-MK"/>
        </w:rPr>
      </w:pPr>
      <w:r w:rsidRPr="002968EC">
        <w:rPr>
          <w:rFonts w:asciiTheme="minorHAnsi" w:hAnsiTheme="minorHAnsi" w:cs="Calibri"/>
          <w:lang w:val="mk-MK"/>
        </w:rPr>
        <w:t xml:space="preserve">Повеќето </w:t>
      </w:r>
      <w:r w:rsidR="0099688C" w:rsidRPr="002968EC">
        <w:rPr>
          <w:rFonts w:asciiTheme="minorHAnsi" w:hAnsiTheme="minorHAnsi" w:cs="Calibri"/>
          <w:lang w:val="mk-MK"/>
        </w:rPr>
        <w:t>деловни корисници</w:t>
      </w:r>
      <w:r w:rsidRPr="002968EC">
        <w:rPr>
          <w:rFonts w:asciiTheme="minorHAnsi" w:hAnsiTheme="minorHAnsi" w:cs="Calibri"/>
          <w:lang w:val="mk-MK"/>
        </w:rPr>
        <w:t xml:space="preserve"> побаруваат фикс</w:t>
      </w:r>
      <w:r w:rsidR="00633859" w:rsidRPr="002968EC">
        <w:rPr>
          <w:rFonts w:asciiTheme="minorHAnsi" w:hAnsiTheme="minorHAnsi" w:cs="Calibri"/>
          <w:lang w:val="mk-MK"/>
        </w:rPr>
        <w:t>е</w:t>
      </w:r>
      <w:r w:rsidRPr="002968EC">
        <w:rPr>
          <w:rFonts w:asciiTheme="minorHAnsi" w:hAnsiTheme="minorHAnsi" w:cs="Calibri"/>
          <w:lang w:val="mk-MK"/>
        </w:rPr>
        <w:t xml:space="preserve">н </w:t>
      </w:r>
      <w:r w:rsidR="00633859" w:rsidRPr="002968EC">
        <w:rPr>
          <w:rFonts w:asciiTheme="minorHAnsi" w:hAnsiTheme="minorHAnsi" w:cs="Calibri"/>
          <w:lang w:val="mk-MK"/>
        </w:rPr>
        <w:t xml:space="preserve">пристап </w:t>
      </w:r>
      <w:r w:rsidRPr="002968EC">
        <w:rPr>
          <w:rFonts w:asciiTheme="minorHAnsi" w:hAnsiTheme="minorHAnsi" w:cs="Calibri"/>
          <w:lang w:val="mk-MK"/>
        </w:rPr>
        <w:t xml:space="preserve">како примарна точка за контакт со нивните потрошувачи. Оттаму бизнисот може да биде помалку осетлив на висината на цената за </w:t>
      </w:r>
      <w:r w:rsidR="0099688C" w:rsidRPr="002968EC">
        <w:rPr>
          <w:rFonts w:asciiTheme="minorHAnsi" w:hAnsiTheme="minorHAnsi" w:cs="Calibri"/>
          <w:lang w:val="mk-MK"/>
        </w:rPr>
        <w:t xml:space="preserve">пристап до </w:t>
      </w:r>
      <w:r w:rsidR="008A38F9" w:rsidRPr="002968EC">
        <w:rPr>
          <w:rFonts w:asciiTheme="minorHAnsi" w:hAnsiTheme="minorHAnsi" w:cs="Calibri"/>
          <w:lang w:val="mk-MK"/>
        </w:rPr>
        <w:t>јавна електронска комуникациска мрежа на фиксна локација</w:t>
      </w:r>
      <w:r w:rsidRPr="002968EC">
        <w:rPr>
          <w:rFonts w:asciiTheme="minorHAnsi" w:hAnsiTheme="minorHAnsi" w:cs="Calibri"/>
          <w:lang w:val="mk-MK"/>
        </w:rPr>
        <w:t>.</w:t>
      </w:r>
      <w:r w:rsidR="00443709" w:rsidRPr="002968EC">
        <w:rPr>
          <w:rFonts w:asciiTheme="minorHAnsi" w:hAnsiTheme="minorHAnsi" w:cs="Calibri"/>
          <w:lang w:val="mk-MK"/>
        </w:rPr>
        <w:t xml:space="preserve"> </w:t>
      </w:r>
      <w:r w:rsidR="00F2239B" w:rsidRPr="002968EC">
        <w:rPr>
          <w:rFonts w:asciiTheme="minorHAnsi" w:hAnsiTheme="minorHAnsi" w:cs="Calibri"/>
          <w:lang w:val="mk-MK"/>
        </w:rPr>
        <w:t>П</w:t>
      </w:r>
      <w:r w:rsidR="00443709" w:rsidRPr="002968EC">
        <w:rPr>
          <w:rFonts w:asciiTheme="minorHAnsi" w:hAnsiTheme="minorHAnsi" w:cs="Calibri"/>
          <w:lang w:val="mk-MK"/>
        </w:rPr>
        <w:t>остои разлика</w:t>
      </w:r>
      <w:r w:rsidR="00F2239B" w:rsidRPr="002968EC">
        <w:rPr>
          <w:rFonts w:asciiTheme="minorHAnsi" w:hAnsiTheme="minorHAnsi" w:cs="Calibri"/>
          <w:lang w:val="mk-MK"/>
        </w:rPr>
        <w:t xml:space="preserve"> и</w:t>
      </w:r>
      <w:r w:rsidR="00443709" w:rsidRPr="002968EC">
        <w:rPr>
          <w:rFonts w:asciiTheme="minorHAnsi" w:hAnsiTheme="minorHAnsi" w:cs="Calibri"/>
          <w:lang w:val="mk-MK"/>
        </w:rPr>
        <w:t xml:space="preserve"> од аспект на повиците кон мобилни мрежи</w:t>
      </w:r>
      <w:r w:rsidR="00F2239B" w:rsidRPr="002968EC">
        <w:rPr>
          <w:rFonts w:asciiTheme="minorHAnsi" w:hAnsiTheme="minorHAnsi" w:cs="Calibri"/>
          <w:lang w:val="mk-MK"/>
        </w:rPr>
        <w:t>, така што деловните корисници</w:t>
      </w:r>
      <w:r w:rsidR="00443709" w:rsidRPr="002968EC">
        <w:rPr>
          <w:rFonts w:asciiTheme="minorHAnsi" w:hAnsiTheme="minorHAnsi" w:cs="Calibri"/>
          <w:lang w:val="mk-MK"/>
        </w:rPr>
        <w:t xml:space="preserve"> многу почесто повикуваат броеви</w:t>
      </w:r>
      <w:r w:rsidR="00F2239B" w:rsidRPr="002968EC">
        <w:rPr>
          <w:rFonts w:asciiTheme="minorHAnsi" w:hAnsiTheme="minorHAnsi" w:cs="Calibri"/>
          <w:lang w:val="mk-MK"/>
        </w:rPr>
        <w:t xml:space="preserve"> во мобилни мрежи</w:t>
      </w:r>
      <w:r w:rsidR="00443709" w:rsidRPr="002968EC">
        <w:rPr>
          <w:rFonts w:asciiTheme="minorHAnsi" w:hAnsiTheme="minorHAnsi" w:cs="Calibri"/>
          <w:lang w:val="mk-MK"/>
        </w:rPr>
        <w:t xml:space="preserve"> отколку што тоа го прават домаќинствата. </w:t>
      </w:r>
    </w:p>
    <w:p w:rsidR="00443709" w:rsidRPr="002968EC" w:rsidRDefault="00443709" w:rsidP="00781AEE">
      <w:pPr>
        <w:rPr>
          <w:rFonts w:asciiTheme="minorHAnsi" w:hAnsiTheme="minorHAnsi" w:cs="Calibri"/>
          <w:lang w:val="mk-MK"/>
        </w:rPr>
      </w:pPr>
      <w:r w:rsidRPr="002968EC">
        <w:rPr>
          <w:rFonts w:asciiTheme="minorHAnsi" w:hAnsiTheme="minorHAnsi" w:cs="Calibri"/>
          <w:lang w:val="mk-MK"/>
        </w:rPr>
        <w:t xml:space="preserve">Покрај </w:t>
      </w:r>
      <w:r w:rsidR="008A19C2" w:rsidRPr="002968EC">
        <w:rPr>
          <w:rFonts w:asciiTheme="minorHAnsi" w:hAnsiTheme="minorHAnsi" w:cs="Calibri"/>
          <w:lang w:val="mk-MK"/>
        </w:rPr>
        <w:t>ов</w:t>
      </w:r>
      <w:r w:rsidR="00066C6D" w:rsidRPr="002968EC">
        <w:rPr>
          <w:rFonts w:asciiTheme="minorHAnsi" w:hAnsiTheme="minorHAnsi" w:cs="Calibri"/>
          <w:lang w:val="mk-MK"/>
        </w:rPr>
        <w:t>ие разлики, постојат доста иден</w:t>
      </w:r>
      <w:r w:rsidR="008A19C2" w:rsidRPr="002968EC">
        <w:rPr>
          <w:rFonts w:asciiTheme="minorHAnsi" w:hAnsiTheme="minorHAnsi" w:cs="Calibri"/>
          <w:lang w:val="mk-MK"/>
        </w:rPr>
        <w:t>т</w:t>
      </w:r>
      <w:r w:rsidR="00066C6D" w:rsidRPr="002968EC">
        <w:rPr>
          <w:rFonts w:asciiTheme="minorHAnsi" w:hAnsiTheme="minorHAnsi" w:cs="Calibri"/>
          <w:lang w:val="mk-MK"/>
        </w:rPr>
        <w:t>и</w:t>
      </w:r>
      <w:r w:rsidR="008A19C2" w:rsidRPr="002968EC">
        <w:rPr>
          <w:rFonts w:asciiTheme="minorHAnsi" w:hAnsiTheme="minorHAnsi" w:cs="Calibri"/>
          <w:lang w:val="mk-MK"/>
        </w:rPr>
        <w:t xml:space="preserve">чни причини за начинот на кој се вреднува и користи услугата за пристап од деловните и од резиденцијалните корисници. Услугата за пристап типично се користи како платформа за обезбедување на  </w:t>
      </w:r>
      <w:r w:rsidR="00531553" w:rsidRPr="002968EC">
        <w:rPr>
          <w:rFonts w:asciiTheme="minorHAnsi" w:hAnsiTheme="minorHAnsi" w:cs="Calibri"/>
          <w:lang w:val="mk-MK"/>
        </w:rPr>
        <w:t>јавно достапни телефонски услуги (</w:t>
      </w:r>
      <w:r w:rsidR="008A19C2" w:rsidRPr="002968EC">
        <w:rPr>
          <w:rFonts w:asciiTheme="minorHAnsi" w:hAnsiTheme="minorHAnsi" w:cs="Calibri"/>
          <w:lang w:val="mk-MK"/>
        </w:rPr>
        <w:t>фиксни</w:t>
      </w:r>
      <w:r w:rsidR="00531553" w:rsidRPr="002968EC">
        <w:rPr>
          <w:rFonts w:asciiTheme="minorHAnsi" w:hAnsiTheme="minorHAnsi" w:cs="Calibri"/>
          <w:lang w:val="mk-MK"/>
        </w:rPr>
        <w:t>)</w:t>
      </w:r>
      <w:r w:rsidR="008A19C2" w:rsidRPr="002968EC">
        <w:rPr>
          <w:rFonts w:asciiTheme="minorHAnsi" w:hAnsiTheme="minorHAnsi" w:cs="Calibri"/>
          <w:lang w:val="mk-MK"/>
        </w:rPr>
        <w:t xml:space="preserve">. Останати услуги како на пример </w:t>
      </w:r>
      <w:r w:rsidR="00F2239B" w:rsidRPr="002968EC">
        <w:rPr>
          <w:rFonts w:asciiTheme="minorHAnsi" w:hAnsiTheme="minorHAnsi" w:cs="Calibri"/>
          <w:lang w:val="mk-MK"/>
        </w:rPr>
        <w:t>широкопојасен интернет пристап</w:t>
      </w:r>
      <w:r w:rsidR="008A19C2" w:rsidRPr="002968EC">
        <w:rPr>
          <w:rFonts w:asciiTheme="minorHAnsi" w:hAnsiTheme="minorHAnsi" w:cs="Calibri"/>
          <w:lang w:val="mk-MK"/>
        </w:rPr>
        <w:t xml:space="preserve"> се користат </w:t>
      </w:r>
      <w:r w:rsidR="008A19C2" w:rsidRPr="002968EC">
        <w:rPr>
          <w:rFonts w:asciiTheme="minorHAnsi" w:hAnsiTheme="minorHAnsi" w:cs="Calibri"/>
          <w:lang w:val="mk-MK"/>
        </w:rPr>
        <w:lastRenderedPageBreak/>
        <w:t>како дополнителни</w:t>
      </w:r>
      <w:r w:rsidR="00F2239B" w:rsidRPr="002968EC">
        <w:rPr>
          <w:rFonts w:asciiTheme="minorHAnsi" w:hAnsiTheme="minorHAnsi" w:cs="Calibri"/>
          <w:lang w:val="mk-MK"/>
        </w:rPr>
        <w:t xml:space="preserve"> услуги</w:t>
      </w:r>
      <w:r w:rsidR="008A19C2" w:rsidRPr="002968EC">
        <w:rPr>
          <w:rFonts w:asciiTheme="minorHAnsi" w:hAnsiTheme="minorHAnsi" w:cs="Calibri"/>
          <w:lang w:val="mk-MK"/>
        </w:rPr>
        <w:t xml:space="preserve"> или најчесто како дел од пакет. И деловните и резиденцијални</w:t>
      </w:r>
      <w:r w:rsidR="00902933">
        <w:rPr>
          <w:rFonts w:asciiTheme="minorHAnsi" w:hAnsiTheme="minorHAnsi" w:cs="Calibri"/>
          <w:lang w:val="mk-MK"/>
        </w:rPr>
        <w:t>те</w:t>
      </w:r>
      <w:r w:rsidR="008A19C2" w:rsidRPr="002968EC">
        <w:rPr>
          <w:rFonts w:asciiTheme="minorHAnsi" w:hAnsiTheme="minorHAnsi" w:cs="Calibri"/>
          <w:lang w:val="mk-MK"/>
        </w:rPr>
        <w:t xml:space="preserve"> </w:t>
      </w:r>
      <w:r w:rsidR="00F2239B" w:rsidRPr="002968EC">
        <w:rPr>
          <w:rFonts w:asciiTheme="minorHAnsi" w:hAnsiTheme="minorHAnsi" w:cs="Calibri"/>
          <w:lang w:val="mk-MK"/>
        </w:rPr>
        <w:t>корисници</w:t>
      </w:r>
      <w:r w:rsidR="008A19C2" w:rsidRPr="002968EC">
        <w:rPr>
          <w:rFonts w:asciiTheme="minorHAnsi" w:hAnsiTheme="minorHAnsi" w:cs="Calibri"/>
          <w:lang w:val="mk-MK"/>
        </w:rPr>
        <w:t xml:space="preserve"> вреднуваат исти фактори при изборот на оператор</w:t>
      </w:r>
      <w:r w:rsidR="00531553" w:rsidRPr="002968EC">
        <w:rPr>
          <w:rFonts w:asciiTheme="minorHAnsi" w:hAnsiTheme="minorHAnsi" w:cs="Calibri"/>
          <w:lang w:val="mk-MK"/>
        </w:rPr>
        <w:t>от</w:t>
      </w:r>
      <w:r w:rsidR="008A19C2" w:rsidRPr="002968EC">
        <w:rPr>
          <w:rFonts w:asciiTheme="minorHAnsi" w:hAnsiTheme="minorHAnsi" w:cs="Calibri"/>
          <w:lang w:val="mk-MK"/>
        </w:rPr>
        <w:t xml:space="preserve"> а тоа се, трошок за</w:t>
      </w:r>
      <w:r w:rsidR="00F2239B" w:rsidRPr="002968EC">
        <w:rPr>
          <w:rFonts w:asciiTheme="minorHAnsi" w:hAnsiTheme="minorHAnsi" w:cs="Calibri"/>
          <w:lang w:val="mk-MK"/>
        </w:rPr>
        <w:t xml:space="preserve"> месечна</w:t>
      </w:r>
      <w:r w:rsidR="008A19C2" w:rsidRPr="002968EC">
        <w:rPr>
          <w:rFonts w:asciiTheme="minorHAnsi" w:hAnsiTheme="minorHAnsi" w:cs="Calibri"/>
          <w:lang w:val="mk-MK"/>
        </w:rPr>
        <w:t xml:space="preserve"> претплата, трошоците за </w:t>
      </w:r>
      <w:r w:rsidR="00B81F6A" w:rsidRPr="002968EC">
        <w:rPr>
          <w:rFonts w:asciiTheme="minorHAnsi" w:hAnsiTheme="minorHAnsi" w:cs="Calibri"/>
          <w:lang w:val="mk-MK"/>
        </w:rPr>
        <w:t>остварува</w:t>
      </w:r>
      <w:r w:rsidR="008A19C2" w:rsidRPr="002968EC">
        <w:rPr>
          <w:rFonts w:asciiTheme="minorHAnsi" w:hAnsiTheme="minorHAnsi" w:cs="Calibri"/>
          <w:lang w:val="mk-MK"/>
        </w:rPr>
        <w:t>ње на повик</w:t>
      </w:r>
      <w:r w:rsidR="00066C6D" w:rsidRPr="002968EC">
        <w:rPr>
          <w:rFonts w:asciiTheme="minorHAnsi" w:hAnsiTheme="minorHAnsi" w:cs="Calibri"/>
          <w:lang w:val="mk-MK"/>
        </w:rPr>
        <w:t xml:space="preserve"> и</w:t>
      </w:r>
      <w:r w:rsidR="002B4D68" w:rsidRPr="002968EC">
        <w:rPr>
          <w:rFonts w:asciiTheme="minorHAnsi" w:hAnsiTheme="minorHAnsi" w:cs="Calibri"/>
          <w:lang w:val="mk-MK"/>
        </w:rPr>
        <w:t xml:space="preserve"> вреднувањето на пакетот од у</w:t>
      </w:r>
      <w:r w:rsidR="008A19C2" w:rsidRPr="002968EC">
        <w:rPr>
          <w:rFonts w:asciiTheme="minorHAnsi" w:hAnsiTheme="minorHAnsi" w:cs="Calibri"/>
          <w:lang w:val="mk-MK"/>
        </w:rPr>
        <w:t>с</w:t>
      </w:r>
      <w:r w:rsidR="002B4D68" w:rsidRPr="002968EC">
        <w:rPr>
          <w:rFonts w:asciiTheme="minorHAnsi" w:hAnsiTheme="minorHAnsi" w:cs="Calibri"/>
          <w:lang w:val="mk-MK"/>
        </w:rPr>
        <w:t>л</w:t>
      </w:r>
      <w:r w:rsidR="008A19C2" w:rsidRPr="002968EC">
        <w:rPr>
          <w:rFonts w:asciiTheme="minorHAnsi" w:hAnsiTheme="minorHAnsi" w:cs="Calibri"/>
          <w:lang w:val="mk-MK"/>
        </w:rPr>
        <w:t>уги што се нуди.</w:t>
      </w:r>
    </w:p>
    <w:p w:rsidR="008A19C2" w:rsidRPr="002968EC" w:rsidRDefault="008A19C2" w:rsidP="00781AEE">
      <w:pPr>
        <w:rPr>
          <w:rFonts w:asciiTheme="minorHAnsi" w:hAnsiTheme="minorHAnsi" w:cs="Calibri"/>
          <w:lang w:val="mk-MK"/>
        </w:rPr>
      </w:pPr>
      <w:r w:rsidRPr="002968EC">
        <w:rPr>
          <w:rFonts w:asciiTheme="minorHAnsi" w:hAnsiTheme="minorHAnsi" w:cs="Calibri"/>
          <w:lang w:val="mk-MK"/>
        </w:rPr>
        <w:t xml:space="preserve">Прилагодувањето на договорот на определени посебни барања на деловниот корисник не е секогаш случај. И од аспект на договорот голем дел од </w:t>
      </w:r>
      <w:r w:rsidR="00B81F6A" w:rsidRPr="002968EC">
        <w:rPr>
          <w:rFonts w:asciiTheme="minorHAnsi" w:hAnsiTheme="minorHAnsi" w:cs="Calibri"/>
          <w:lang w:val="mk-MK"/>
        </w:rPr>
        <w:t>деловните</w:t>
      </w:r>
      <w:r w:rsidRPr="002968EC">
        <w:rPr>
          <w:rFonts w:asciiTheme="minorHAnsi" w:hAnsiTheme="minorHAnsi" w:cs="Calibri"/>
          <w:lang w:val="mk-MK"/>
        </w:rPr>
        <w:t xml:space="preserve"> корисници го користат стандардниот претплатнички договор што е користен и од страна на резиденцијалните корисници. Во Македонија постојат огромен број на мали претпријатија кои што имаат слични потреби за комуникациски услуги со домаќинствата.</w:t>
      </w:r>
      <w:r w:rsidR="002B4D68" w:rsidRPr="002968EC">
        <w:rPr>
          <w:rFonts w:asciiTheme="minorHAnsi" w:hAnsiTheme="minorHAnsi" w:cs="Calibri"/>
          <w:lang w:val="mk-MK"/>
        </w:rPr>
        <w:t xml:space="preserve">. </w:t>
      </w:r>
      <w:r w:rsidRPr="002968EC">
        <w:rPr>
          <w:rFonts w:asciiTheme="minorHAnsi" w:hAnsiTheme="minorHAnsi" w:cs="Calibri"/>
          <w:lang w:val="mk-MK"/>
        </w:rPr>
        <w:t xml:space="preserve">Оттука и не постои значителна разлика во договорите помеѓу крајните корисници на услугата за </w:t>
      </w:r>
      <w:r w:rsidR="00B81F6A" w:rsidRPr="002968EC">
        <w:rPr>
          <w:rFonts w:asciiTheme="minorHAnsi" w:hAnsiTheme="minorHAnsi" w:cs="Calibri"/>
          <w:lang w:val="mk-MK"/>
        </w:rPr>
        <w:t xml:space="preserve">пристап до </w:t>
      </w:r>
      <w:r w:rsidR="008A38F9" w:rsidRPr="002968EC">
        <w:rPr>
          <w:rFonts w:asciiTheme="minorHAnsi" w:hAnsiTheme="minorHAnsi" w:cs="Calibri"/>
          <w:lang w:val="mk-MK"/>
        </w:rPr>
        <w:t>јавна електронска комуникациска мрежа на фиксна локација</w:t>
      </w:r>
      <w:r w:rsidRPr="002968EC">
        <w:rPr>
          <w:rFonts w:asciiTheme="minorHAnsi" w:hAnsiTheme="minorHAnsi" w:cs="Calibri"/>
          <w:lang w:val="mk-MK"/>
        </w:rPr>
        <w:t>.</w:t>
      </w:r>
    </w:p>
    <w:p w:rsidR="00DC45ED" w:rsidRPr="002968EC" w:rsidRDefault="008A19C2" w:rsidP="00157D97">
      <w:pPr>
        <w:rPr>
          <w:rFonts w:asciiTheme="minorHAnsi" w:hAnsiTheme="minorHAnsi" w:cs="Calibri"/>
          <w:lang w:val="mk-MK"/>
        </w:rPr>
      </w:pPr>
      <w:r w:rsidRPr="002968EC">
        <w:rPr>
          <w:rFonts w:asciiTheme="minorHAnsi" w:hAnsiTheme="minorHAnsi" w:cs="Calibri"/>
          <w:lang w:val="mk-MK"/>
        </w:rPr>
        <w:t xml:space="preserve">Разлики помеѓу овие две форми на услуги, како и појава на некаков прекин во супституцијата помеѓу нив може да се појават само кога станува збор за функционалност на определена форма на пристап. Во определени случаеви </w:t>
      </w:r>
      <w:r w:rsidR="00B81F6A" w:rsidRPr="002968EC">
        <w:rPr>
          <w:rFonts w:asciiTheme="minorHAnsi" w:hAnsiTheme="minorHAnsi" w:cs="Calibri"/>
          <w:lang w:val="mk-MK"/>
        </w:rPr>
        <w:t xml:space="preserve">деловните </w:t>
      </w:r>
      <w:r w:rsidRPr="002968EC">
        <w:rPr>
          <w:rFonts w:asciiTheme="minorHAnsi" w:hAnsiTheme="minorHAnsi" w:cs="Calibri"/>
          <w:lang w:val="mk-MK"/>
        </w:rPr>
        <w:t xml:space="preserve">корисници може да побараат </w:t>
      </w:r>
      <w:r w:rsidR="00531553" w:rsidRPr="002968EC">
        <w:rPr>
          <w:rFonts w:asciiTheme="minorHAnsi" w:hAnsiTheme="minorHAnsi" w:cs="Calibri"/>
          <w:lang w:val="mk-MK"/>
        </w:rPr>
        <w:t xml:space="preserve">телефонска линија со повеќе говорни канали </w:t>
      </w:r>
      <w:r w:rsidR="006D78C3" w:rsidRPr="002968EC">
        <w:rPr>
          <w:rFonts w:asciiTheme="minorHAnsi" w:hAnsiTheme="minorHAnsi" w:cs="Calibri"/>
          <w:lang w:val="mk-MK"/>
        </w:rPr>
        <w:t xml:space="preserve">. </w:t>
      </w:r>
    </w:p>
    <w:p w:rsidR="00164939" w:rsidRPr="002968EC" w:rsidRDefault="00531553" w:rsidP="00781AEE">
      <w:pPr>
        <w:rPr>
          <w:rFonts w:asciiTheme="minorHAnsi" w:hAnsiTheme="minorHAnsi" w:cs="Calibri"/>
          <w:lang w:val="mk-MK"/>
        </w:rPr>
      </w:pPr>
      <w:r w:rsidRPr="002968EC">
        <w:rPr>
          <w:rFonts w:asciiTheme="minorHAnsi" w:hAnsiTheme="minorHAnsi" w:cs="Calibri"/>
          <w:lang w:val="mk-MK"/>
        </w:rPr>
        <w:t>Износот на месечна претплата за услугата за пристап до телефонска линија со еден говорен канал е идентична</w:t>
      </w:r>
      <w:r w:rsidR="00FF0866" w:rsidRPr="002968EC">
        <w:rPr>
          <w:rFonts w:asciiTheme="minorHAnsi" w:hAnsiTheme="minorHAnsi" w:cs="Calibri"/>
          <w:lang w:val="mk-MK"/>
        </w:rPr>
        <w:t>,</w:t>
      </w:r>
      <w:r w:rsidRPr="002968EC">
        <w:rPr>
          <w:rFonts w:asciiTheme="minorHAnsi" w:hAnsiTheme="minorHAnsi" w:cs="Calibri"/>
          <w:lang w:val="mk-MK"/>
        </w:rPr>
        <w:t xml:space="preserve"> независно од тоа дали ја користи резиденцијален или деловен краен корисник и истата изнесува 399 мкд.  Понатаму, операторите не прават разлика помеѓу цената за пристап до јавна електронска комуникациска мрежа од аспект на корисникот. Значи и резиденцијален и деловен краен корисник може да земе телефонска линија со еден или повеќе говорни канали и не би имал разлика во цената </w:t>
      </w:r>
      <w:r w:rsidR="00FF0866" w:rsidRPr="002968EC">
        <w:rPr>
          <w:rFonts w:asciiTheme="minorHAnsi" w:hAnsiTheme="minorHAnsi" w:cs="Calibri"/>
          <w:lang w:val="mk-MK"/>
        </w:rPr>
        <w:t xml:space="preserve">за пристап </w:t>
      </w:r>
      <w:r w:rsidRPr="002968EC">
        <w:rPr>
          <w:rFonts w:asciiTheme="minorHAnsi" w:hAnsiTheme="minorHAnsi" w:cs="Calibri"/>
          <w:lang w:val="mk-MK"/>
        </w:rPr>
        <w:t xml:space="preserve">само поради тоа што е деловен корисник. </w:t>
      </w:r>
    </w:p>
    <w:p w:rsidR="003C6D87" w:rsidRPr="002968EC" w:rsidRDefault="00E16DDA" w:rsidP="00781AEE">
      <w:pPr>
        <w:rPr>
          <w:rFonts w:asciiTheme="minorHAnsi" w:hAnsiTheme="minorHAnsi" w:cs="Calibri"/>
          <w:lang w:val="mk-MK"/>
        </w:rPr>
      </w:pPr>
      <w:r w:rsidRPr="002968EC">
        <w:rPr>
          <w:rFonts w:asciiTheme="minorHAnsi" w:hAnsiTheme="minorHAnsi" w:cs="Calibri"/>
          <w:lang w:val="mk-MK"/>
        </w:rPr>
        <w:t>Повисоката цена</w:t>
      </w:r>
      <w:r w:rsidR="003C6D87" w:rsidRPr="002968EC">
        <w:rPr>
          <w:rFonts w:asciiTheme="minorHAnsi" w:hAnsiTheme="minorHAnsi" w:cs="Calibri"/>
          <w:lang w:val="mk-MK"/>
        </w:rPr>
        <w:t xml:space="preserve"> која постои кај </w:t>
      </w:r>
      <w:r w:rsidR="001C064F" w:rsidRPr="002968EC">
        <w:rPr>
          <w:rFonts w:asciiTheme="minorHAnsi" w:hAnsiTheme="minorHAnsi" w:cs="Calibri"/>
          <w:lang w:val="mk-MK"/>
        </w:rPr>
        <w:t>пакетите за деловни корисници</w:t>
      </w:r>
      <w:r w:rsidR="003C6D87" w:rsidRPr="002968EC">
        <w:rPr>
          <w:rFonts w:asciiTheme="minorHAnsi" w:hAnsiTheme="minorHAnsi" w:cs="Calibri"/>
          <w:lang w:val="mk-MK"/>
        </w:rPr>
        <w:t xml:space="preserve"> се </w:t>
      </w:r>
      <w:r w:rsidR="001C064F" w:rsidRPr="002968EC">
        <w:rPr>
          <w:rFonts w:asciiTheme="minorHAnsi" w:hAnsiTheme="minorHAnsi" w:cs="Calibri"/>
          <w:lang w:val="mk-MK"/>
        </w:rPr>
        <w:t>оправдува</w:t>
      </w:r>
      <w:r w:rsidR="003C6D87" w:rsidRPr="002968EC">
        <w:rPr>
          <w:rFonts w:asciiTheme="minorHAnsi" w:hAnsiTheme="minorHAnsi" w:cs="Calibri"/>
          <w:lang w:val="mk-MK"/>
        </w:rPr>
        <w:t xml:space="preserve"> со дополнителна функционалност и </w:t>
      </w:r>
      <w:r w:rsidR="001C064F" w:rsidRPr="002968EC">
        <w:rPr>
          <w:rFonts w:asciiTheme="minorHAnsi" w:hAnsiTheme="minorHAnsi" w:cs="Calibri"/>
          <w:lang w:val="mk-MK"/>
        </w:rPr>
        <w:t xml:space="preserve">услуги </w:t>
      </w:r>
      <w:r w:rsidR="003C6D87" w:rsidRPr="002968EC">
        <w:rPr>
          <w:rFonts w:asciiTheme="minorHAnsi" w:hAnsiTheme="minorHAnsi" w:cs="Calibri"/>
          <w:lang w:val="mk-MK"/>
        </w:rPr>
        <w:t xml:space="preserve">кои ги добива корисникот. Најчесто волуменот на минути, чекање на повик, проследување на повик, конференциска врска, идентификација на повикувач, се услуги кои се повеќе користени од </w:t>
      </w:r>
      <w:r w:rsidRPr="002968EC">
        <w:rPr>
          <w:rFonts w:asciiTheme="minorHAnsi" w:hAnsiTheme="minorHAnsi" w:cs="Calibri"/>
          <w:lang w:val="mk-MK"/>
        </w:rPr>
        <w:t>деловните</w:t>
      </w:r>
      <w:r w:rsidR="003C6D87" w:rsidRPr="002968EC">
        <w:rPr>
          <w:rFonts w:asciiTheme="minorHAnsi" w:hAnsiTheme="minorHAnsi" w:cs="Calibri"/>
          <w:lang w:val="mk-MK"/>
        </w:rPr>
        <w:t xml:space="preserve"> корисници.</w:t>
      </w:r>
      <w:r w:rsidR="001C103E" w:rsidRPr="002968EC">
        <w:rPr>
          <w:rFonts w:asciiTheme="minorHAnsi" w:hAnsiTheme="minorHAnsi" w:cs="Calibri"/>
          <w:lang w:val="mk-MK"/>
        </w:rPr>
        <w:t xml:space="preserve"> Операторите </w:t>
      </w:r>
      <w:r w:rsidR="002407F8" w:rsidRPr="002968EC">
        <w:rPr>
          <w:rFonts w:asciiTheme="minorHAnsi" w:hAnsiTheme="minorHAnsi" w:cs="Calibri"/>
          <w:lang w:val="mk-MK"/>
        </w:rPr>
        <w:t xml:space="preserve">нудат </w:t>
      </w:r>
      <w:r w:rsidR="001C103E" w:rsidRPr="002968EC">
        <w:rPr>
          <w:rFonts w:asciiTheme="minorHAnsi" w:hAnsiTheme="minorHAnsi" w:cs="Calibri"/>
          <w:lang w:val="mk-MK"/>
        </w:rPr>
        <w:t xml:space="preserve">малку поразлична услуга односно пакет на услуга за поголемите бизниси кои имаат специфични барања. </w:t>
      </w:r>
      <w:r w:rsidRPr="002968EC">
        <w:rPr>
          <w:rFonts w:asciiTheme="minorHAnsi" w:hAnsiTheme="minorHAnsi" w:cs="Calibri"/>
          <w:lang w:val="mk-MK"/>
        </w:rPr>
        <w:t>Деловнит</w:t>
      </w:r>
      <w:r w:rsidR="001C103E" w:rsidRPr="002968EC">
        <w:rPr>
          <w:rFonts w:asciiTheme="minorHAnsi" w:hAnsiTheme="minorHAnsi" w:cs="Calibri"/>
          <w:lang w:val="mk-MK"/>
        </w:rPr>
        <w:t>е</w:t>
      </w:r>
      <w:r w:rsidRPr="002968EC">
        <w:rPr>
          <w:rFonts w:asciiTheme="minorHAnsi" w:hAnsiTheme="minorHAnsi" w:cs="Calibri"/>
          <w:lang w:val="mk-MK"/>
        </w:rPr>
        <w:t xml:space="preserve"> корисници</w:t>
      </w:r>
      <w:r w:rsidR="001C103E" w:rsidRPr="002968EC">
        <w:rPr>
          <w:rFonts w:asciiTheme="minorHAnsi" w:hAnsiTheme="minorHAnsi" w:cs="Calibri"/>
          <w:lang w:val="mk-MK"/>
        </w:rPr>
        <w:t xml:space="preserve"> може да купуваат </w:t>
      </w:r>
      <w:r w:rsidR="00CA0398" w:rsidRPr="002968EC">
        <w:rPr>
          <w:rFonts w:asciiTheme="minorHAnsi" w:hAnsiTheme="minorHAnsi" w:cs="Calibri"/>
          <w:lang w:val="mk-MK"/>
        </w:rPr>
        <w:t>пристап до телефонска линија со повеќе говорни канали</w:t>
      </w:r>
      <w:r w:rsidR="00CE7F32">
        <w:rPr>
          <w:rFonts w:asciiTheme="minorHAnsi" w:hAnsiTheme="minorHAnsi" w:cs="Calibri"/>
          <w:lang w:val="mk-MK"/>
        </w:rPr>
        <w:t xml:space="preserve"> </w:t>
      </w:r>
      <w:r w:rsidR="003950C2" w:rsidRPr="002968EC">
        <w:rPr>
          <w:rFonts w:asciiTheme="minorHAnsi" w:hAnsiTheme="minorHAnsi" w:cs="Calibri"/>
          <w:lang w:val="mk-MK"/>
        </w:rPr>
        <w:t>како и дополнителни у</w:t>
      </w:r>
      <w:r w:rsidR="001C103E" w:rsidRPr="002968EC">
        <w:rPr>
          <w:rFonts w:asciiTheme="minorHAnsi" w:hAnsiTheme="minorHAnsi" w:cs="Calibri"/>
          <w:lang w:val="mk-MK"/>
        </w:rPr>
        <w:t>с</w:t>
      </w:r>
      <w:r w:rsidR="003950C2" w:rsidRPr="002968EC">
        <w:rPr>
          <w:rFonts w:asciiTheme="minorHAnsi" w:hAnsiTheme="minorHAnsi" w:cs="Calibri"/>
          <w:lang w:val="mk-MK"/>
        </w:rPr>
        <w:t>л</w:t>
      </w:r>
      <w:r w:rsidR="001C103E" w:rsidRPr="002968EC">
        <w:rPr>
          <w:rFonts w:asciiTheme="minorHAnsi" w:hAnsiTheme="minorHAnsi" w:cs="Calibri"/>
          <w:lang w:val="mk-MK"/>
        </w:rPr>
        <w:t>уги како виртуелна приватна мрежа</w:t>
      </w:r>
      <w:r w:rsidR="001C103E" w:rsidRPr="002968EC">
        <w:rPr>
          <w:rFonts w:asciiTheme="minorHAnsi" w:hAnsiTheme="minorHAnsi" w:cs="Calibri"/>
        </w:rPr>
        <w:t xml:space="preserve"> “virtual private network-VPN”.</w:t>
      </w:r>
      <w:r w:rsidR="001C103E" w:rsidRPr="002968EC">
        <w:rPr>
          <w:rFonts w:asciiTheme="minorHAnsi" w:hAnsiTheme="minorHAnsi" w:cs="Calibri"/>
          <w:lang w:val="mk-MK"/>
        </w:rPr>
        <w:t xml:space="preserve"> Дополнително и изнајмените линии и безжичните линкови се купувани од страна на деловните единици како форма на пристап до мрежата на операторот заради остварување на пренос на податоци. Овие форми на пристап имаат сосема различен сет на карактеристики на </w:t>
      </w:r>
      <w:r w:rsidR="00362518" w:rsidRPr="002968EC">
        <w:rPr>
          <w:rFonts w:asciiTheme="minorHAnsi" w:hAnsiTheme="minorHAnsi" w:cs="Calibri"/>
          <w:lang w:val="mk-MK"/>
        </w:rPr>
        <w:t>услугата</w:t>
      </w:r>
      <w:r w:rsidR="001C103E" w:rsidRPr="002968EC">
        <w:rPr>
          <w:rFonts w:asciiTheme="minorHAnsi" w:hAnsiTheme="minorHAnsi" w:cs="Calibri"/>
          <w:lang w:val="mk-MK"/>
        </w:rPr>
        <w:t xml:space="preserve"> од основната услуга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B0698A" w:rsidRPr="002968EC">
        <w:rPr>
          <w:rFonts w:asciiTheme="minorHAnsi" w:hAnsiTheme="minorHAnsi" w:cs="Calibri"/>
          <w:lang w:val="mk-MK"/>
        </w:rPr>
        <w:t>.</w:t>
      </w:r>
    </w:p>
    <w:p w:rsidR="00387413" w:rsidRPr="002968EC" w:rsidRDefault="001E6321" w:rsidP="00781AEE">
      <w:pPr>
        <w:rPr>
          <w:rFonts w:asciiTheme="minorHAnsi" w:hAnsiTheme="minorHAnsi" w:cs="Calibri"/>
          <w:lang w:val="mk-MK"/>
        </w:rPr>
      </w:pPr>
      <w:r w:rsidRPr="002968EC">
        <w:rPr>
          <w:rFonts w:asciiTheme="minorHAnsi" w:hAnsiTheme="minorHAnsi" w:cs="Calibri"/>
          <w:lang w:val="mk-MK"/>
        </w:rPr>
        <w:t xml:space="preserve">Тргнувајќи од </w:t>
      </w:r>
      <w:r w:rsidR="00A6472E" w:rsidRPr="002968EC">
        <w:rPr>
          <w:rFonts w:asciiTheme="minorHAnsi" w:hAnsiTheme="minorHAnsi" w:cs="Calibri"/>
          <w:lang w:val="mk-MK"/>
        </w:rPr>
        <w:t>со</w:t>
      </w:r>
      <w:r w:rsidR="002407F8" w:rsidRPr="002968EC">
        <w:rPr>
          <w:rFonts w:asciiTheme="minorHAnsi" w:hAnsiTheme="minorHAnsi" w:cs="Calibri"/>
          <w:lang w:val="mk-MK"/>
        </w:rPr>
        <w:t>с</w:t>
      </w:r>
      <w:r w:rsidR="00A6472E" w:rsidRPr="002968EC">
        <w:rPr>
          <w:rFonts w:asciiTheme="minorHAnsi" w:hAnsiTheme="minorHAnsi" w:cs="Calibri"/>
          <w:lang w:val="mk-MK"/>
        </w:rPr>
        <w:t xml:space="preserve">тојбата на пазарот во Македонија каде </w:t>
      </w:r>
      <w:r w:rsidR="002407F8" w:rsidRPr="002968EC">
        <w:rPr>
          <w:rFonts w:asciiTheme="minorHAnsi" w:hAnsiTheme="minorHAnsi" w:cs="Calibri"/>
          <w:lang w:val="mk-MK"/>
        </w:rPr>
        <w:t>што</w:t>
      </w:r>
      <w:r w:rsidR="00A6472E" w:rsidRPr="002968EC">
        <w:rPr>
          <w:rFonts w:asciiTheme="minorHAnsi" w:hAnsiTheme="minorHAnsi" w:cs="Calibri"/>
          <w:lang w:val="mk-MK"/>
        </w:rPr>
        <w:t xml:space="preserve"> покрај алтернативните оператори и операторот со значителна пазарна моќ целосно ги префрли своите корисници на ИП платформа и обезбедува ВОИП услуги, може да констатираме дека </w:t>
      </w:r>
      <w:r w:rsidRPr="002968EC">
        <w:rPr>
          <w:rFonts w:asciiTheme="minorHAnsi" w:hAnsiTheme="minorHAnsi" w:cs="Calibri"/>
          <w:lang w:val="mk-MK"/>
        </w:rPr>
        <w:t xml:space="preserve"> операторот може </w:t>
      </w:r>
      <w:r w:rsidR="008F7F42" w:rsidRPr="002968EC">
        <w:rPr>
          <w:rFonts w:asciiTheme="minorHAnsi" w:hAnsiTheme="minorHAnsi" w:cs="Calibri"/>
          <w:lang w:val="mk-MK"/>
        </w:rPr>
        <w:t xml:space="preserve">многу </w:t>
      </w:r>
      <w:r w:rsidRPr="002968EC">
        <w:rPr>
          <w:rFonts w:asciiTheme="minorHAnsi" w:hAnsiTheme="minorHAnsi" w:cs="Calibri"/>
          <w:lang w:val="mk-MK"/>
        </w:rPr>
        <w:t xml:space="preserve">лесно </w:t>
      </w:r>
      <w:r w:rsidR="008F7F42" w:rsidRPr="002968EC">
        <w:rPr>
          <w:rFonts w:asciiTheme="minorHAnsi" w:hAnsiTheme="minorHAnsi" w:cs="Calibri"/>
          <w:lang w:val="mk-MK"/>
        </w:rPr>
        <w:t xml:space="preserve">користејќи ја истата технологија да обезбеди пристап подеднакво како за резиденцијални и за деловни крајни корисници. Операторот лесно може користејќи ја ИП платформата и ВОИП услугите да обезбедува телефонски линии со еден или повеќе говорни канали и со тоа да ги задоволи потребите на сите крајни корисници. </w:t>
      </w:r>
      <w:r w:rsidR="00CF6426" w:rsidRPr="002968EC">
        <w:rPr>
          <w:rFonts w:asciiTheme="minorHAnsi" w:hAnsiTheme="minorHAnsi" w:cs="Calibri"/>
          <w:lang w:val="mk-MK"/>
        </w:rPr>
        <w:t xml:space="preserve"> </w:t>
      </w:r>
      <w:r w:rsidR="00EC28B8" w:rsidRPr="002968EC">
        <w:rPr>
          <w:rFonts w:asciiTheme="minorHAnsi" w:hAnsiTheme="minorHAnsi" w:cs="Calibri"/>
          <w:lang w:val="mk-MK"/>
        </w:rPr>
        <w:t xml:space="preserve">Главна пречка која би можела да се појави е кога </w:t>
      </w:r>
      <w:r w:rsidR="00B13727" w:rsidRPr="002968EC">
        <w:rPr>
          <w:rFonts w:asciiTheme="minorHAnsi" w:hAnsiTheme="minorHAnsi" w:cs="Calibri"/>
          <w:lang w:val="mk-MK"/>
        </w:rPr>
        <w:t xml:space="preserve"> операторот</w:t>
      </w:r>
      <w:r w:rsidR="00EC28B8" w:rsidRPr="002968EC">
        <w:rPr>
          <w:rFonts w:asciiTheme="minorHAnsi" w:hAnsiTheme="minorHAnsi" w:cs="Calibri"/>
          <w:lang w:val="mk-MK"/>
        </w:rPr>
        <w:t xml:space="preserve"> не е во можност во определени подрачја да пристапи </w:t>
      </w:r>
      <w:r w:rsidR="00EC28B8" w:rsidRPr="002968EC">
        <w:rPr>
          <w:rFonts w:asciiTheme="minorHAnsi" w:hAnsiTheme="minorHAnsi" w:cs="Calibri"/>
          <w:lang w:val="mk-MK"/>
        </w:rPr>
        <w:lastRenderedPageBreak/>
        <w:t xml:space="preserve">на мрежната инфраструктура и да обезбеди услуга со доволен капацитет за поголем корпоративен корисник. Но доколку би бил во можност да обезбеди пристап до мрежа тогаш би бил во состојба да ги обезбедува и резиденцијалните и </w:t>
      </w:r>
      <w:r w:rsidR="003B240F" w:rsidRPr="002968EC">
        <w:rPr>
          <w:rFonts w:asciiTheme="minorHAnsi" w:hAnsiTheme="minorHAnsi" w:cs="Calibri"/>
          <w:lang w:val="mk-MK"/>
        </w:rPr>
        <w:t>деловните</w:t>
      </w:r>
      <w:r w:rsidR="00EC28B8" w:rsidRPr="002968EC">
        <w:rPr>
          <w:rFonts w:asciiTheme="minorHAnsi" w:hAnsiTheme="minorHAnsi" w:cs="Calibri"/>
          <w:lang w:val="mk-MK"/>
        </w:rPr>
        <w:t xml:space="preserve"> понуди. Кога станува збор за определени индустријализирани подрачја каде на пример кабелските опе</w:t>
      </w:r>
      <w:r w:rsidR="003950C2" w:rsidRPr="002968EC">
        <w:rPr>
          <w:rFonts w:asciiTheme="minorHAnsi" w:hAnsiTheme="minorHAnsi" w:cs="Calibri"/>
          <w:lang w:val="mk-MK"/>
        </w:rPr>
        <w:t>ратори немаат сопствена мрежа, тие</w:t>
      </w:r>
      <w:r w:rsidR="00EC28B8" w:rsidRPr="002968EC">
        <w:rPr>
          <w:rFonts w:asciiTheme="minorHAnsi" w:hAnsiTheme="minorHAnsi" w:cs="Calibri"/>
          <w:lang w:val="mk-MK"/>
        </w:rPr>
        <w:t xml:space="preserve"> не се во состојба да обезбедат </w:t>
      </w:r>
      <w:r w:rsidR="003B240F" w:rsidRPr="002968EC">
        <w:rPr>
          <w:rFonts w:asciiTheme="minorHAnsi" w:hAnsiTheme="minorHAnsi" w:cs="Calibri"/>
          <w:lang w:val="mk-MK"/>
        </w:rPr>
        <w:t>деловни</w:t>
      </w:r>
      <w:r w:rsidR="00EC28B8" w:rsidRPr="002968EC">
        <w:rPr>
          <w:rFonts w:asciiTheme="minorHAnsi" w:hAnsiTheme="minorHAnsi" w:cs="Calibri"/>
          <w:lang w:val="mk-MK"/>
        </w:rPr>
        <w:t xml:space="preserve"> понуда. Меѓутоа имајќи во предвид дека во принцип малите и средни </w:t>
      </w:r>
      <w:r w:rsidR="003B240F" w:rsidRPr="002968EC">
        <w:rPr>
          <w:rFonts w:asciiTheme="minorHAnsi" w:hAnsiTheme="minorHAnsi" w:cs="Calibri"/>
          <w:lang w:val="mk-MK"/>
        </w:rPr>
        <w:t>претпријатија</w:t>
      </w:r>
      <w:r w:rsidR="00EC28B8" w:rsidRPr="002968EC">
        <w:rPr>
          <w:rFonts w:asciiTheme="minorHAnsi" w:hAnsiTheme="minorHAnsi" w:cs="Calibri"/>
          <w:lang w:val="mk-MK"/>
        </w:rPr>
        <w:t xml:space="preserve"> како и резиденцијалните корисници се наоѓаат во градски средини во тој случај операторот или давател на услуга лесно може да создаде и да понуди </w:t>
      </w:r>
      <w:r w:rsidR="003B240F" w:rsidRPr="002968EC">
        <w:rPr>
          <w:rFonts w:asciiTheme="minorHAnsi" w:hAnsiTheme="minorHAnsi" w:cs="Calibri"/>
          <w:lang w:val="mk-MK"/>
        </w:rPr>
        <w:t xml:space="preserve">услуга </w:t>
      </w:r>
      <w:r w:rsidR="00EC28B8" w:rsidRPr="002968EC">
        <w:rPr>
          <w:rFonts w:asciiTheme="minorHAnsi" w:hAnsiTheme="minorHAnsi" w:cs="Calibri"/>
          <w:lang w:val="mk-MK"/>
        </w:rPr>
        <w:t xml:space="preserve"> на резиденцијални и на </w:t>
      </w:r>
      <w:r w:rsidR="003B240F" w:rsidRPr="002968EC">
        <w:rPr>
          <w:rFonts w:asciiTheme="minorHAnsi" w:hAnsiTheme="minorHAnsi" w:cs="Calibri"/>
          <w:lang w:val="mk-MK"/>
        </w:rPr>
        <w:t>деловни</w:t>
      </w:r>
      <w:r w:rsidR="00EC28B8" w:rsidRPr="002968EC">
        <w:rPr>
          <w:rFonts w:asciiTheme="minorHAnsi" w:hAnsiTheme="minorHAnsi" w:cs="Calibri"/>
          <w:lang w:val="mk-MK"/>
        </w:rPr>
        <w:t xml:space="preserve"> крајни корисници. </w:t>
      </w:r>
      <w:r w:rsidR="00105A2D" w:rsidRPr="002968EC">
        <w:rPr>
          <w:rFonts w:asciiTheme="minorHAnsi" w:hAnsiTheme="minorHAnsi" w:cs="Calibri"/>
          <w:lang w:val="mk-MK"/>
        </w:rPr>
        <w:t>Тука супституцијата на страната на понудата на услугите е очигледна.</w:t>
      </w:r>
    </w:p>
    <w:p w:rsidR="002407F8" w:rsidRPr="002968EC" w:rsidRDefault="00930DF5" w:rsidP="0079552E">
      <w:pPr>
        <w:rPr>
          <w:rFonts w:asciiTheme="minorHAnsi" w:hAnsiTheme="minorHAnsi" w:cs="Calibri"/>
          <w:lang w:val="mk-MK"/>
        </w:rPr>
      </w:pPr>
      <w:r w:rsidRPr="002968EC">
        <w:rPr>
          <w:rFonts w:asciiTheme="minorHAnsi" w:hAnsiTheme="minorHAnsi" w:cs="Calibri"/>
          <w:lang w:val="mk-MK"/>
        </w:rPr>
        <w:t>Врз основа на горе</w:t>
      </w:r>
      <w:r w:rsidR="00105A2D" w:rsidRPr="002968EC">
        <w:rPr>
          <w:rFonts w:asciiTheme="minorHAnsi" w:hAnsiTheme="minorHAnsi" w:cs="Calibri"/>
          <w:lang w:val="mk-MK"/>
        </w:rPr>
        <w:t xml:space="preserve">наведеното може да се заклучи дека услугата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B0698A" w:rsidRPr="002968EC">
        <w:rPr>
          <w:rFonts w:asciiTheme="minorHAnsi" w:hAnsiTheme="minorHAnsi" w:cs="Calibri"/>
          <w:lang w:val="mk-MK"/>
        </w:rPr>
        <w:t xml:space="preserve"> </w:t>
      </w:r>
      <w:r w:rsidR="00105A2D" w:rsidRPr="002968EC">
        <w:rPr>
          <w:rFonts w:asciiTheme="minorHAnsi" w:hAnsiTheme="minorHAnsi" w:cs="Calibri"/>
          <w:lang w:val="mk-MK"/>
        </w:rPr>
        <w:t xml:space="preserve">за резиденцијални и деловни крајни корисници претставува дел од </w:t>
      </w:r>
      <w:r w:rsidRPr="002968EC">
        <w:rPr>
          <w:rFonts w:asciiTheme="minorHAnsi" w:hAnsiTheme="minorHAnsi" w:cs="Calibri"/>
          <w:lang w:val="mk-MK"/>
        </w:rPr>
        <w:t>еден ист</w:t>
      </w:r>
      <w:r w:rsidR="00105A2D" w:rsidRPr="002968EC">
        <w:rPr>
          <w:rFonts w:asciiTheme="minorHAnsi" w:hAnsiTheme="minorHAnsi" w:cs="Calibri"/>
          <w:lang w:val="mk-MK"/>
        </w:rPr>
        <w:t xml:space="preserve"> пазар. Физичката инфраструктура за пристап е слична или идентична за обезбедување на </w:t>
      </w:r>
      <w:r w:rsidR="00983737" w:rsidRPr="002968EC">
        <w:rPr>
          <w:rFonts w:asciiTheme="minorHAnsi" w:hAnsiTheme="minorHAnsi" w:cs="Calibri"/>
          <w:lang w:val="mk-MK"/>
        </w:rPr>
        <w:t xml:space="preserve">деловна </w:t>
      </w:r>
      <w:r w:rsidR="00105A2D" w:rsidRPr="002968EC">
        <w:rPr>
          <w:rFonts w:asciiTheme="minorHAnsi" w:hAnsiTheme="minorHAnsi" w:cs="Calibri"/>
          <w:lang w:val="mk-MK"/>
        </w:rPr>
        <w:t xml:space="preserve">и резиденцијална понуда. Иако постојат разлики во интензитетот и самото користење на услугата  за пристап од страна на резиденцијалните </w:t>
      </w:r>
      <w:r w:rsidR="000435E1" w:rsidRPr="002968EC">
        <w:rPr>
          <w:rFonts w:asciiTheme="minorHAnsi" w:hAnsiTheme="minorHAnsi" w:cs="Calibri"/>
          <w:lang w:val="mk-MK"/>
        </w:rPr>
        <w:t xml:space="preserve">и </w:t>
      </w:r>
      <w:r w:rsidRPr="002968EC">
        <w:rPr>
          <w:rFonts w:asciiTheme="minorHAnsi" w:hAnsiTheme="minorHAnsi" w:cs="Calibri"/>
          <w:lang w:val="mk-MK"/>
        </w:rPr>
        <w:t>деловните корисници</w:t>
      </w:r>
      <w:r w:rsidR="000435E1" w:rsidRPr="002968EC">
        <w:rPr>
          <w:rFonts w:asciiTheme="minorHAnsi" w:hAnsiTheme="minorHAnsi" w:cs="Calibri"/>
          <w:lang w:val="mk-MK"/>
        </w:rPr>
        <w:t xml:space="preserve">, сепак е малку веројатно дека станува збор за различна форма на услуга. Ова го потврдува фактот дека сите оператори во Македонија кои работат на фиксниот пазар, обезбедуваат понуди и за резиденцијални и за </w:t>
      </w:r>
      <w:r w:rsidR="00ED31C6" w:rsidRPr="002968EC">
        <w:rPr>
          <w:rFonts w:asciiTheme="minorHAnsi" w:hAnsiTheme="minorHAnsi" w:cs="Calibri"/>
          <w:lang w:val="mk-MK"/>
        </w:rPr>
        <w:t>деловни</w:t>
      </w:r>
      <w:r w:rsidR="000435E1" w:rsidRPr="002968EC">
        <w:rPr>
          <w:rFonts w:asciiTheme="minorHAnsi" w:hAnsiTheme="minorHAnsi" w:cs="Calibri"/>
          <w:lang w:val="mk-MK"/>
        </w:rPr>
        <w:t xml:space="preserve"> крајни корисници.</w:t>
      </w:r>
    </w:p>
    <w:p w:rsidR="002407F8" w:rsidRPr="002968EC" w:rsidRDefault="002407F8" w:rsidP="001F7010">
      <w:pPr>
        <w:pStyle w:val="Heading3"/>
        <w:rPr>
          <w:rFonts w:asciiTheme="minorHAnsi" w:hAnsiTheme="minorHAnsi" w:cs="Calibri"/>
          <w:sz w:val="22"/>
          <w:szCs w:val="22"/>
          <w:lang w:val="mk-MK"/>
        </w:rPr>
      </w:pPr>
    </w:p>
    <w:p w:rsidR="002E283B" w:rsidRPr="006E317C" w:rsidRDefault="006E317C" w:rsidP="006E317C">
      <w:pPr>
        <w:pStyle w:val="Heading3"/>
        <w:rPr>
          <w:rFonts w:asciiTheme="minorHAnsi" w:hAnsiTheme="minorHAnsi"/>
        </w:rPr>
      </w:pPr>
      <w:bookmarkStart w:id="21" w:name="_Toc461617742"/>
      <w:r>
        <w:rPr>
          <w:rFonts w:asciiTheme="minorHAnsi" w:hAnsiTheme="minorHAnsi"/>
          <w:lang w:val="mk-MK"/>
        </w:rPr>
        <w:t>8</w:t>
      </w:r>
      <w:r w:rsidR="00563824" w:rsidRPr="006E317C">
        <w:rPr>
          <w:rFonts w:asciiTheme="minorHAnsi" w:hAnsiTheme="minorHAnsi"/>
        </w:rPr>
        <w:t xml:space="preserve">.2.4 </w:t>
      </w:r>
      <w:r w:rsidR="002E283B" w:rsidRPr="006E317C">
        <w:rPr>
          <w:rFonts w:asciiTheme="minorHAnsi" w:hAnsiTheme="minorHAnsi"/>
        </w:rPr>
        <w:t xml:space="preserve">Дали </w:t>
      </w:r>
      <w:r w:rsidR="00596310" w:rsidRPr="006E317C">
        <w:rPr>
          <w:rFonts w:asciiTheme="minorHAnsi" w:hAnsiTheme="minorHAnsi"/>
        </w:rPr>
        <w:t>фиксниот безжичен пристап</w:t>
      </w:r>
      <w:r w:rsidR="002E283B" w:rsidRPr="006E317C">
        <w:rPr>
          <w:rFonts w:asciiTheme="minorHAnsi" w:hAnsiTheme="minorHAnsi"/>
        </w:rPr>
        <w:t xml:space="preserve">  </w:t>
      </w:r>
      <w:r w:rsidR="006547F6" w:rsidRPr="006E317C">
        <w:rPr>
          <w:rFonts w:asciiTheme="minorHAnsi" w:hAnsiTheme="minorHAnsi"/>
        </w:rPr>
        <w:t>припаѓа на  пазар</w:t>
      </w:r>
      <w:r w:rsidR="00596310" w:rsidRPr="006E317C">
        <w:rPr>
          <w:rFonts w:asciiTheme="minorHAnsi" w:hAnsiTheme="minorHAnsi"/>
        </w:rPr>
        <w:t>от</w:t>
      </w:r>
      <w:r w:rsidR="006547F6" w:rsidRPr="006E317C">
        <w:rPr>
          <w:rFonts w:asciiTheme="minorHAnsi" w:hAnsiTheme="minorHAnsi"/>
        </w:rPr>
        <w:t xml:space="preserve"> за</w:t>
      </w:r>
      <w:r w:rsidR="002E283B" w:rsidRPr="006E317C">
        <w:rPr>
          <w:rFonts w:asciiTheme="minorHAnsi" w:hAnsiTheme="minorHAnsi"/>
        </w:rPr>
        <w:t xml:space="preserve"> пристап до </w:t>
      </w:r>
      <w:r w:rsidR="008A38F9" w:rsidRPr="006E317C">
        <w:rPr>
          <w:rFonts w:asciiTheme="minorHAnsi" w:hAnsiTheme="minorHAnsi"/>
        </w:rPr>
        <w:t>јавна електронска комуникациска мрежа на фиксна локација</w:t>
      </w:r>
      <w:r w:rsidR="002E283B" w:rsidRPr="006E317C">
        <w:rPr>
          <w:rFonts w:asciiTheme="minorHAnsi" w:hAnsiTheme="minorHAnsi"/>
        </w:rPr>
        <w:t>?</w:t>
      </w:r>
      <w:bookmarkEnd w:id="21"/>
    </w:p>
    <w:p w:rsidR="007D2945" w:rsidRPr="002968EC" w:rsidRDefault="007D2945" w:rsidP="007D2945">
      <w:pPr>
        <w:rPr>
          <w:rFonts w:asciiTheme="minorHAnsi" w:hAnsiTheme="minorHAnsi"/>
          <w:lang w:val="mk-MK"/>
        </w:rPr>
      </w:pPr>
    </w:p>
    <w:p w:rsidR="002E283B" w:rsidRPr="002968EC" w:rsidRDefault="009C37E4" w:rsidP="00781AEE">
      <w:pPr>
        <w:rPr>
          <w:rFonts w:asciiTheme="minorHAnsi" w:hAnsiTheme="minorHAnsi" w:cs="Calibri"/>
          <w:lang w:val="mk-MK"/>
        </w:rPr>
      </w:pPr>
      <w:r w:rsidRPr="002968EC">
        <w:rPr>
          <w:rFonts w:asciiTheme="minorHAnsi" w:hAnsiTheme="minorHAnsi" w:cs="Calibri"/>
          <w:lang w:val="mk-MK"/>
        </w:rPr>
        <w:t xml:space="preserve">Главното прашање </w:t>
      </w:r>
      <w:r w:rsidR="003950C2" w:rsidRPr="002968EC">
        <w:rPr>
          <w:rFonts w:asciiTheme="minorHAnsi" w:hAnsiTheme="minorHAnsi" w:cs="Calibri"/>
          <w:lang w:val="mk-MK"/>
        </w:rPr>
        <w:t>при</w:t>
      </w:r>
      <w:r w:rsidRPr="002968EC">
        <w:rPr>
          <w:rFonts w:asciiTheme="minorHAnsi" w:hAnsiTheme="minorHAnsi" w:cs="Calibri"/>
          <w:lang w:val="mk-MK"/>
        </w:rPr>
        <w:t xml:space="preserve"> дефинирање на пазарот од аспект на услугата за теснопојасен пристап до </w:t>
      </w:r>
      <w:r w:rsidR="008A38F9" w:rsidRPr="002968EC">
        <w:rPr>
          <w:rFonts w:asciiTheme="minorHAnsi" w:hAnsiTheme="minorHAnsi" w:cs="Calibri"/>
          <w:lang w:val="mk-MK"/>
        </w:rPr>
        <w:t>јавна електронска комуникациска мрежа на фиксна локација</w:t>
      </w:r>
      <w:r w:rsidR="00C0497A" w:rsidRPr="002968EC">
        <w:rPr>
          <w:rFonts w:asciiTheme="minorHAnsi" w:hAnsiTheme="minorHAnsi" w:cs="Calibri"/>
          <w:lang w:val="mk-MK"/>
        </w:rPr>
        <w:t xml:space="preserve"> е</w:t>
      </w:r>
      <w:r w:rsidR="00B0698A" w:rsidRPr="002968EC">
        <w:rPr>
          <w:rFonts w:asciiTheme="minorHAnsi" w:hAnsiTheme="minorHAnsi" w:cs="Calibri"/>
          <w:lang w:val="mk-MK"/>
        </w:rPr>
        <w:t xml:space="preserve"> </w:t>
      </w:r>
      <w:r w:rsidRPr="002968EC">
        <w:rPr>
          <w:rFonts w:asciiTheme="minorHAnsi" w:hAnsiTheme="minorHAnsi" w:cs="Calibri"/>
          <w:lang w:val="mk-MK"/>
        </w:rPr>
        <w:t xml:space="preserve">во која мера крајните корисници би се одлучиле да се префрлат од една форма на теснопојасен пристап на друга како резултат на мало зголемување на цените. </w:t>
      </w:r>
      <w:r w:rsidR="00AB455D" w:rsidRPr="002968EC">
        <w:rPr>
          <w:rFonts w:asciiTheme="minorHAnsi" w:hAnsiTheme="minorHAnsi" w:cs="Calibri"/>
          <w:lang w:val="mk-MK"/>
        </w:rPr>
        <w:t>Покрај ценовната се разгледува и евентуална функционална заменливост која постои помеѓу формите на тесн</w:t>
      </w:r>
      <w:r w:rsidR="006F3D77" w:rsidRPr="002968EC">
        <w:rPr>
          <w:rFonts w:asciiTheme="minorHAnsi" w:hAnsiTheme="minorHAnsi" w:cs="Calibri"/>
          <w:lang w:val="mk-MK"/>
        </w:rPr>
        <w:t>о</w:t>
      </w:r>
      <w:r w:rsidR="00AB455D" w:rsidRPr="002968EC">
        <w:rPr>
          <w:rFonts w:asciiTheme="minorHAnsi" w:hAnsiTheme="minorHAnsi" w:cs="Calibri"/>
          <w:lang w:val="mk-MK"/>
        </w:rPr>
        <w:t>појасен пристап како последица на мало зголемување на цените.</w:t>
      </w:r>
      <w:r w:rsidR="00A65DA0" w:rsidRPr="002968EC">
        <w:rPr>
          <w:rFonts w:asciiTheme="minorHAnsi" w:hAnsiTheme="minorHAnsi" w:cs="Calibri"/>
          <w:lang w:val="mk-MK"/>
        </w:rPr>
        <w:t xml:space="preserve"> </w:t>
      </w:r>
    </w:p>
    <w:p w:rsidR="00A65DA0" w:rsidRPr="002968EC" w:rsidRDefault="00A65DA0" w:rsidP="00781AEE">
      <w:pPr>
        <w:rPr>
          <w:rFonts w:asciiTheme="minorHAnsi" w:hAnsiTheme="minorHAnsi" w:cs="Calibri"/>
          <w:lang w:val="mk-MK"/>
        </w:rPr>
      </w:pPr>
      <w:r w:rsidRPr="002968EC">
        <w:rPr>
          <w:rFonts w:asciiTheme="minorHAnsi" w:hAnsiTheme="minorHAnsi" w:cs="Calibri"/>
          <w:lang w:val="mk-MK"/>
        </w:rPr>
        <w:t xml:space="preserve">Во Македонија од страна на еден оператор се обезбедува услугата пристап до </w:t>
      </w:r>
      <w:r w:rsidR="008A38F9" w:rsidRPr="002968EC">
        <w:rPr>
          <w:rFonts w:asciiTheme="minorHAnsi" w:hAnsiTheme="minorHAnsi" w:cs="Calibri"/>
          <w:lang w:val="mk-MK"/>
        </w:rPr>
        <w:t>јавна електронска комуникациска мрежа на фиксна локација</w:t>
      </w:r>
      <w:r w:rsidR="00B0698A" w:rsidRPr="002968EC">
        <w:rPr>
          <w:rFonts w:asciiTheme="minorHAnsi" w:hAnsiTheme="minorHAnsi" w:cs="Calibri"/>
          <w:lang w:val="mk-MK"/>
        </w:rPr>
        <w:t xml:space="preserve"> </w:t>
      </w:r>
      <w:r w:rsidRPr="002968EC">
        <w:rPr>
          <w:rFonts w:asciiTheme="minorHAnsi" w:hAnsiTheme="minorHAnsi" w:cs="Calibri"/>
          <w:lang w:val="mk-MK"/>
        </w:rPr>
        <w:t>преку фиксниот безжичен пристап</w:t>
      </w:r>
      <w:r w:rsidR="00530886" w:rsidRPr="002968EC">
        <w:rPr>
          <w:rFonts w:asciiTheme="minorHAnsi" w:hAnsiTheme="minorHAnsi" w:cs="Calibri"/>
        </w:rPr>
        <w:t xml:space="preserve"> (FWA)</w:t>
      </w:r>
      <w:r w:rsidRPr="002968EC">
        <w:rPr>
          <w:rFonts w:asciiTheme="minorHAnsi" w:hAnsiTheme="minorHAnsi" w:cs="Calibri"/>
          <w:lang w:val="mk-MK"/>
        </w:rPr>
        <w:t xml:space="preserve">. Операторот </w:t>
      </w:r>
      <w:r w:rsidR="00F108FC" w:rsidRPr="002968EC">
        <w:rPr>
          <w:rFonts w:asciiTheme="minorHAnsi" w:hAnsiTheme="minorHAnsi" w:cs="Calibri"/>
          <w:lang w:val="mk-MK"/>
        </w:rPr>
        <w:t xml:space="preserve">оне.ВИП </w:t>
      </w:r>
      <w:r w:rsidRPr="002968EC">
        <w:rPr>
          <w:rFonts w:asciiTheme="minorHAnsi" w:hAnsiTheme="minorHAnsi" w:cs="Calibri"/>
          <w:lang w:val="mk-MK"/>
        </w:rPr>
        <w:t xml:space="preserve">ја обезбедува оваа форма на пристап. Често иако се смета дека оваа услуга се користи во руралните предели каде што операторите немаат кабелска мрежна инфраструктура, сепак </w:t>
      </w:r>
      <w:r w:rsidR="0043446D" w:rsidRPr="002968EC">
        <w:rPr>
          <w:rFonts w:asciiTheme="minorHAnsi" w:hAnsiTheme="minorHAnsi" w:cs="Calibri"/>
          <w:lang w:val="mk-MK"/>
        </w:rPr>
        <w:t>истат</w:t>
      </w:r>
      <w:r w:rsidRPr="002968EC">
        <w:rPr>
          <w:rFonts w:asciiTheme="minorHAnsi" w:hAnsiTheme="minorHAnsi" w:cs="Calibri"/>
          <w:lang w:val="mk-MK"/>
        </w:rPr>
        <w:t xml:space="preserve"> услуга се користи и во урбанизираните средини. </w:t>
      </w:r>
      <w:r w:rsidR="00F71782" w:rsidRPr="002968EC">
        <w:rPr>
          <w:rFonts w:asciiTheme="minorHAnsi" w:hAnsiTheme="minorHAnsi" w:cs="Calibri"/>
          <w:lang w:val="mk-MK"/>
        </w:rPr>
        <w:t>Услугата за фиксе</w:t>
      </w:r>
      <w:r w:rsidR="00D8380C" w:rsidRPr="002968EC">
        <w:rPr>
          <w:rFonts w:asciiTheme="minorHAnsi" w:hAnsiTheme="minorHAnsi" w:cs="Calibri"/>
          <w:lang w:val="mk-MK"/>
        </w:rPr>
        <w:t>н</w:t>
      </w:r>
      <w:r w:rsidR="00F71782" w:rsidRPr="002968EC">
        <w:rPr>
          <w:rFonts w:asciiTheme="minorHAnsi" w:hAnsiTheme="minorHAnsi" w:cs="Calibri"/>
          <w:lang w:val="mk-MK"/>
        </w:rPr>
        <w:t xml:space="preserve"> безжичен пристап не се смета дека е различна од услуг</w:t>
      </w:r>
      <w:r w:rsidR="000C3DDE" w:rsidRPr="002968EC">
        <w:rPr>
          <w:rFonts w:asciiTheme="minorHAnsi" w:hAnsiTheme="minorHAnsi" w:cs="Calibri"/>
          <w:lang w:val="mk-MK"/>
        </w:rPr>
        <w:t xml:space="preserve">ата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0C3DDE" w:rsidRPr="002968EC">
        <w:rPr>
          <w:rFonts w:asciiTheme="minorHAnsi" w:hAnsiTheme="minorHAnsi" w:cs="Calibri"/>
          <w:lang w:val="mk-MK"/>
        </w:rPr>
        <w:t xml:space="preserve"> за обезбедување телефонска линија со еден говорен канал преку бакарна мрежа.</w:t>
      </w:r>
      <w:r w:rsidR="00F71782" w:rsidRPr="002968EC">
        <w:rPr>
          <w:rFonts w:asciiTheme="minorHAnsi" w:hAnsiTheme="minorHAnsi" w:cs="Calibri"/>
          <w:lang w:val="mk-MK"/>
        </w:rPr>
        <w:t xml:space="preserve"> Операторот </w:t>
      </w:r>
      <w:r w:rsidR="00F108FC" w:rsidRPr="002968EC">
        <w:rPr>
          <w:rFonts w:asciiTheme="minorHAnsi" w:hAnsiTheme="minorHAnsi" w:cs="Calibri"/>
          <w:lang w:val="mk-MK"/>
        </w:rPr>
        <w:t xml:space="preserve">оне.ВИП </w:t>
      </w:r>
      <w:r w:rsidR="00F71782" w:rsidRPr="002968EC">
        <w:rPr>
          <w:rFonts w:asciiTheme="minorHAnsi" w:hAnsiTheme="minorHAnsi" w:cs="Calibri"/>
          <w:lang w:val="mk-MK"/>
        </w:rPr>
        <w:t xml:space="preserve">кој во </w:t>
      </w:r>
      <w:r w:rsidR="0043446D" w:rsidRPr="002968EC">
        <w:rPr>
          <w:rFonts w:asciiTheme="minorHAnsi" w:hAnsiTheme="minorHAnsi" w:cs="Calibri"/>
          <w:lang w:val="mk-MK"/>
        </w:rPr>
        <w:t>Р.</w:t>
      </w:r>
      <w:r w:rsidR="00F71782" w:rsidRPr="002968EC">
        <w:rPr>
          <w:rFonts w:asciiTheme="minorHAnsi" w:hAnsiTheme="minorHAnsi" w:cs="Calibri"/>
          <w:lang w:val="mk-MK"/>
        </w:rPr>
        <w:t>Македонија обезбедува фиксни говорни усл</w:t>
      </w:r>
      <w:r w:rsidR="006733D2" w:rsidRPr="002968EC">
        <w:rPr>
          <w:rFonts w:asciiTheme="minorHAnsi" w:hAnsiTheme="minorHAnsi" w:cs="Calibri"/>
          <w:lang w:val="mk-MK"/>
        </w:rPr>
        <w:t xml:space="preserve">уги не обезбедува широкопојасен </w:t>
      </w:r>
      <w:r w:rsidR="00F71782" w:rsidRPr="002968EC">
        <w:rPr>
          <w:rFonts w:asciiTheme="minorHAnsi" w:hAnsiTheme="minorHAnsi" w:cs="Calibri"/>
          <w:lang w:val="mk-MK"/>
        </w:rPr>
        <w:t>интернет</w:t>
      </w:r>
      <w:r w:rsidR="006733D2" w:rsidRPr="002968EC">
        <w:rPr>
          <w:rFonts w:asciiTheme="minorHAnsi" w:hAnsiTheme="minorHAnsi" w:cs="Calibri"/>
          <w:lang w:val="mk-MK"/>
        </w:rPr>
        <w:t xml:space="preserve"> </w:t>
      </w:r>
      <w:r w:rsidR="00F71782" w:rsidRPr="002968EC">
        <w:rPr>
          <w:rFonts w:asciiTheme="minorHAnsi" w:hAnsiTheme="minorHAnsi" w:cs="Calibri"/>
          <w:lang w:val="mk-MK"/>
        </w:rPr>
        <w:t xml:space="preserve">преку фиксниот безжичен пристап. Операторот </w:t>
      </w:r>
      <w:r w:rsidR="000C3DDE" w:rsidRPr="002968EC">
        <w:rPr>
          <w:rFonts w:asciiTheme="minorHAnsi" w:hAnsiTheme="minorHAnsi" w:cs="Calibri"/>
          <w:lang w:val="mk-MK"/>
        </w:rPr>
        <w:t>МКТ</w:t>
      </w:r>
      <w:r w:rsidR="00F71782" w:rsidRPr="002968EC">
        <w:rPr>
          <w:rFonts w:asciiTheme="minorHAnsi" w:hAnsiTheme="minorHAnsi" w:cs="Calibri"/>
          <w:lang w:val="mk-MK"/>
        </w:rPr>
        <w:t xml:space="preserve"> како оператор со значителна пазарна моќ на овој релевантен пазар не ја обезбедува оваа форма на пристап за своите крајни корисници. </w:t>
      </w:r>
    </w:p>
    <w:p w:rsidR="000D5333" w:rsidRDefault="000D5333" w:rsidP="00781AEE">
      <w:pPr>
        <w:rPr>
          <w:rFonts w:asciiTheme="minorHAnsi" w:hAnsiTheme="minorHAnsi" w:cs="Calibri"/>
        </w:rPr>
      </w:pPr>
    </w:p>
    <w:p w:rsidR="00EF7A80" w:rsidRPr="002968EC" w:rsidRDefault="00EF7A80" w:rsidP="00781AEE">
      <w:pPr>
        <w:rPr>
          <w:rFonts w:asciiTheme="minorHAnsi" w:hAnsiTheme="minorHAnsi" w:cs="Calibri"/>
          <w:lang w:val="mk-MK"/>
        </w:rPr>
      </w:pPr>
      <w:r w:rsidRPr="002968EC">
        <w:rPr>
          <w:rFonts w:asciiTheme="minorHAnsi" w:hAnsiTheme="minorHAnsi" w:cs="Calibri"/>
          <w:lang w:val="mk-MK"/>
        </w:rPr>
        <w:lastRenderedPageBreak/>
        <w:t xml:space="preserve">Оттука, </w:t>
      </w:r>
      <w:r w:rsidR="007967C2" w:rsidRPr="002968EC">
        <w:rPr>
          <w:rFonts w:asciiTheme="minorHAnsi" w:hAnsiTheme="minorHAnsi" w:cs="Calibri"/>
          <w:lang w:val="mk-MK"/>
        </w:rPr>
        <w:t>АЕК</w:t>
      </w:r>
      <w:r w:rsidRPr="002968EC">
        <w:rPr>
          <w:rFonts w:asciiTheme="minorHAnsi" w:hAnsiTheme="minorHAnsi" w:cs="Calibri"/>
          <w:lang w:val="mk-MK"/>
        </w:rPr>
        <w:t xml:space="preserve"> во врска со функционална супститутивност заклучува:</w:t>
      </w:r>
    </w:p>
    <w:p w:rsidR="00EF7A80" w:rsidRPr="00CE7F32" w:rsidRDefault="00EF7A80" w:rsidP="00CE7F32">
      <w:pPr>
        <w:numPr>
          <w:ilvl w:val="0"/>
          <w:numId w:val="1"/>
        </w:numPr>
        <w:ind w:left="360"/>
        <w:rPr>
          <w:rFonts w:asciiTheme="minorHAnsi" w:hAnsiTheme="minorHAnsi" w:cs="Calibri"/>
          <w:lang w:val="mk-MK"/>
        </w:rPr>
      </w:pPr>
      <w:r w:rsidRPr="002968EC">
        <w:rPr>
          <w:rFonts w:asciiTheme="minorHAnsi" w:hAnsiTheme="minorHAnsi" w:cs="Calibri"/>
          <w:lang w:val="mk-MK"/>
        </w:rPr>
        <w:t xml:space="preserve">услугата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B0698A" w:rsidRPr="002968EC">
        <w:rPr>
          <w:rFonts w:asciiTheme="minorHAnsi" w:hAnsiTheme="minorHAnsi" w:cs="Calibri"/>
          <w:lang w:val="mk-MK"/>
        </w:rPr>
        <w:t xml:space="preserve"> </w:t>
      </w:r>
      <w:r w:rsidRPr="002968EC">
        <w:rPr>
          <w:rFonts w:asciiTheme="minorHAnsi" w:hAnsiTheme="minorHAnsi" w:cs="Calibri"/>
          <w:lang w:val="mk-MK"/>
        </w:rPr>
        <w:t xml:space="preserve">преку фиксен безжичен пристап функционално не е различна од услугата пристап преку </w:t>
      </w:r>
      <w:r w:rsidR="008A38F9" w:rsidRPr="002968EC">
        <w:rPr>
          <w:rFonts w:asciiTheme="minorHAnsi" w:hAnsiTheme="minorHAnsi" w:cs="Calibri"/>
          <w:lang w:val="mk-MK"/>
        </w:rPr>
        <w:t>јавна електронска комуникациска мрежа на фиксна локација</w:t>
      </w:r>
      <w:r w:rsidR="00B0698A" w:rsidRPr="002968EC">
        <w:rPr>
          <w:rFonts w:asciiTheme="minorHAnsi" w:hAnsiTheme="minorHAnsi" w:cs="Calibri"/>
          <w:lang w:val="mk-MK"/>
        </w:rPr>
        <w:t xml:space="preserve"> </w:t>
      </w:r>
      <w:r w:rsidRPr="002968EC">
        <w:rPr>
          <w:rFonts w:asciiTheme="minorHAnsi" w:hAnsiTheme="minorHAnsi" w:cs="Calibri"/>
          <w:lang w:val="mk-MK"/>
        </w:rPr>
        <w:t xml:space="preserve">и може да биде користена како </w:t>
      </w:r>
      <w:r w:rsidR="004C577E" w:rsidRPr="002968EC">
        <w:rPr>
          <w:rFonts w:asciiTheme="minorHAnsi" w:hAnsiTheme="minorHAnsi" w:cs="Calibri"/>
          <w:lang w:val="mk-MK"/>
        </w:rPr>
        <w:t>надополнување</w:t>
      </w:r>
      <w:r w:rsidRPr="002968EC">
        <w:rPr>
          <w:rFonts w:asciiTheme="minorHAnsi" w:hAnsiTheme="minorHAnsi" w:cs="Calibri"/>
          <w:lang w:val="mk-MK"/>
        </w:rPr>
        <w:t xml:space="preserve"> </w:t>
      </w:r>
      <w:r w:rsidR="008978FA" w:rsidRPr="002968EC">
        <w:rPr>
          <w:rFonts w:asciiTheme="minorHAnsi" w:hAnsiTheme="minorHAnsi" w:cs="Calibri"/>
          <w:lang w:val="mk-MK"/>
        </w:rPr>
        <w:t>во понуда на операторот</w:t>
      </w:r>
      <w:r w:rsidRPr="002968EC">
        <w:rPr>
          <w:rFonts w:asciiTheme="minorHAnsi" w:hAnsiTheme="minorHAnsi" w:cs="Calibri"/>
          <w:lang w:val="mk-MK"/>
        </w:rPr>
        <w:t>;</w:t>
      </w:r>
    </w:p>
    <w:p w:rsidR="007D2945" w:rsidRPr="002968EC" w:rsidRDefault="00BE7EAC" w:rsidP="00781AEE">
      <w:pPr>
        <w:rPr>
          <w:rFonts w:asciiTheme="minorHAnsi" w:hAnsiTheme="minorHAnsi" w:cs="Calibri"/>
          <w:lang w:val="mk-MK"/>
        </w:rPr>
      </w:pPr>
      <w:r w:rsidRPr="002968EC">
        <w:rPr>
          <w:rFonts w:asciiTheme="minorHAnsi" w:hAnsiTheme="minorHAnsi" w:cs="Calibri"/>
          <w:lang w:val="mk-MK"/>
        </w:rPr>
        <w:t xml:space="preserve">Корисникот на телефонска линија преку ИП платформа кој користи ВОИП говорна услуга може по своја желба да избере број на говорни канали. </w:t>
      </w:r>
      <w:r w:rsidR="00B83480" w:rsidRPr="002968EC">
        <w:rPr>
          <w:rFonts w:asciiTheme="minorHAnsi" w:hAnsiTheme="minorHAnsi" w:cs="Calibri"/>
          <w:lang w:val="mk-MK"/>
        </w:rPr>
        <w:t>Т</w:t>
      </w:r>
      <w:r w:rsidRPr="002968EC">
        <w:rPr>
          <w:rFonts w:asciiTheme="minorHAnsi" w:hAnsiTheme="minorHAnsi" w:cs="Calibri"/>
          <w:lang w:val="mk-MK"/>
        </w:rPr>
        <w:t>ехнологијата преку која се обезбедува услугата пристап до јавна електронска комуникациска мрежа (фиксна) обезбедена преку ИП платформа е идентична независно од бројот на говорни канали што ги побарал корисникот. Во овој контекст телефонската линија со еден говорен канал може да биде обезбедена и со фиксниот безжичен пристап и со</w:t>
      </w:r>
      <w:r w:rsidR="008373CF" w:rsidRPr="002968EC">
        <w:rPr>
          <w:rFonts w:asciiTheme="minorHAnsi" w:hAnsiTheme="minorHAnsi" w:cs="Calibri"/>
          <w:lang w:val="mk-MK"/>
        </w:rPr>
        <w:t xml:space="preserve"> </w:t>
      </w:r>
      <w:r w:rsidRPr="002968EC">
        <w:rPr>
          <w:rFonts w:asciiTheme="minorHAnsi" w:hAnsiTheme="minorHAnsi" w:cs="Calibri"/>
          <w:lang w:val="mk-MK"/>
        </w:rPr>
        <w:t xml:space="preserve">јавна електронска комуникациска мрежа (фиксна) преку бакар. </w:t>
      </w:r>
    </w:p>
    <w:p w:rsidR="00A60300" w:rsidRPr="002968EC" w:rsidRDefault="00FC2312" w:rsidP="00781AEE">
      <w:pPr>
        <w:rPr>
          <w:rFonts w:asciiTheme="minorHAnsi" w:hAnsiTheme="minorHAnsi" w:cs="Calibri"/>
          <w:lang w:val="mk-MK"/>
        </w:rPr>
      </w:pPr>
      <w:r w:rsidRPr="002968EC">
        <w:rPr>
          <w:rFonts w:asciiTheme="minorHAnsi" w:hAnsiTheme="minorHAnsi" w:cs="Calibri"/>
          <w:lang w:val="mk-MK"/>
        </w:rPr>
        <w:t xml:space="preserve">Пристапот до телефонска линија со еден или повеќе говорни канали може да биде обезбеден од операторот со значителна пазарна моќ како и од останатите оператори кои поседуваат ИП платформа и преку истата да обезбедат јавно достапни телефонски услуги (фиксни). Од технолошки аспект не постои никаква пречка еден оператор кој што поседува или изнајмува мрежна инфраструктура да ја обезбеди услугата пристап и фиксни говорни повици на краен корисник независно дали истиот </w:t>
      </w:r>
      <w:r w:rsidR="00CE7F32">
        <w:rPr>
          <w:rFonts w:asciiTheme="minorHAnsi" w:hAnsiTheme="minorHAnsi" w:cs="Calibri"/>
          <w:lang w:val="mk-MK"/>
        </w:rPr>
        <w:t>би побарал</w:t>
      </w:r>
      <w:r w:rsidRPr="002968EC">
        <w:rPr>
          <w:rFonts w:asciiTheme="minorHAnsi" w:hAnsiTheme="minorHAnsi" w:cs="Calibri"/>
          <w:lang w:val="mk-MK"/>
        </w:rPr>
        <w:t xml:space="preserve"> еден или повеќе говорни канали.  </w:t>
      </w:r>
    </w:p>
    <w:p w:rsidR="00E87A57" w:rsidRPr="002968EC" w:rsidRDefault="00640143" w:rsidP="00781AEE">
      <w:pPr>
        <w:rPr>
          <w:rFonts w:asciiTheme="minorHAnsi" w:hAnsiTheme="minorHAnsi" w:cs="Calibri"/>
          <w:lang w:val="mk-MK"/>
        </w:rPr>
      </w:pPr>
      <w:r w:rsidRPr="002968EC">
        <w:rPr>
          <w:rFonts w:asciiTheme="minorHAnsi" w:hAnsiTheme="minorHAnsi" w:cs="Calibri"/>
          <w:lang w:val="mk-MK"/>
        </w:rPr>
        <w:t xml:space="preserve">Пристап до </w:t>
      </w:r>
      <w:r w:rsidR="008A38F9" w:rsidRPr="002968EC">
        <w:rPr>
          <w:rFonts w:asciiTheme="minorHAnsi" w:hAnsiTheme="minorHAnsi" w:cs="Calibri"/>
          <w:lang w:val="mk-MK"/>
        </w:rPr>
        <w:t>јавна електронска комуникациска мрежа на фиксна локација</w:t>
      </w:r>
      <w:r w:rsidRPr="002968EC">
        <w:rPr>
          <w:rFonts w:asciiTheme="minorHAnsi" w:hAnsiTheme="minorHAnsi" w:cs="Calibri"/>
          <w:lang w:val="mk-MK"/>
        </w:rPr>
        <w:t xml:space="preserve"> како услуга е обезбедена преку </w:t>
      </w:r>
      <w:r w:rsidR="00DE1531" w:rsidRPr="002968EC">
        <w:rPr>
          <w:rFonts w:asciiTheme="minorHAnsi" w:hAnsiTheme="minorHAnsi" w:cs="Calibri"/>
          <w:lang w:val="mk-MK"/>
        </w:rPr>
        <w:t xml:space="preserve">пристапот до телефонска линија со (еден или повеќе говорни канали) преку бакарна мрежа </w:t>
      </w:r>
      <w:r w:rsidRPr="002968EC">
        <w:rPr>
          <w:rFonts w:asciiTheme="minorHAnsi" w:hAnsiTheme="minorHAnsi" w:cs="Calibri"/>
          <w:lang w:val="mk-MK"/>
        </w:rPr>
        <w:t xml:space="preserve"> и фиксниот безжичен пристап. Помеѓу овие форми на пристап постои извесна супститутивност и поради тоа </w:t>
      </w:r>
      <w:r w:rsidR="00C126E6">
        <w:rPr>
          <w:rFonts w:asciiTheme="minorHAnsi" w:hAnsiTheme="minorHAnsi" w:cs="Calibri"/>
          <w:lang w:val="mk-MK"/>
        </w:rPr>
        <w:t>АЕК</w:t>
      </w:r>
      <w:r w:rsidRPr="002968EC">
        <w:rPr>
          <w:rFonts w:asciiTheme="minorHAnsi" w:hAnsiTheme="minorHAnsi" w:cs="Calibri"/>
          <w:lang w:val="mk-MK"/>
        </w:rPr>
        <w:t xml:space="preserve"> заклуч</w:t>
      </w:r>
      <w:r w:rsidR="00C126E6">
        <w:rPr>
          <w:rFonts w:asciiTheme="minorHAnsi" w:hAnsiTheme="minorHAnsi" w:cs="Calibri"/>
          <w:lang w:val="mk-MK"/>
        </w:rPr>
        <w:t>и</w:t>
      </w:r>
      <w:r w:rsidRPr="002968EC">
        <w:rPr>
          <w:rFonts w:asciiTheme="minorHAnsi" w:hAnsiTheme="minorHAnsi" w:cs="Calibri"/>
          <w:lang w:val="mk-MK"/>
        </w:rPr>
        <w:t xml:space="preserve"> дека истите припаѓаат на ист релевантен пазар. </w:t>
      </w:r>
    </w:p>
    <w:p w:rsidR="00883260" w:rsidRPr="002968EC" w:rsidRDefault="00883260" w:rsidP="00781AEE">
      <w:pPr>
        <w:rPr>
          <w:rFonts w:asciiTheme="minorHAnsi" w:hAnsiTheme="minorHAnsi" w:cs="Calibri"/>
          <w:lang w:val="mk-MK"/>
        </w:rPr>
      </w:pPr>
    </w:p>
    <w:p w:rsidR="00F21862" w:rsidRPr="006E317C" w:rsidRDefault="006E317C" w:rsidP="006E317C">
      <w:pPr>
        <w:pStyle w:val="Heading3"/>
        <w:rPr>
          <w:rFonts w:asciiTheme="minorHAnsi" w:hAnsiTheme="minorHAnsi"/>
        </w:rPr>
      </w:pPr>
      <w:bookmarkStart w:id="22" w:name="_Toc461617743"/>
      <w:r>
        <w:rPr>
          <w:rFonts w:asciiTheme="minorHAnsi" w:hAnsiTheme="minorHAnsi"/>
          <w:lang w:val="mk-MK"/>
        </w:rPr>
        <w:t>8</w:t>
      </w:r>
      <w:r w:rsidR="00540BF6">
        <w:rPr>
          <w:rFonts w:asciiTheme="minorHAnsi" w:hAnsiTheme="minorHAnsi"/>
        </w:rPr>
        <w:t>.2.5</w:t>
      </w:r>
      <w:r w:rsidR="004778A7" w:rsidRPr="006E317C">
        <w:rPr>
          <w:rFonts w:asciiTheme="minorHAnsi" w:hAnsiTheme="minorHAnsi"/>
        </w:rPr>
        <w:t xml:space="preserve"> </w:t>
      </w:r>
      <w:r w:rsidR="00C126E6">
        <w:rPr>
          <w:rFonts w:asciiTheme="minorHAnsi" w:hAnsiTheme="minorHAnsi"/>
          <w:lang w:val="mk-MK"/>
        </w:rPr>
        <w:t>Д</w:t>
      </w:r>
      <w:r w:rsidR="00F21862" w:rsidRPr="006E317C">
        <w:rPr>
          <w:rFonts w:asciiTheme="minorHAnsi" w:hAnsiTheme="minorHAnsi"/>
        </w:rPr>
        <w:t xml:space="preserve">али широкопојасен пристап до </w:t>
      </w:r>
      <w:r w:rsidR="008A38F9" w:rsidRPr="006E317C">
        <w:rPr>
          <w:rFonts w:asciiTheme="minorHAnsi" w:hAnsiTheme="minorHAnsi"/>
        </w:rPr>
        <w:t>јавна електронска комуникациска мрежа на фиксна локација</w:t>
      </w:r>
      <w:r w:rsidR="00F21862" w:rsidRPr="006E317C">
        <w:rPr>
          <w:rFonts w:asciiTheme="minorHAnsi" w:hAnsiTheme="minorHAnsi"/>
        </w:rPr>
        <w:t xml:space="preserve"> е ефикасен </w:t>
      </w:r>
      <w:r w:rsidR="00C83693" w:rsidRPr="006E317C">
        <w:rPr>
          <w:rFonts w:asciiTheme="minorHAnsi" w:hAnsiTheme="minorHAnsi"/>
        </w:rPr>
        <w:t xml:space="preserve">супститут </w:t>
      </w:r>
      <w:r w:rsidR="00F21862" w:rsidRPr="006E317C">
        <w:rPr>
          <w:rFonts w:asciiTheme="minorHAnsi" w:hAnsiTheme="minorHAnsi"/>
        </w:rPr>
        <w:t xml:space="preserve">на теснопојасниот пристап до </w:t>
      </w:r>
      <w:r w:rsidR="008A38F9" w:rsidRPr="006E317C">
        <w:rPr>
          <w:rFonts w:asciiTheme="minorHAnsi" w:hAnsiTheme="minorHAnsi"/>
        </w:rPr>
        <w:t>јавна електронска комуникациска мрежа на фиксна локација</w:t>
      </w:r>
      <w:r w:rsidR="00F21862" w:rsidRPr="006E317C">
        <w:rPr>
          <w:rFonts w:asciiTheme="minorHAnsi" w:hAnsiTheme="minorHAnsi"/>
        </w:rPr>
        <w:t>?</w:t>
      </w:r>
      <w:bookmarkEnd w:id="22"/>
    </w:p>
    <w:p w:rsidR="00F21862" w:rsidRPr="002968EC" w:rsidRDefault="00F21862" w:rsidP="00781AEE">
      <w:pPr>
        <w:rPr>
          <w:rFonts w:asciiTheme="minorHAnsi" w:hAnsiTheme="minorHAnsi" w:cs="Calibri"/>
          <w:lang w:val="mk-MK"/>
        </w:rPr>
      </w:pPr>
    </w:p>
    <w:p w:rsidR="00F21862" w:rsidRPr="002968EC" w:rsidRDefault="00F21862" w:rsidP="00781AEE">
      <w:pPr>
        <w:rPr>
          <w:rFonts w:asciiTheme="minorHAnsi" w:hAnsiTheme="minorHAnsi" w:cs="Calibri"/>
          <w:lang w:val="mk-MK"/>
        </w:rPr>
      </w:pPr>
      <w:r w:rsidRPr="002968EC">
        <w:rPr>
          <w:rFonts w:asciiTheme="minorHAnsi" w:hAnsiTheme="minorHAnsi" w:cs="Calibri"/>
          <w:lang w:val="mk-MK"/>
        </w:rPr>
        <w:t>Во дефиницијата</w:t>
      </w:r>
      <w:r w:rsidRPr="002968EC">
        <w:rPr>
          <w:rFonts w:asciiTheme="minorHAnsi" w:hAnsiTheme="minorHAnsi" w:cs="Calibri"/>
        </w:rPr>
        <w:t xml:space="preserve"> на пазарот</w:t>
      </w:r>
      <w:r w:rsidR="00513C7E" w:rsidRPr="002968EC">
        <w:rPr>
          <w:rFonts w:asciiTheme="minorHAnsi" w:hAnsiTheme="minorHAnsi" w:cs="Calibri"/>
          <w:lang w:val="mk-MK"/>
        </w:rPr>
        <w:t xml:space="preserve"> за </w:t>
      </w:r>
      <w:r w:rsidR="00456E14" w:rsidRPr="002968EC">
        <w:rPr>
          <w:rFonts w:asciiTheme="minorHAnsi" w:hAnsiTheme="minorHAnsi" w:cs="Calibri"/>
          <w:lang w:val="mk-MK"/>
        </w:rPr>
        <w:t xml:space="preserve">пристап до услуги со </w:t>
      </w:r>
      <w:r w:rsidR="00513C7E" w:rsidRPr="002968EC">
        <w:rPr>
          <w:rFonts w:asciiTheme="minorHAnsi" w:hAnsiTheme="minorHAnsi" w:cs="Calibri"/>
          <w:lang w:val="mk-MK"/>
        </w:rPr>
        <w:t>ш</w:t>
      </w:r>
      <w:r w:rsidR="00157D97">
        <w:rPr>
          <w:rFonts w:asciiTheme="minorHAnsi" w:hAnsiTheme="minorHAnsi" w:cs="Calibri"/>
          <w:lang w:val="mk-MK"/>
        </w:rPr>
        <w:t>ирок опсег</w:t>
      </w:r>
      <w:r w:rsidRPr="002968EC">
        <w:rPr>
          <w:rFonts w:asciiTheme="minorHAnsi" w:hAnsiTheme="minorHAnsi" w:cs="Calibri"/>
        </w:rPr>
        <w:t xml:space="preserve"> </w:t>
      </w:r>
      <w:r w:rsidR="007967C2" w:rsidRPr="002968EC">
        <w:rPr>
          <w:rFonts w:asciiTheme="minorHAnsi" w:hAnsiTheme="minorHAnsi" w:cs="Calibri"/>
          <w:lang w:val="mk-MK"/>
        </w:rPr>
        <w:t>АЕК</w:t>
      </w:r>
      <w:r w:rsidRPr="002968EC">
        <w:rPr>
          <w:rFonts w:asciiTheme="minorHAnsi" w:hAnsiTheme="minorHAnsi" w:cs="Calibri"/>
          <w:lang w:val="mk-MK"/>
        </w:rPr>
        <w:t xml:space="preserve"> го</w:t>
      </w:r>
      <w:r w:rsidRPr="002968EC">
        <w:rPr>
          <w:rFonts w:asciiTheme="minorHAnsi" w:hAnsiTheme="minorHAnsi" w:cs="Calibri"/>
        </w:rPr>
        <w:t xml:space="preserve"> исклуч</w:t>
      </w:r>
      <w:r w:rsidRPr="002968EC">
        <w:rPr>
          <w:rFonts w:asciiTheme="minorHAnsi" w:hAnsiTheme="minorHAnsi" w:cs="Calibri"/>
          <w:lang w:val="mk-MK"/>
        </w:rPr>
        <w:t>и</w:t>
      </w:r>
      <w:r w:rsidRPr="002968EC">
        <w:rPr>
          <w:rFonts w:asciiTheme="minorHAnsi" w:hAnsiTheme="minorHAnsi" w:cs="Calibri"/>
        </w:rPr>
        <w:t xml:space="preserve"> теснопојасн</w:t>
      </w:r>
      <w:r w:rsidRPr="002968EC">
        <w:rPr>
          <w:rFonts w:asciiTheme="minorHAnsi" w:hAnsiTheme="minorHAnsi" w:cs="Calibri"/>
          <w:lang w:val="mk-MK"/>
        </w:rPr>
        <w:t>иот</w:t>
      </w:r>
      <w:r w:rsidRPr="002968EC">
        <w:rPr>
          <w:rFonts w:asciiTheme="minorHAnsi" w:hAnsiTheme="minorHAnsi" w:cs="Calibri"/>
        </w:rPr>
        <w:t xml:space="preserve"> пристап</w:t>
      </w:r>
      <w:r w:rsidR="0076461C" w:rsidRPr="002968EC">
        <w:rPr>
          <w:rFonts w:asciiTheme="minorHAnsi" w:hAnsiTheme="minorHAnsi" w:cs="Calibri"/>
          <w:lang w:val="mk-MK"/>
        </w:rPr>
        <w:t xml:space="preserve"> до мрежа</w:t>
      </w:r>
      <w:r w:rsidRPr="002968EC">
        <w:rPr>
          <w:rFonts w:asciiTheme="minorHAnsi" w:hAnsiTheme="minorHAnsi" w:cs="Calibri"/>
        </w:rPr>
        <w:t xml:space="preserve"> од ист</w:t>
      </w:r>
      <w:r w:rsidRPr="002968EC">
        <w:rPr>
          <w:rFonts w:asciiTheme="minorHAnsi" w:hAnsiTheme="minorHAnsi" w:cs="Calibri"/>
          <w:lang w:val="mk-MK"/>
        </w:rPr>
        <w:t>иот</w:t>
      </w:r>
      <w:r w:rsidRPr="002968EC">
        <w:rPr>
          <w:rFonts w:asciiTheme="minorHAnsi" w:hAnsiTheme="minorHAnsi" w:cs="Calibri"/>
        </w:rPr>
        <w:t xml:space="preserve"> релевантен пазар врз основа на тоа </w:t>
      </w:r>
      <w:r w:rsidRPr="002968EC">
        <w:rPr>
          <w:rFonts w:asciiTheme="minorHAnsi" w:hAnsiTheme="minorHAnsi" w:cs="Calibri"/>
          <w:lang w:val="mk-MK"/>
        </w:rPr>
        <w:t xml:space="preserve">дека </w:t>
      </w:r>
      <w:r w:rsidRPr="002968EC">
        <w:rPr>
          <w:rFonts w:asciiTheme="minorHAnsi" w:hAnsiTheme="minorHAnsi" w:cs="Calibri"/>
        </w:rPr>
        <w:t>теснопојасни</w:t>
      </w:r>
      <w:r w:rsidRPr="002968EC">
        <w:rPr>
          <w:rFonts w:asciiTheme="minorHAnsi" w:hAnsiTheme="minorHAnsi" w:cs="Calibri"/>
          <w:lang w:val="mk-MK"/>
        </w:rPr>
        <w:t>от пристап</w:t>
      </w:r>
      <w:r w:rsidRPr="002968EC">
        <w:rPr>
          <w:rFonts w:asciiTheme="minorHAnsi" w:hAnsiTheme="minorHAnsi" w:cs="Calibri"/>
        </w:rPr>
        <w:t xml:space="preserve"> не обезбедува </w:t>
      </w:r>
      <w:r w:rsidRPr="002968EC">
        <w:rPr>
          <w:rFonts w:asciiTheme="minorHAnsi" w:hAnsiTheme="minorHAnsi" w:cs="Calibri"/>
          <w:lang w:val="mk-MK"/>
        </w:rPr>
        <w:t xml:space="preserve">еквивалентна </w:t>
      </w:r>
      <w:r w:rsidRPr="002968EC">
        <w:rPr>
          <w:rFonts w:asciiTheme="minorHAnsi" w:hAnsiTheme="minorHAnsi" w:cs="Calibri"/>
        </w:rPr>
        <w:t>функцион</w:t>
      </w:r>
      <w:r w:rsidRPr="002968EC">
        <w:rPr>
          <w:rFonts w:asciiTheme="minorHAnsi" w:hAnsiTheme="minorHAnsi" w:cs="Calibri"/>
          <w:lang w:val="mk-MK"/>
        </w:rPr>
        <w:t>алност</w:t>
      </w:r>
      <w:r w:rsidRPr="002968EC">
        <w:rPr>
          <w:rFonts w:asciiTheme="minorHAnsi" w:hAnsiTheme="minorHAnsi" w:cs="Calibri"/>
        </w:rPr>
        <w:t xml:space="preserve"> на </w:t>
      </w:r>
      <w:r w:rsidR="0076461C" w:rsidRPr="002968EC">
        <w:rPr>
          <w:rFonts w:asciiTheme="minorHAnsi" w:hAnsiTheme="minorHAnsi" w:cs="Calibri"/>
          <w:lang w:val="mk-MK"/>
        </w:rPr>
        <w:t>услугите со широк опсег</w:t>
      </w:r>
      <w:r w:rsidRPr="002968EC">
        <w:rPr>
          <w:rFonts w:asciiTheme="minorHAnsi" w:hAnsiTheme="minorHAnsi" w:cs="Calibri"/>
        </w:rPr>
        <w:t xml:space="preserve"> и не е соодветна замена. Земајќи ги предвид техничките карактеристики на широкопојас</w:t>
      </w:r>
      <w:r w:rsidRPr="002968EC">
        <w:rPr>
          <w:rFonts w:asciiTheme="minorHAnsi" w:hAnsiTheme="minorHAnsi" w:cs="Calibri"/>
          <w:lang w:val="mk-MK"/>
        </w:rPr>
        <w:t>ниот</w:t>
      </w:r>
      <w:r w:rsidRPr="002968EC">
        <w:rPr>
          <w:rFonts w:asciiTheme="minorHAnsi" w:hAnsiTheme="minorHAnsi" w:cs="Calibri"/>
        </w:rPr>
        <w:t xml:space="preserve"> </w:t>
      </w:r>
      <w:r w:rsidRPr="002968EC">
        <w:rPr>
          <w:rFonts w:asciiTheme="minorHAnsi" w:hAnsiTheme="minorHAnsi" w:cs="Calibri"/>
          <w:lang w:val="mk-MK"/>
        </w:rPr>
        <w:t>пристап</w:t>
      </w:r>
      <w:r w:rsidRPr="002968EC">
        <w:rPr>
          <w:rFonts w:asciiTheme="minorHAnsi" w:hAnsiTheme="minorHAnsi" w:cs="Calibri"/>
        </w:rPr>
        <w:t>, Европската комисиј</w:t>
      </w:r>
      <w:r w:rsidRPr="002968EC">
        <w:rPr>
          <w:rFonts w:asciiTheme="minorHAnsi" w:hAnsiTheme="minorHAnsi" w:cs="Calibri"/>
          <w:lang w:val="mk-MK"/>
        </w:rPr>
        <w:t>а</w:t>
      </w:r>
      <w:r w:rsidRPr="002968EC">
        <w:rPr>
          <w:rFonts w:asciiTheme="minorHAnsi" w:hAnsiTheme="minorHAnsi" w:cs="Calibri"/>
        </w:rPr>
        <w:t xml:space="preserve"> истакн</w:t>
      </w:r>
      <w:r w:rsidRPr="002968EC">
        <w:rPr>
          <w:rFonts w:asciiTheme="minorHAnsi" w:hAnsiTheme="minorHAnsi" w:cs="Calibri"/>
          <w:lang w:val="mk-MK"/>
        </w:rPr>
        <w:t>ува</w:t>
      </w:r>
      <w:r w:rsidRPr="002968EC">
        <w:rPr>
          <w:rFonts w:asciiTheme="minorHAnsi" w:hAnsiTheme="minorHAnsi" w:cs="Calibri"/>
        </w:rPr>
        <w:t xml:space="preserve"> дека теснопојасни</w:t>
      </w:r>
      <w:r w:rsidRPr="002968EC">
        <w:rPr>
          <w:rFonts w:asciiTheme="minorHAnsi" w:hAnsiTheme="minorHAnsi" w:cs="Calibri"/>
          <w:lang w:val="mk-MK"/>
        </w:rPr>
        <w:t>от пристап</w:t>
      </w:r>
      <w:r w:rsidRPr="002968EC">
        <w:rPr>
          <w:rFonts w:asciiTheme="minorHAnsi" w:hAnsiTheme="minorHAnsi" w:cs="Calibri"/>
        </w:rPr>
        <w:t xml:space="preserve"> ќе биде во посебен пазар "бидејќи услуг</w:t>
      </w:r>
      <w:r w:rsidRPr="002968EC">
        <w:rPr>
          <w:rFonts w:asciiTheme="minorHAnsi" w:hAnsiTheme="minorHAnsi" w:cs="Calibri"/>
          <w:lang w:val="mk-MK"/>
        </w:rPr>
        <w:t>ата</w:t>
      </w:r>
      <w:r w:rsidRPr="002968EC">
        <w:rPr>
          <w:rFonts w:asciiTheme="minorHAnsi" w:hAnsiTheme="minorHAnsi" w:cs="Calibri"/>
        </w:rPr>
        <w:t xml:space="preserve"> и/или карактеристики</w:t>
      </w:r>
      <w:r w:rsidRPr="002968EC">
        <w:rPr>
          <w:rFonts w:asciiTheme="minorHAnsi" w:hAnsiTheme="minorHAnsi" w:cs="Calibri"/>
          <w:lang w:val="mk-MK"/>
        </w:rPr>
        <w:t>те</w:t>
      </w:r>
      <w:r w:rsidRPr="002968EC">
        <w:rPr>
          <w:rFonts w:asciiTheme="minorHAnsi" w:hAnsiTheme="minorHAnsi" w:cs="Calibri"/>
        </w:rPr>
        <w:t xml:space="preserve"> на квалитетот на тие услуги (вклучувајќи ги и нивните upload и download брзин</w:t>
      </w:r>
      <w:r w:rsidRPr="002968EC">
        <w:rPr>
          <w:rFonts w:asciiTheme="minorHAnsi" w:hAnsiTheme="minorHAnsi" w:cs="Calibri"/>
          <w:lang w:val="mk-MK"/>
        </w:rPr>
        <w:t>и</w:t>
      </w:r>
      <w:r w:rsidRPr="002968EC">
        <w:rPr>
          <w:rFonts w:asciiTheme="minorHAnsi" w:hAnsiTheme="minorHAnsi" w:cs="Calibri"/>
        </w:rPr>
        <w:t xml:space="preserve">), кои можат да бидат понудени </w:t>
      </w:r>
      <w:r w:rsidRPr="002968EC">
        <w:rPr>
          <w:rFonts w:asciiTheme="minorHAnsi" w:hAnsiTheme="minorHAnsi" w:cs="Calibri"/>
          <w:lang w:val="mk-MK"/>
        </w:rPr>
        <w:t xml:space="preserve">преку </w:t>
      </w:r>
      <w:r w:rsidRPr="002968EC">
        <w:rPr>
          <w:rFonts w:asciiTheme="minorHAnsi" w:hAnsiTheme="minorHAnsi" w:cs="Calibri"/>
        </w:rPr>
        <w:t xml:space="preserve"> теснопојас</w:t>
      </w:r>
      <w:r w:rsidRPr="002968EC">
        <w:rPr>
          <w:rFonts w:asciiTheme="minorHAnsi" w:hAnsiTheme="minorHAnsi" w:cs="Calibri"/>
          <w:lang w:val="mk-MK"/>
        </w:rPr>
        <w:t>ниот</w:t>
      </w:r>
      <w:r w:rsidRPr="002968EC">
        <w:rPr>
          <w:rFonts w:asciiTheme="minorHAnsi" w:hAnsiTheme="minorHAnsi" w:cs="Calibri"/>
        </w:rPr>
        <w:t xml:space="preserve"> п</w:t>
      </w:r>
      <w:r w:rsidRPr="002968EC">
        <w:rPr>
          <w:rFonts w:asciiTheme="minorHAnsi" w:hAnsiTheme="minorHAnsi" w:cs="Calibri"/>
          <w:lang w:val="mk-MK"/>
        </w:rPr>
        <w:t>ристап</w:t>
      </w:r>
      <w:r w:rsidRPr="002968EC">
        <w:rPr>
          <w:rFonts w:asciiTheme="minorHAnsi" w:hAnsiTheme="minorHAnsi" w:cs="Calibri"/>
        </w:rPr>
        <w:t xml:space="preserve"> не</w:t>
      </w:r>
      <w:r w:rsidRPr="002968EC">
        <w:rPr>
          <w:rFonts w:asciiTheme="minorHAnsi" w:hAnsiTheme="minorHAnsi" w:cs="Calibri"/>
          <w:lang w:val="mk-MK"/>
        </w:rPr>
        <w:t xml:space="preserve"> претставуваат </w:t>
      </w:r>
      <w:r w:rsidRPr="002968EC">
        <w:rPr>
          <w:rFonts w:asciiTheme="minorHAnsi" w:hAnsiTheme="minorHAnsi" w:cs="Calibri"/>
        </w:rPr>
        <w:t>остварлива замен</w:t>
      </w:r>
      <w:r w:rsidRPr="002968EC">
        <w:rPr>
          <w:rFonts w:asciiTheme="minorHAnsi" w:hAnsiTheme="minorHAnsi" w:cs="Calibri"/>
          <w:lang w:val="mk-MK"/>
        </w:rPr>
        <w:t>а</w:t>
      </w:r>
      <w:r w:rsidRPr="002968EC">
        <w:rPr>
          <w:rFonts w:asciiTheme="minorHAnsi" w:hAnsiTheme="minorHAnsi" w:cs="Calibri"/>
        </w:rPr>
        <w:t xml:space="preserve"> од гледна точка на крајниот корисник</w:t>
      </w:r>
      <w:r w:rsidRPr="002968EC">
        <w:rPr>
          <w:rFonts w:asciiTheme="minorHAnsi" w:hAnsiTheme="minorHAnsi" w:cs="Calibri"/>
          <w:lang w:val="mk-MK"/>
        </w:rPr>
        <w:t xml:space="preserve"> кој што</w:t>
      </w:r>
      <w:r w:rsidRPr="002968EC">
        <w:rPr>
          <w:rFonts w:asciiTheme="minorHAnsi" w:hAnsiTheme="minorHAnsi" w:cs="Calibri"/>
        </w:rPr>
        <w:t xml:space="preserve"> корис</w:t>
      </w:r>
      <w:r w:rsidRPr="002968EC">
        <w:rPr>
          <w:rFonts w:asciiTheme="minorHAnsi" w:hAnsiTheme="minorHAnsi" w:cs="Calibri"/>
          <w:lang w:val="mk-MK"/>
        </w:rPr>
        <w:t>ти</w:t>
      </w:r>
      <w:r w:rsidRPr="002968EC">
        <w:rPr>
          <w:rFonts w:asciiTheme="minorHAnsi" w:hAnsiTheme="minorHAnsi" w:cs="Calibri"/>
        </w:rPr>
        <w:t xml:space="preserve"> широкопојасен </w:t>
      </w:r>
      <w:r w:rsidRPr="002968EC">
        <w:rPr>
          <w:rFonts w:asciiTheme="minorHAnsi" w:hAnsiTheme="minorHAnsi" w:cs="Calibri"/>
          <w:lang w:val="mk-MK"/>
        </w:rPr>
        <w:t xml:space="preserve">пристап до мрежата. </w:t>
      </w:r>
    </w:p>
    <w:p w:rsidR="00F21862" w:rsidRPr="002968EC" w:rsidRDefault="007967C2" w:rsidP="00781AEE">
      <w:pPr>
        <w:rPr>
          <w:rFonts w:asciiTheme="minorHAnsi" w:hAnsiTheme="minorHAnsi" w:cs="Calibri"/>
          <w:lang w:val="mk-MK"/>
        </w:rPr>
      </w:pPr>
      <w:r w:rsidRPr="002968EC">
        <w:rPr>
          <w:rFonts w:asciiTheme="minorHAnsi" w:hAnsiTheme="minorHAnsi" w:cs="Calibri"/>
          <w:lang w:val="mk-MK"/>
        </w:rPr>
        <w:t>АЕК</w:t>
      </w:r>
      <w:r w:rsidR="00F21862" w:rsidRPr="002968EC">
        <w:rPr>
          <w:rFonts w:asciiTheme="minorHAnsi" w:hAnsiTheme="minorHAnsi" w:cs="Calibri"/>
          <w:lang w:val="mk-MK"/>
        </w:rPr>
        <w:t xml:space="preserve"> смета дека су</w:t>
      </w:r>
      <w:r w:rsidR="00513C7E" w:rsidRPr="002968EC">
        <w:rPr>
          <w:rFonts w:asciiTheme="minorHAnsi" w:hAnsiTheme="minorHAnsi" w:cs="Calibri"/>
          <w:lang w:val="mk-MK"/>
        </w:rPr>
        <w:t>п</w:t>
      </w:r>
      <w:r w:rsidR="00F21862" w:rsidRPr="002968EC">
        <w:rPr>
          <w:rFonts w:asciiTheme="minorHAnsi" w:hAnsiTheme="minorHAnsi" w:cs="Calibri"/>
          <w:lang w:val="mk-MK"/>
        </w:rPr>
        <w:t xml:space="preserve">ституцијата во поглед на гореспоменатите услуги би можела да биде асиметрична.  На пример, теснопојасниот пристап не подржува пренос на податоци со високи </w:t>
      </w:r>
      <w:r w:rsidR="00F21862" w:rsidRPr="002968EC">
        <w:rPr>
          <w:rFonts w:asciiTheme="minorHAnsi" w:hAnsiTheme="minorHAnsi" w:cs="Calibri"/>
          <w:lang w:val="mk-MK"/>
        </w:rPr>
        <w:lastRenderedPageBreak/>
        <w:t xml:space="preserve">брзини, но широкопојасниот пристап може да биде и е користен како платформа за обезбедување на пристап до </w:t>
      </w:r>
      <w:r w:rsidR="00836DC6" w:rsidRPr="002968EC">
        <w:rPr>
          <w:rFonts w:asciiTheme="minorHAnsi" w:hAnsiTheme="minorHAnsi" w:cs="Calibri"/>
          <w:lang w:val="mk-MK"/>
        </w:rPr>
        <w:t xml:space="preserve">управувани ВОИП </w:t>
      </w:r>
      <w:r w:rsidR="00F21862" w:rsidRPr="002968EC">
        <w:rPr>
          <w:rFonts w:asciiTheme="minorHAnsi" w:hAnsiTheme="minorHAnsi" w:cs="Calibri"/>
          <w:lang w:val="mk-MK"/>
        </w:rPr>
        <w:t>говорни услуги на фиксна локација.</w:t>
      </w:r>
    </w:p>
    <w:p w:rsidR="00F21862" w:rsidRPr="002968EC" w:rsidRDefault="00836DC6" w:rsidP="00781AEE">
      <w:pPr>
        <w:pStyle w:val="NoSpacing"/>
        <w:spacing w:line="276" w:lineRule="auto"/>
        <w:jc w:val="both"/>
        <w:rPr>
          <w:rFonts w:asciiTheme="minorHAnsi" w:hAnsiTheme="minorHAnsi" w:cs="Calibri"/>
          <w:lang w:val="mk-MK"/>
        </w:rPr>
      </w:pPr>
      <w:r w:rsidRPr="002968EC">
        <w:rPr>
          <w:rFonts w:asciiTheme="minorHAnsi" w:hAnsiTheme="minorHAnsi" w:cs="Calibri"/>
          <w:lang w:val="mk-MK"/>
        </w:rPr>
        <w:t>ВОИП</w:t>
      </w:r>
      <w:r w:rsidR="00F21862" w:rsidRPr="002968EC">
        <w:rPr>
          <w:rFonts w:asciiTheme="minorHAnsi" w:hAnsiTheme="minorHAnsi" w:cs="Calibri"/>
          <w:lang w:val="mk-MK"/>
        </w:rPr>
        <w:t xml:space="preserve"> </w:t>
      </w:r>
      <w:r w:rsidR="00F21862" w:rsidRPr="002968EC">
        <w:rPr>
          <w:rFonts w:asciiTheme="minorHAnsi" w:hAnsiTheme="minorHAnsi" w:cs="Calibri"/>
        </w:rPr>
        <w:t xml:space="preserve">(Voice over </w:t>
      </w:r>
      <w:r w:rsidR="00495B09" w:rsidRPr="002968EC">
        <w:rPr>
          <w:rFonts w:asciiTheme="minorHAnsi" w:hAnsiTheme="minorHAnsi" w:cs="Calibri"/>
        </w:rPr>
        <w:t>IP</w:t>
      </w:r>
      <w:r w:rsidR="00F21862" w:rsidRPr="002968EC">
        <w:rPr>
          <w:rFonts w:asciiTheme="minorHAnsi" w:hAnsiTheme="minorHAnsi" w:cs="Calibri"/>
        </w:rPr>
        <w:t xml:space="preserve">) </w:t>
      </w:r>
      <w:r w:rsidR="00F21862" w:rsidRPr="002968EC">
        <w:rPr>
          <w:rFonts w:asciiTheme="minorHAnsi" w:hAnsiTheme="minorHAnsi" w:cs="Calibri"/>
          <w:lang w:val="mk-MK"/>
        </w:rPr>
        <w:t>се однесува на комуникациски протоколи, технологии, методологии и трансмисиски техники за пренос на телефонски повици преку</w:t>
      </w:r>
      <w:r w:rsidR="00F21862" w:rsidRPr="002968EC">
        <w:rPr>
          <w:rFonts w:asciiTheme="minorHAnsi" w:hAnsiTheme="minorHAnsi" w:cs="Calibri"/>
        </w:rPr>
        <w:t xml:space="preserve"> </w:t>
      </w:r>
      <w:r w:rsidRPr="002968EC">
        <w:rPr>
          <w:rFonts w:asciiTheme="minorHAnsi" w:hAnsiTheme="minorHAnsi" w:cs="Calibri"/>
          <w:lang w:val="mk-MK"/>
        </w:rPr>
        <w:t>ИП</w:t>
      </w:r>
      <w:r w:rsidR="00F21862" w:rsidRPr="002968EC">
        <w:rPr>
          <w:rFonts w:asciiTheme="minorHAnsi" w:hAnsiTheme="minorHAnsi" w:cs="Calibri"/>
        </w:rPr>
        <w:t xml:space="preserve"> (Internet Protocol)</w:t>
      </w:r>
      <w:r w:rsidR="00F21862" w:rsidRPr="002968EC">
        <w:rPr>
          <w:rFonts w:asciiTheme="minorHAnsi" w:hAnsiTheme="minorHAnsi" w:cs="Calibri"/>
          <w:lang w:val="mk-MK"/>
        </w:rPr>
        <w:t xml:space="preserve">. Главната причина поради која операторите користат </w:t>
      </w:r>
      <w:r w:rsidRPr="002968EC">
        <w:rPr>
          <w:rFonts w:asciiTheme="minorHAnsi" w:hAnsiTheme="minorHAnsi" w:cs="Calibri"/>
          <w:lang w:val="mk-MK"/>
        </w:rPr>
        <w:t>ВОИП</w:t>
      </w:r>
      <w:r w:rsidR="00F21862" w:rsidRPr="002968EC">
        <w:rPr>
          <w:rFonts w:asciiTheme="minorHAnsi" w:hAnsiTheme="minorHAnsi" w:cs="Calibri"/>
        </w:rPr>
        <w:t xml:space="preserve"> </w:t>
      </w:r>
      <w:r w:rsidR="00F21862" w:rsidRPr="002968EC">
        <w:rPr>
          <w:rFonts w:asciiTheme="minorHAnsi" w:hAnsiTheme="minorHAnsi" w:cs="Calibri"/>
          <w:lang w:val="mk-MK"/>
        </w:rPr>
        <w:t xml:space="preserve">е заштедата на трошоци која произлегува од можноста за рутирање на телефонските повици преку постоечката, податочна мрежа. Традиционалните говорни сервиси користат </w:t>
      </w:r>
      <w:r w:rsidR="00861AC5" w:rsidRPr="002968EC">
        <w:rPr>
          <w:rFonts w:asciiTheme="minorHAnsi" w:hAnsiTheme="minorHAnsi" w:cs="Calibri"/>
          <w:lang w:val="mk-MK"/>
        </w:rPr>
        <w:t>ТДМ</w:t>
      </w:r>
      <w:r w:rsidR="00F21862" w:rsidRPr="002968EC">
        <w:rPr>
          <w:rFonts w:asciiTheme="minorHAnsi" w:hAnsiTheme="minorHAnsi" w:cs="Calibri"/>
        </w:rPr>
        <w:t xml:space="preserve"> (Time Division Mult</w:t>
      </w:r>
      <w:r w:rsidR="00C83693" w:rsidRPr="002968EC">
        <w:rPr>
          <w:rFonts w:asciiTheme="minorHAnsi" w:hAnsiTheme="minorHAnsi" w:cs="Calibri"/>
        </w:rPr>
        <w:t>ip</w:t>
      </w:r>
      <w:r w:rsidR="00F21862" w:rsidRPr="002968EC">
        <w:rPr>
          <w:rFonts w:asciiTheme="minorHAnsi" w:hAnsiTheme="minorHAnsi" w:cs="Calibri"/>
        </w:rPr>
        <w:t xml:space="preserve">lexing) </w:t>
      </w:r>
      <w:r w:rsidR="00F21862" w:rsidRPr="002968EC">
        <w:rPr>
          <w:rFonts w:asciiTheme="minorHAnsi" w:hAnsiTheme="minorHAnsi" w:cs="Calibri"/>
          <w:lang w:val="mk-MK"/>
        </w:rPr>
        <w:t xml:space="preserve">пренос и </w:t>
      </w:r>
      <w:r w:rsidR="00F21862" w:rsidRPr="002968EC">
        <w:rPr>
          <w:rFonts w:asciiTheme="minorHAnsi" w:hAnsiTheme="minorHAnsi" w:cs="Calibri"/>
        </w:rPr>
        <w:t xml:space="preserve">SS7 </w:t>
      </w:r>
      <w:r w:rsidR="00F21862" w:rsidRPr="002968EC">
        <w:rPr>
          <w:rFonts w:asciiTheme="minorHAnsi" w:hAnsiTheme="minorHAnsi" w:cs="Calibri"/>
          <w:lang w:val="mk-MK"/>
        </w:rPr>
        <w:t xml:space="preserve">сигнализација, додека </w:t>
      </w:r>
      <w:r w:rsidRPr="002968EC">
        <w:rPr>
          <w:rFonts w:asciiTheme="minorHAnsi" w:hAnsiTheme="minorHAnsi" w:cs="Calibri"/>
          <w:lang w:val="mk-MK"/>
        </w:rPr>
        <w:t>ВОИП</w:t>
      </w:r>
      <w:r w:rsidR="00F21862" w:rsidRPr="002968EC">
        <w:rPr>
          <w:rFonts w:asciiTheme="minorHAnsi" w:hAnsiTheme="minorHAnsi" w:cs="Calibri"/>
        </w:rPr>
        <w:t xml:space="preserve"> </w:t>
      </w:r>
      <w:r w:rsidR="00F21862" w:rsidRPr="002968EC">
        <w:rPr>
          <w:rFonts w:asciiTheme="minorHAnsi" w:hAnsiTheme="minorHAnsi" w:cs="Calibri"/>
          <w:lang w:val="mk-MK"/>
        </w:rPr>
        <w:t xml:space="preserve">користи </w:t>
      </w:r>
      <w:r w:rsidR="00861AC5" w:rsidRPr="002968EC">
        <w:rPr>
          <w:rFonts w:asciiTheme="minorHAnsi" w:hAnsiTheme="minorHAnsi" w:cs="Calibri"/>
          <w:lang w:val="mk-MK"/>
        </w:rPr>
        <w:t>ИП</w:t>
      </w:r>
      <w:r w:rsidR="00F21862" w:rsidRPr="002968EC">
        <w:rPr>
          <w:rFonts w:asciiTheme="minorHAnsi" w:hAnsiTheme="minorHAnsi" w:cs="Calibri"/>
        </w:rPr>
        <w:t xml:space="preserve"> </w:t>
      </w:r>
      <w:r w:rsidR="00F21862" w:rsidRPr="002968EC">
        <w:rPr>
          <w:rFonts w:asciiTheme="minorHAnsi" w:hAnsiTheme="minorHAnsi" w:cs="Calibri"/>
          <w:lang w:val="mk-MK"/>
        </w:rPr>
        <w:t xml:space="preserve">и други придружни технологии.  </w:t>
      </w:r>
      <w:r w:rsidR="00861AC5" w:rsidRPr="002968EC">
        <w:rPr>
          <w:rFonts w:asciiTheme="minorHAnsi" w:hAnsiTheme="minorHAnsi" w:cs="Calibri"/>
          <w:lang w:val="mk-MK"/>
        </w:rPr>
        <w:t>ВОИП</w:t>
      </w:r>
      <w:r w:rsidR="00F21862" w:rsidRPr="002968EC">
        <w:rPr>
          <w:rFonts w:asciiTheme="minorHAnsi" w:hAnsiTheme="minorHAnsi" w:cs="Calibri"/>
          <w:lang w:val="mk-MK"/>
        </w:rPr>
        <w:t xml:space="preserve"> услугата</w:t>
      </w:r>
      <w:r w:rsidR="00F21862" w:rsidRPr="002968EC">
        <w:rPr>
          <w:rFonts w:asciiTheme="minorHAnsi" w:hAnsiTheme="minorHAnsi" w:cs="Calibri"/>
        </w:rPr>
        <w:t xml:space="preserve"> </w:t>
      </w:r>
      <w:r w:rsidR="00F21862" w:rsidRPr="002968EC">
        <w:rPr>
          <w:rFonts w:asciiTheme="minorHAnsi" w:hAnsiTheme="minorHAnsi" w:cs="Calibri"/>
          <w:lang w:val="mk-MK"/>
        </w:rPr>
        <w:t>во зависност од начинот на доставување до корисникот може да биде</w:t>
      </w:r>
      <w:r w:rsidR="00F21862" w:rsidRPr="002968EC">
        <w:rPr>
          <w:rFonts w:asciiTheme="minorHAnsi" w:hAnsiTheme="minorHAnsi" w:cs="Calibri"/>
        </w:rPr>
        <w:t xml:space="preserve">: </w:t>
      </w:r>
    </w:p>
    <w:p w:rsidR="00F21862" w:rsidRPr="002968EC" w:rsidRDefault="00F21862" w:rsidP="00781AEE">
      <w:pPr>
        <w:pStyle w:val="NoSpacing"/>
        <w:spacing w:line="276" w:lineRule="auto"/>
        <w:jc w:val="both"/>
        <w:rPr>
          <w:rFonts w:asciiTheme="minorHAnsi" w:hAnsiTheme="minorHAnsi" w:cs="Calibri"/>
          <w:lang w:val="mk-MK"/>
        </w:rPr>
      </w:pPr>
    </w:p>
    <w:p w:rsidR="00032CF5" w:rsidRDefault="00F21862">
      <w:pPr>
        <w:pStyle w:val="NoSpacing"/>
        <w:numPr>
          <w:ilvl w:val="0"/>
          <w:numId w:val="6"/>
        </w:numPr>
        <w:spacing w:line="276" w:lineRule="auto"/>
        <w:jc w:val="both"/>
        <w:rPr>
          <w:rFonts w:asciiTheme="minorHAnsi" w:hAnsiTheme="minorHAnsi" w:cs="Calibri"/>
          <w:lang w:val="mk-MK"/>
        </w:rPr>
      </w:pPr>
      <w:r w:rsidRPr="002968EC">
        <w:rPr>
          <w:rFonts w:asciiTheme="minorHAnsi" w:hAnsiTheme="minorHAnsi" w:cs="Calibri"/>
          <w:lang w:val="mk-MK"/>
        </w:rPr>
        <w:t xml:space="preserve">управувана </w:t>
      </w:r>
      <w:r w:rsidR="00861AC5" w:rsidRPr="002968EC">
        <w:rPr>
          <w:rFonts w:asciiTheme="minorHAnsi" w:hAnsiTheme="minorHAnsi" w:cs="Calibri"/>
          <w:lang w:val="mk-MK"/>
        </w:rPr>
        <w:t>ВОИП</w:t>
      </w:r>
      <w:r w:rsidRPr="002968EC">
        <w:rPr>
          <w:rFonts w:asciiTheme="minorHAnsi" w:hAnsiTheme="minorHAnsi" w:cs="Calibri"/>
        </w:rPr>
        <w:t xml:space="preserve"> </w:t>
      </w:r>
      <w:r w:rsidRPr="002968EC">
        <w:rPr>
          <w:rFonts w:asciiTheme="minorHAnsi" w:hAnsiTheme="minorHAnsi" w:cs="Calibri"/>
          <w:lang w:val="mk-MK"/>
        </w:rPr>
        <w:t xml:space="preserve">услуга  и </w:t>
      </w:r>
    </w:p>
    <w:p w:rsidR="00032CF5" w:rsidRDefault="00F21862">
      <w:pPr>
        <w:pStyle w:val="NoSpacing"/>
        <w:numPr>
          <w:ilvl w:val="0"/>
          <w:numId w:val="6"/>
        </w:numPr>
        <w:spacing w:line="276" w:lineRule="auto"/>
        <w:jc w:val="both"/>
        <w:rPr>
          <w:rFonts w:asciiTheme="minorHAnsi" w:hAnsiTheme="minorHAnsi" w:cs="Calibri"/>
          <w:b/>
          <w:lang w:val="mk-MK"/>
        </w:rPr>
      </w:pPr>
      <w:r w:rsidRPr="002968EC">
        <w:rPr>
          <w:rFonts w:asciiTheme="minorHAnsi" w:hAnsiTheme="minorHAnsi" w:cs="Calibri"/>
          <w:lang w:val="mk-MK"/>
        </w:rPr>
        <w:t xml:space="preserve">неуправувана </w:t>
      </w:r>
      <w:r w:rsidR="00861AC5" w:rsidRPr="002968EC">
        <w:rPr>
          <w:rFonts w:asciiTheme="minorHAnsi" w:hAnsiTheme="minorHAnsi" w:cs="Calibri"/>
          <w:lang w:val="mk-MK"/>
        </w:rPr>
        <w:t>ВОИП</w:t>
      </w:r>
      <w:r w:rsidRPr="002968EC">
        <w:rPr>
          <w:rFonts w:asciiTheme="minorHAnsi" w:hAnsiTheme="minorHAnsi" w:cs="Calibri"/>
        </w:rPr>
        <w:t xml:space="preserve"> </w:t>
      </w:r>
      <w:r w:rsidRPr="002968EC">
        <w:rPr>
          <w:rFonts w:asciiTheme="minorHAnsi" w:hAnsiTheme="minorHAnsi" w:cs="Calibri"/>
          <w:lang w:val="mk-MK"/>
        </w:rPr>
        <w:t>услуга</w:t>
      </w:r>
      <w:r w:rsidR="00CB1E7F" w:rsidRPr="002968EC">
        <w:rPr>
          <w:rFonts w:asciiTheme="minorHAnsi" w:hAnsiTheme="minorHAnsi" w:cs="Calibri"/>
          <w:lang w:val="mk-MK"/>
        </w:rPr>
        <w:t>.</w:t>
      </w:r>
    </w:p>
    <w:p w:rsidR="00F21862" w:rsidRPr="002968EC" w:rsidRDefault="00F21862" w:rsidP="00781AEE">
      <w:pPr>
        <w:pStyle w:val="NoSpacing"/>
        <w:spacing w:line="276" w:lineRule="auto"/>
        <w:jc w:val="both"/>
        <w:rPr>
          <w:rFonts w:asciiTheme="minorHAnsi" w:hAnsiTheme="minorHAnsi" w:cs="Calibri"/>
          <w:lang w:val="mk-MK"/>
        </w:rPr>
      </w:pPr>
    </w:p>
    <w:p w:rsidR="00F21862" w:rsidRPr="002968EC" w:rsidRDefault="00F21862" w:rsidP="00781AEE">
      <w:pPr>
        <w:pStyle w:val="NoSpacing"/>
        <w:spacing w:line="276" w:lineRule="auto"/>
        <w:jc w:val="both"/>
        <w:rPr>
          <w:rFonts w:asciiTheme="minorHAnsi" w:hAnsiTheme="minorHAnsi" w:cs="Calibri"/>
          <w:lang w:val="mk-MK"/>
        </w:rPr>
      </w:pPr>
      <w:r w:rsidRPr="002968EC">
        <w:rPr>
          <w:rFonts w:asciiTheme="minorHAnsi" w:hAnsiTheme="minorHAnsi" w:cs="Calibri"/>
          <w:lang w:val="mk-MK"/>
        </w:rPr>
        <w:t xml:space="preserve">Операторите кои овозможуваат управувани </w:t>
      </w:r>
      <w:r w:rsidR="00861AC5" w:rsidRPr="002968EC">
        <w:rPr>
          <w:rFonts w:asciiTheme="minorHAnsi" w:hAnsiTheme="minorHAnsi" w:cs="Calibri"/>
        </w:rPr>
        <w:t>ВОИП</w:t>
      </w:r>
      <w:r w:rsidRPr="002968EC">
        <w:rPr>
          <w:rFonts w:asciiTheme="minorHAnsi" w:hAnsiTheme="minorHAnsi" w:cs="Calibri"/>
        </w:rPr>
        <w:t xml:space="preserve"> </w:t>
      </w:r>
      <w:r w:rsidRPr="002968EC">
        <w:rPr>
          <w:rFonts w:asciiTheme="minorHAnsi" w:hAnsiTheme="minorHAnsi" w:cs="Calibri"/>
          <w:lang w:val="mk-MK"/>
        </w:rPr>
        <w:t xml:space="preserve">услуги поседуваат своја платформа за комутација на повици и интерконекција и имаат контрола на локалната пристапна инфраструктура која самите ја поседуваат или пак ја изнајмуваат од друг оператор. Управуваните </w:t>
      </w:r>
      <w:r w:rsidR="00861AC5" w:rsidRPr="002968EC">
        <w:rPr>
          <w:rFonts w:asciiTheme="minorHAnsi" w:hAnsiTheme="minorHAnsi" w:cs="Calibri"/>
        </w:rPr>
        <w:t>ВОИП</w:t>
      </w:r>
      <w:r w:rsidRPr="002968EC">
        <w:rPr>
          <w:rFonts w:asciiTheme="minorHAnsi" w:hAnsiTheme="minorHAnsi" w:cs="Calibri"/>
        </w:rPr>
        <w:t xml:space="preserve"> </w:t>
      </w:r>
      <w:r w:rsidRPr="002968EC">
        <w:rPr>
          <w:rFonts w:asciiTheme="minorHAnsi" w:hAnsiTheme="minorHAnsi" w:cs="Calibri"/>
          <w:lang w:val="mk-MK"/>
        </w:rPr>
        <w:t xml:space="preserve">услуги вклучуваат механизми како што е приоритизација на сервиси преку кои се обезбедува квалитет на сервис со собирање на сите податочни пакети и манипулирање со нив преку софистициран софтвер. </w:t>
      </w:r>
    </w:p>
    <w:p w:rsidR="00F21862" w:rsidRPr="002968EC" w:rsidRDefault="00F21862" w:rsidP="00781AEE">
      <w:pPr>
        <w:pStyle w:val="NoSpacing"/>
        <w:spacing w:line="276" w:lineRule="auto"/>
        <w:jc w:val="both"/>
        <w:rPr>
          <w:rFonts w:asciiTheme="minorHAnsi" w:hAnsiTheme="minorHAnsi" w:cs="Calibri"/>
        </w:rPr>
      </w:pPr>
    </w:p>
    <w:p w:rsidR="00F21862" w:rsidRPr="002968EC" w:rsidRDefault="00F21862" w:rsidP="00781AEE">
      <w:pPr>
        <w:pStyle w:val="NoSpacing"/>
        <w:spacing w:line="276" w:lineRule="auto"/>
        <w:jc w:val="both"/>
        <w:rPr>
          <w:rStyle w:val="hps"/>
          <w:rFonts w:asciiTheme="minorHAnsi" w:hAnsiTheme="minorHAnsi" w:cs="Calibri"/>
          <w:color w:val="333333"/>
          <w:lang w:val="mk-MK"/>
        </w:rPr>
      </w:pPr>
      <w:r w:rsidRPr="002968EC">
        <w:rPr>
          <w:rFonts w:asciiTheme="minorHAnsi" w:hAnsiTheme="minorHAnsi" w:cs="Calibri"/>
          <w:lang w:val="mk-MK"/>
        </w:rPr>
        <w:t>Голем број на оператори веќе обезбедуваат</w:t>
      </w:r>
      <w:r w:rsidR="00C83693" w:rsidRPr="002968EC">
        <w:rPr>
          <w:rFonts w:asciiTheme="minorHAnsi" w:hAnsiTheme="minorHAnsi" w:cs="Calibri"/>
          <w:lang w:val="mk-MK"/>
        </w:rPr>
        <w:t xml:space="preserve"> јавно достапни телефонски услуги</w:t>
      </w:r>
      <w:r w:rsidRPr="002968EC">
        <w:rPr>
          <w:rFonts w:asciiTheme="minorHAnsi" w:hAnsiTheme="minorHAnsi" w:cs="Calibri"/>
          <w:lang w:val="mk-MK"/>
        </w:rPr>
        <w:t xml:space="preserve"> </w:t>
      </w:r>
      <w:r w:rsidR="00C83693" w:rsidRPr="002968EC">
        <w:rPr>
          <w:rFonts w:asciiTheme="minorHAnsi" w:hAnsiTheme="minorHAnsi" w:cs="Calibri"/>
          <w:lang w:val="mk-MK"/>
        </w:rPr>
        <w:t>(</w:t>
      </w:r>
      <w:r w:rsidRPr="002968EC">
        <w:rPr>
          <w:rFonts w:asciiTheme="minorHAnsi" w:hAnsiTheme="minorHAnsi" w:cs="Calibri"/>
          <w:lang w:val="mk-MK"/>
        </w:rPr>
        <w:t>фиксни</w:t>
      </w:r>
      <w:r w:rsidR="00C83693" w:rsidRPr="002968EC">
        <w:rPr>
          <w:rFonts w:asciiTheme="minorHAnsi" w:hAnsiTheme="minorHAnsi" w:cs="Calibri"/>
          <w:lang w:val="mk-MK"/>
        </w:rPr>
        <w:t>)</w:t>
      </w:r>
      <w:r w:rsidRPr="002968EC">
        <w:rPr>
          <w:rFonts w:asciiTheme="minorHAnsi" w:hAnsiTheme="minorHAnsi" w:cs="Calibri"/>
          <w:lang w:val="mk-MK"/>
        </w:rPr>
        <w:t xml:space="preserve"> до крајните корисници, </w:t>
      </w:r>
      <w:r w:rsidR="00C83693" w:rsidRPr="002968EC">
        <w:rPr>
          <w:rFonts w:asciiTheme="minorHAnsi" w:hAnsiTheme="minorHAnsi" w:cs="Calibri"/>
          <w:lang w:val="mk-MK"/>
        </w:rPr>
        <w:t xml:space="preserve">со користење на ВОИП технологија преку </w:t>
      </w:r>
      <w:r w:rsidRPr="002968EC">
        <w:rPr>
          <w:rFonts w:asciiTheme="minorHAnsi" w:hAnsiTheme="minorHAnsi" w:cs="Calibri"/>
          <w:lang w:val="mk-MK"/>
        </w:rPr>
        <w:t xml:space="preserve"> широкопојасен пристап, како дел од еден поширок пакет на услуги. Користењето на широкопојасен пристап до </w:t>
      </w:r>
      <w:r w:rsidR="008A38F9" w:rsidRPr="002968EC">
        <w:rPr>
          <w:rFonts w:asciiTheme="minorHAnsi" w:hAnsiTheme="minorHAnsi"/>
          <w:lang w:val="mk-MK"/>
        </w:rPr>
        <w:t>јавна електронска комуникациска мрежа на фиксна локација</w:t>
      </w:r>
      <w:r w:rsidRPr="002968EC">
        <w:rPr>
          <w:rFonts w:asciiTheme="minorHAnsi" w:hAnsiTheme="minorHAnsi" w:cs="Calibri"/>
          <w:lang w:val="mk-MK"/>
        </w:rPr>
        <w:t xml:space="preserve"> се повеќе ја зголеми употребата на  управуван</w:t>
      </w:r>
      <w:r w:rsidR="001732B0" w:rsidRPr="002968EC">
        <w:rPr>
          <w:rFonts w:asciiTheme="minorHAnsi" w:hAnsiTheme="minorHAnsi" w:cs="Calibri"/>
          <w:lang w:val="mk-MK"/>
        </w:rPr>
        <w:t>и</w:t>
      </w:r>
      <w:r w:rsidRPr="002968EC">
        <w:rPr>
          <w:rFonts w:asciiTheme="minorHAnsi" w:hAnsiTheme="minorHAnsi" w:cs="Calibri"/>
          <w:lang w:val="mk-MK"/>
        </w:rPr>
        <w:t xml:space="preserve"> ВОИП </w:t>
      </w:r>
      <w:r w:rsidR="001732B0" w:rsidRPr="002968EC">
        <w:rPr>
          <w:rFonts w:asciiTheme="minorHAnsi" w:hAnsiTheme="minorHAnsi" w:cs="Calibri"/>
          <w:lang w:val="mk-MK"/>
        </w:rPr>
        <w:t xml:space="preserve">услуги </w:t>
      </w:r>
      <w:r w:rsidRPr="002968EC">
        <w:rPr>
          <w:rFonts w:asciiTheme="minorHAnsi" w:hAnsiTheme="minorHAnsi" w:cs="Calibri"/>
          <w:lang w:val="mk-MK"/>
        </w:rPr>
        <w:t xml:space="preserve">кои што се во голема мерка слични на традиционалните говорни услуги кои се нудат преку теснопојасните </w:t>
      </w:r>
      <w:r w:rsidR="00861AC5" w:rsidRPr="002968EC">
        <w:rPr>
          <w:rFonts w:asciiTheme="minorHAnsi" w:hAnsiTheme="minorHAnsi" w:cs="Calibri"/>
          <w:lang w:val="mk-MK"/>
        </w:rPr>
        <w:t>ПСТН</w:t>
      </w:r>
      <w:r w:rsidRPr="002968EC">
        <w:rPr>
          <w:rFonts w:asciiTheme="minorHAnsi" w:hAnsiTheme="minorHAnsi" w:cs="Calibri"/>
          <w:lang w:val="mk-MK"/>
        </w:rPr>
        <w:t xml:space="preserve"> и </w:t>
      </w:r>
      <w:r w:rsidR="00E85134" w:rsidRPr="002968EC">
        <w:rPr>
          <w:rFonts w:asciiTheme="minorHAnsi" w:hAnsiTheme="minorHAnsi" w:cs="Calibri"/>
          <w:lang w:val="mk-MK"/>
        </w:rPr>
        <w:t>ИСДН</w:t>
      </w:r>
      <w:r w:rsidRPr="002968EC">
        <w:rPr>
          <w:rFonts w:asciiTheme="minorHAnsi" w:hAnsiTheme="minorHAnsi" w:cs="Calibri"/>
          <w:lang w:val="mk-MK"/>
        </w:rPr>
        <w:t xml:space="preserve"> </w:t>
      </w:r>
      <w:r w:rsidR="00B23AC6" w:rsidRPr="002968EC">
        <w:rPr>
          <w:rFonts w:asciiTheme="minorHAnsi" w:hAnsiTheme="minorHAnsi" w:cs="Calibri"/>
          <w:lang w:val="mk-MK"/>
        </w:rPr>
        <w:t xml:space="preserve">форми на </w:t>
      </w:r>
      <w:r w:rsidRPr="002968EC">
        <w:rPr>
          <w:rFonts w:asciiTheme="minorHAnsi" w:hAnsiTheme="minorHAnsi" w:cs="Calibri"/>
          <w:lang w:val="mk-MK"/>
        </w:rPr>
        <w:t>пристап. Таквите услуги се обезбедуваат од речиси сите алтернативни каб</w:t>
      </w:r>
      <w:r w:rsidR="00F069A1" w:rsidRPr="002968EC">
        <w:rPr>
          <w:rFonts w:asciiTheme="minorHAnsi" w:hAnsiTheme="minorHAnsi" w:cs="Calibri"/>
          <w:lang w:val="mk-MK"/>
        </w:rPr>
        <w:t>е</w:t>
      </w:r>
      <w:r w:rsidRPr="002968EC">
        <w:rPr>
          <w:rFonts w:asciiTheme="minorHAnsi" w:hAnsiTheme="minorHAnsi" w:cs="Calibri"/>
          <w:lang w:val="mk-MK"/>
        </w:rPr>
        <w:t xml:space="preserve">лски оператори кои што нудат различни фиксни говорни услуги пакетирани со услугата за пренос на податоци (интернет) и телевизиски услуги преку кабелска мрежа. </w:t>
      </w:r>
      <w:r w:rsidRPr="00B648E9">
        <w:rPr>
          <w:rStyle w:val="hps"/>
          <w:rFonts w:asciiTheme="minorHAnsi" w:hAnsiTheme="minorHAnsi" w:cs="Calibri"/>
          <w:lang w:val="mk-MK"/>
        </w:rPr>
        <w:t>Управуваните</w:t>
      </w:r>
      <w:r w:rsidRPr="002968EC">
        <w:rPr>
          <w:rStyle w:val="hps"/>
          <w:rFonts w:asciiTheme="minorHAnsi" w:hAnsiTheme="minorHAnsi" w:cs="Calibri"/>
          <w:color w:val="333333"/>
          <w:lang w:val="mk-MK"/>
        </w:rPr>
        <w:t xml:space="preserve"> </w:t>
      </w:r>
      <w:r w:rsidR="00861AC5" w:rsidRPr="002968EC">
        <w:rPr>
          <w:rStyle w:val="hps"/>
          <w:rFonts w:asciiTheme="minorHAnsi" w:hAnsiTheme="minorHAnsi" w:cs="Calibri"/>
          <w:color w:val="333333"/>
        </w:rPr>
        <w:t>ВОИП</w:t>
      </w:r>
      <w:r w:rsidRPr="002968EC">
        <w:rPr>
          <w:rStyle w:val="hps"/>
          <w:rFonts w:asciiTheme="minorHAnsi" w:hAnsiTheme="minorHAnsi" w:cs="Calibri"/>
          <w:color w:val="333333"/>
        </w:rPr>
        <w:t xml:space="preserve"> </w:t>
      </w:r>
      <w:r w:rsidRPr="002968EC">
        <w:rPr>
          <w:rStyle w:val="hps"/>
          <w:rFonts w:asciiTheme="minorHAnsi" w:hAnsiTheme="minorHAnsi" w:cs="Calibri"/>
          <w:color w:val="333333"/>
          <w:lang w:val="mk-MK"/>
        </w:rPr>
        <w:t>услуги, во моментов, во Република Македонија се обезбедуваат исто така и од страна на  операторот</w:t>
      </w:r>
      <w:r w:rsidR="001732B0" w:rsidRPr="002968EC">
        <w:rPr>
          <w:rStyle w:val="hps"/>
          <w:rFonts w:asciiTheme="minorHAnsi" w:hAnsiTheme="minorHAnsi" w:cs="Calibri"/>
          <w:color w:val="333333"/>
          <w:lang w:val="mk-MK"/>
        </w:rPr>
        <w:t xml:space="preserve"> со значителна пазарна моќ</w:t>
      </w:r>
      <w:r w:rsidRPr="002968EC">
        <w:rPr>
          <w:rStyle w:val="hps"/>
          <w:rFonts w:asciiTheme="minorHAnsi" w:hAnsiTheme="minorHAnsi" w:cs="Calibri"/>
          <w:color w:val="333333"/>
          <w:lang w:val="mk-MK"/>
        </w:rPr>
        <w:t>-</w:t>
      </w:r>
      <w:r w:rsidR="00CD1566" w:rsidRPr="002968EC">
        <w:rPr>
          <w:rStyle w:val="hps"/>
          <w:rFonts w:asciiTheme="minorHAnsi" w:hAnsiTheme="minorHAnsi" w:cs="Calibri"/>
          <w:color w:val="333333"/>
          <w:lang w:val="mk-MK"/>
        </w:rPr>
        <w:t>М</w:t>
      </w:r>
      <w:r w:rsidR="001732B0" w:rsidRPr="002968EC">
        <w:rPr>
          <w:rStyle w:val="hps"/>
          <w:rFonts w:asciiTheme="minorHAnsi" w:hAnsiTheme="minorHAnsi" w:cs="Calibri"/>
          <w:color w:val="333333"/>
          <w:lang w:val="mk-MK"/>
        </w:rPr>
        <w:t>КТ.</w:t>
      </w:r>
      <w:r w:rsidR="00B23AC6" w:rsidRPr="002968EC">
        <w:rPr>
          <w:rStyle w:val="hps"/>
          <w:rFonts w:asciiTheme="minorHAnsi" w:hAnsiTheme="minorHAnsi" w:cs="Calibri"/>
          <w:color w:val="333333"/>
          <w:lang w:val="mk-MK"/>
        </w:rPr>
        <w:t>,</w:t>
      </w:r>
      <w:r w:rsidR="001732B0" w:rsidRPr="002968EC">
        <w:rPr>
          <w:rStyle w:val="hps"/>
          <w:rFonts w:asciiTheme="minorHAnsi" w:hAnsiTheme="minorHAnsi" w:cs="Calibri"/>
          <w:color w:val="333333"/>
          <w:lang w:val="mk-MK"/>
        </w:rPr>
        <w:t xml:space="preserve"> Операторот МКТ до крајот на 2013 год го заврши процесот на миграција на својата мрежа кон ИП базирана мрежна инфраструктура</w:t>
      </w:r>
      <w:r w:rsidRPr="002968EC">
        <w:rPr>
          <w:rStyle w:val="hps"/>
          <w:rFonts w:asciiTheme="minorHAnsi" w:hAnsiTheme="minorHAnsi" w:cs="Calibri"/>
          <w:color w:val="333333"/>
          <w:lang w:val="mk-MK"/>
        </w:rPr>
        <w:t>.</w:t>
      </w:r>
      <w:r w:rsidR="001732B0" w:rsidRPr="002968EC">
        <w:rPr>
          <w:rStyle w:val="hps"/>
          <w:rFonts w:asciiTheme="minorHAnsi" w:hAnsiTheme="minorHAnsi" w:cs="Calibri"/>
          <w:color w:val="333333"/>
          <w:lang w:val="mk-MK"/>
        </w:rPr>
        <w:t xml:space="preserve"> Според тоа овој оператор веќе не ги обезбедува традиционалните телефонски услуги преку комутација на кола, и сите негови крајни корисници се префрлени на користење на ВОИП услуги преку новата ИП платформа. Операторот МКТ веќе не користи теснопојасен пристап за обезбедување на услугата пристап и јавно достапни телефонски услуги (фиксни). </w:t>
      </w:r>
    </w:p>
    <w:p w:rsidR="00F21862" w:rsidRPr="002968EC" w:rsidRDefault="00F21862" w:rsidP="00781AEE">
      <w:pPr>
        <w:pStyle w:val="NoSpacing"/>
        <w:spacing w:line="276" w:lineRule="auto"/>
        <w:jc w:val="both"/>
        <w:rPr>
          <w:rStyle w:val="hps"/>
          <w:rFonts w:asciiTheme="minorHAnsi" w:hAnsiTheme="minorHAnsi" w:cs="Calibri"/>
          <w:color w:val="333333"/>
          <w:lang w:val="mk-MK"/>
        </w:rPr>
      </w:pPr>
    </w:p>
    <w:p w:rsidR="00F21862" w:rsidRPr="002968EC" w:rsidRDefault="00F21862" w:rsidP="00781AEE">
      <w:pPr>
        <w:rPr>
          <w:rFonts w:asciiTheme="minorHAnsi" w:hAnsiTheme="minorHAnsi" w:cs="Calibri"/>
          <w:lang w:val="mk-MK"/>
        </w:rPr>
      </w:pPr>
      <w:r w:rsidRPr="002968EC">
        <w:rPr>
          <w:rFonts w:asciiTheme="minorHAnsi" w:hAnsiTheme="minorHAnsi" w:cs="Calibri"/>
          <w:lang w:val="mk-MK"/>
        </w:rPr>
        <w:t xml:space="preserve">Од аспект на функционалноста постојат повеќе оператори кои ја обезбедуваат услугата управуван ВОИП на крајните корисници преку употреба на широкопојасен пристап до мрежа. </w:t>
      </w:r>
      <w:r w:rsidR="007967C2" w:rsidRPr="002968EC">
        <w:rPr>
          <w:rFonts w:asciiTheme="minorHAnsi" w:hAnsiTheme="minorHAnsi" w:cs="Calibri"/>
          <w:lang w:val="mk-MK"/>
        </w:rPr>
        <w:t>АЕК</w:t>
      </w:r>
      <w:r w:rsidRPr="002968EC">
        <w:rPr>
          <w:rFonts w:asciiTheme="minorHAnsi" w:hAnsiTheme="minorHAnsi" w:cs="Calibri"/>
          <w:lang w:val="mk-MK"/>
        </w:rPr>
        <w:t xml:space="preserve"> смета дека услугата пристап преку управуван</w:t>
      </w:r>
      <w:r w:rsidR="00441A5E" w:rsidRPr="002968EC">
        <w:rPr>
          <w:rFonts w:asciiTheme="minorHAnsi" w:hAnsiTheme="minorHAnsi" w:cs="Calibri"/>
          <w:lang w:val="mk-MK"/>
        </w:rPr>
        <w:t>а</w:t>
      </w:r>
      <w:r w:rsidRPr="002968EC">
        <w:rPr>
          <w:rFonts w:asciiTheme="minorHAnsi" w:hAnsiTheme="minorHAnsi" w:cs="Calibri"/>
          <w:lang w:val="mk-MK"/>
        </w:rPr>
        <w:t xml:space="preserve"> ВОИП</w:t>
      </w:r>
      <w:r w:rsidR="00441A5E" w:rsidRPr="002968EC">
        <w:rPr>
          <w:rFonts w:asciiTheme="minorHAnsi" w:hAnsiTheme="minorHAnsi" w:cs="Calibri"/>
          <w:lang w:val="mk-MK"/>
        </w:rPr>
        <w:t xml:space="preserve"> платформа</w:t>
      </w:r>
      <w:r w:rsidRPr="002968EC">
        <w:rPr>
          <w:rFonts w:asciiTheme="minorHAnsi" w:hAnsiTheme="minorHAnsi" w:cs="Calibri"/>
          <w:lang w:val="mk-MK"/>
        </w:rPr>
        <w:t xml:space="preserve"> на корисниците им овозможува слични функционалности како и услугата </w:t>
      </w:r>
      <w:r w:rsidR="00441A5E" w:rsidRPr="002968EC">
        <w:rPr>
          <w:rFonts w:asciiTheme="minorHAnsi" w:hAnsiTheme="minorHAnsi" w:cs="Calibri"/>
          <w:lang w:val="mk-MK"/>
        </w:rPr>
        <w:t xml:space="preserve">за пристап </w:t>
      </w:r>
      <w:r w:rsidRPr="002968EC">
        <w:rPr>
          <w:rFonts w:asciiTheme="minorHAnsi" w:hAnsiTheme="minorHAnsi" w:cs="Calibri"/>
          <w:lang w:val="mk-MK"/>
        </w:rPr>
        <w:t xml:space="preserve"> </w:t>
      </w:r>
      <w:r w:rsidR="00441A5E" w:rsidRPr="002968EC">
        <w:rPr>
          <w:rFonts w:asciiTheme="minorHAnsi" w:hAnsiTheme="minorHAnsi" w:cs="Calibri"/>
          <w:lang w:val="mk-MK"/>
        </w:rPr>
        <w:t>преку ПСТН/ИСДН</w:t>
      </w:r>
      <w:r w:rsidRPr="002968EC">
        <w:rPr>
          <w:rFonts w:asciiTheme="minorHAnsi" w:hAnsiTheme="minorHAnsi" w:cs="Calibri"/>
          <w:lang w:val="mk-MK"/>
        </w:rPr>
        <w:t xml:space="preserve">. </w:t>
      </w:r>
    </w:p>
    <w:p w:rsidR="00F21862" w:rsidRPr="002968EC" w:rsidRDefault="00F21862" w:rsidP="00781AEE">
      <w:pPr>
        <w:rPr>
          <w:rFonts w:asciiTheme="minorHAnsi" w:hAnsiTheme="minorHAnsi" w:cs="Calibri"/>
          <w:lang w:val="mk-MK"/>
        </w:rPr>
      </w:pPr>
      <w:r w:rsidRPr="002968EC">
        <w:rPr>
          <w:rFonts w:asciiTheme="minorHAnsi" w:hAnsiTheme="minorHAnsi" w:cs="Calibri"/>
          <w:lang w:val="mk-MK"/>
        </w:rPr>
        <w:t>Во продолжение се набројани сличните/истите функционалности на гореспоменатата услуга:</w:t>
      </w:r>
    </w:p>
    <w:p w:rsidR="00F21862" w:rsidRPr="002968EC" w:rsidRDefault="00F21862" w:rsidP="00962835">
      <w:pPr>
        <w:pStyle w:val="ListParagraph"/>
        <w:numPr>
          <w:ilvl w:val="0"/>
          <w:numId w:val="2"/>
        </w:numPr>
        <w:rPr>
          <w:rFonts w:asciiTheme="minorHAnsi" w:hAnsiTheme="minorHAnsi" w:cs="Calibri"/>
          <w:lang w:val="mk-MK"/>
        </w:rPr>
      </w:pPr>
      <w:r w:rsidRPr="002968EC">
        <w:rPr>
          <w:rFonts w:asciiTheme="minorHAnsi" w:hAnsiTheme="minorHAnsi" w:cs="Calibri"/>
          <w:lang w:val="mk-MK"/>
        </w:rPr>
        <w:t>Пристап до јавна комуник</w:t>
      </w:r>
      <w:r w:rsidR="00DE102A" w:rsidRPr="002968EC">
        <w:rPr>
          <w:rFonts w:asciiTheme="minorHAnsi" w:hAnsiTheme="minorHAnsi" w:cs="Calibri"/>
          <w:lang w:val="mk-MK"/>
        </w:rPr>
        <w:t>ациска мрежа на фиксна локација</w:t>
      </w:r>
      <w:r w:rsidR="00DE102A" w:rsidRPr="002968EC">
        <w:rPr>
          <w:rFonts w:asciiTheme="minorHAnsi" w:hAnsiTheme="minorHAnsi" w:cs="Calibri"/>
        </w:rPr>
        <w:t>;</w:t>
      </w:r>
    </w:p>
    <w:p w:rsidR="00F21862" w:rsidRPr="002968EC" w:rsidRDefault="00F21862" w:rsidP="00962835">
      <w:pPr>
        <w:pStyle w:val="ListParagraph"/>
        <w:numPr>
          <w:ilvl w:val="0"/>
          <w:numId w:val="2"/>
        </w:numPr>
        <w:rPr>
          <w:rFonts w:asciiTheme="minorHAnsi" w:hAnsiTheme="minorHAnsi" w:cs="Calibri"/>
          <w:lang w:val="mk-MK"/>
        </w:rPr>
      </w:pPr>
      <w:r w:rsidRPr="002968EC">
        <w:rPr>
          <w:rFonts w:asciiTheme="minorHAnsi" w:hAnsiTheme="minorHAnsi" w:cs="Calibri"/>
          <w:lang w:val="mk-MK"/>
        </w:rPr>
        <w:lastRenderedPageBreak/>
        <w:t>Можност за примање и започнување на повик на фиксна локација со секоја друга нумерирана телефонска линија</w:t>
      </w:r>
      <w:r w:rsidR="00076C75" w:rsidRPr="002968EC">
        <w:rPr>
          <w:rFonts w:asciiTheme="minorHAnsi" w:hAnsiTheme="minorHAnsi" w:cs="Calibri"/>
        </w:rPr>
        <w:t>;</w:t>
      </w:r>
    </w:p>
    <w:p w:rsidR="00F21862" w:rsidRPr="002968EC" w:rsidRDefault="00F21862" w:rsidP="00962835">
      <w:pPr>
        <w:pStyle w:val="ListParagraph"/>
        <w:numPr>
          <w:ilvl w:val="0"/>
          <w:numId w:val="2"/>
        </w:numPr>
        <w:rPr>
          <w:rFonts w:asciiTheme="minorHAnsi" w:hAnsiTheme="minorHAnsi" w:cs="Calibri"/>
          <w:lang w:val="mk-MK"/>
        </w:rPr>
      </w:pPr>
      <w:r w:rsidRPr="002968EC">
        <w:rPr>
          <w:rFonts w:asciiTheme="minorHAnsi" w:hAnsiTheme="minorHAnsi" w:cs="Calibri"/>
          <w:lang w:val="mk-MK"/>
        </w:rPr>
        <w:t>Географски број (со префикс според националната распределба)</w:t>
      </w:r>
      <w:r w:rsidR="00076C75" w:rsidRPr="002968EC">
        <w:rPr>
          <w:rFonts w:asciiTheme="minorHAnsi" w:hAnsiTheme="minorHAnsi" w:cs="Calibri"/>
        </w:rPr>
        <w:t>;</w:t>
      </w:r>
    </w:p>
    <w:p w:rsidR="00F21862" w:rsidRPr="002968EC" w:rsidRDefault="00F21862" w:rsidP="00962835">
      <w:pPr>
        <w:pStyle w:val="ListParagraph"/>
        <w:numPr>
          <w:ilvl w:val="0"/>
          <w:numId w:val="2"/>
        </w:numPr>
        <w:rPr>
          <w:rFonts w:asciiTheme="minorHAnsi" w:hAnsiTheme="minorHAnsi" w:cs="Calibri"/>
          <w:lang w:val="mk-MK"/>
        </w:rPr>
      </w:pPr>
      <w:r w:rsidRPr="002968EC">
        <w:rPr>
          <w:rFonts w:asciiTheme="minorHAnsi" w:hAnsiTheme="minorHAnsi" w:cs="Calibri"/>
          <w:lang w:val="mk-MK"/>
        </w:rPr>
        <w:t>Пристап до броеви за итни случаи</w:t>
      </w:r>
      <w:r w:rsidR="00076C75" w:rsidRPr="002968EC">
        <w:rPr>
          <w:rFonts w:asciiTheme="minorHAnsi" w:hAnsiTheme="minorHAnsi" w:cs="Calibri"/>
        </w:rPr>
        <w:t>;</w:t>
      </w:r>
    </w:p>
    <w:p w:rsidR="00F21862" w:rsidRPr="002968EC" w:rsidRDefault="00F21862" w:rsidP="00962835">
      <w:pPr>
        <w:pStyle w:val="ListParagraph"/>
        <w:numPr>
          <w:ilvl w:val="0"/>
          <w:numId w:val="2"/>
        </w:numPr>
        <w:rPr>
          <w:rFonts w:asciiTheme="minorHAnsi" w:hAnsiTheme="minorHAnsi" w:cs="Calibri"/>
          <w:lang w:val="mk-MK"/>
        </w:rPr>
      </w:pPr>
      <w:r w:rsidRPr="002968EC">
        <w:rPr>
          <w:rFonts w:asciiTheme="minorHAnsi" w:hAnsiTheme="minorHAnsi" w:cs="Calibri"/>
          <w:lang w:val="mk-MK"/>
        </w:rPr>
        <w:t>Телефонски уред ист како стандардниот ПСТН уред.</w:t>
      </w:r>
    </w:p>
    <w:p w:rsidR="00F21862" w:rsidRPr="002968EC" w:rsidRDefault="00F21862" w:rsidP="00781AEE">
      <w:pPr>
        <w:pStyle w:val="NoSpacing"/>
        <w:spacing w:line="276" w:lineRule="auto"/>
        <w:jc w:val="both"/>
        <w:rPr>
          <w:rFonts w:asciiTheme="minorHAnsi" w:hAnsiTheme="minorHAnsi" w:cs="Calibri"/>
          <w:lang w:val="mk-MK"/>
        </w:rPr>
      </w:pPr>
      <w:r w:rsidRPr="002968EC">
        <w:rPr>
          <w:rFonts w:asciiTheme="minorHAnsi" w:hAnsiTheme="minorHAnsi" w:cs="Calibri"/>
          <w:lang w:val="mk-MK"/>
        </w:rPr>
        <w:t xml:space="preserve">Од корисничка перспектива телефонската услуга во поглед на обезбедувањето на говор преку управуван ВОИП се смета за слична или еднаква на услугата на говор обезбедена преку традиционалниот теснопојасен пристап на мрежа. </w:t>
      </w:r>
    </w:p>
    <w:p w:rsidR="00F21862" w:rsidRPr="002968EC" w:rsidRDefault="00F21862" w:rsidP="00781AEE">
      <w:pPr>
        <w:pStyle w:val="NoSpacing"/>
        <w:spacing w:line="276" w:lineRule="auto"/>
        <w:jc w:val="both"/>
        <w:rPr>
          <w:rFonts w:asciiTheme="minorHAnsi" w:hAnsiTheme="minorHAnsi" w:cs="Calibri"/>
          <w:lang w:val="mk-MK"/>
        </w:rPr>
      </w:pPr>
      <w:r w:rsidRPr="002968EC">
        <w:rPr>
          <w:rFonts w:asciiTheme="minorHAnsi" w:hAnsiTheme="minorHAnsi" w:cs="Calibri"/>
          <w:lang w:val="mk-MK"/>
        </w:rPr>
        <w:t>Иако платформата за обезбедување на услугата е различна, управуваниот ВОИП преку широкопојасниот пристап обезбедува функционална еднаквост и тоа во поглед на:</w:t>
      </w:r>
    </w:p>
    <w:p w:rsidR="00F21862" w:rsidRPr="002968EC" w:rsidRDefault="00F21862" w:rsidP="00962835">
      <w:pPr>
        <w:pStyle w:val="NoSpacing"/>
        <w:numPr>
          <w:ilvl w:val="0"/>
          <w:numId w:val="2"/>
        </w:numPr>
        <w:spacing w:line="276" w:lineRule="auto"/>
        <w:jc w:val="both"/>
        <w:rPr>
          <w:rFonts w:asciiTheme="minorHAnsi" w:hAnsiTheme="minorHAnsi" w:cs="Calibri"/>
          <w:lang w:val="mk-MK"/>
        </w:rPr>
      </w:pPr>
      <w:r w:rsidRPr="002968EC">
        <w:rPr>
          <w:rFonts w:asciiTheme="minorHAnsi" w:hAnsiTheme="minorHAnsi" w:cs="Calibri"/>
          <w:lang w:val="mk-MK"/>
        </w:rPr>
        <w:t>Услугата с</w:t>
      </w:r>
      <w:r w:rsidR="007F49A2" w:rsidRPr="002968EC">
        <w:rPr>
          <w:rFonts w:asciiTheme="minorHAnsi" w:hAnsiTheme="minorHAnsi" w:cs="Calibri"/>
          <w:lang w:val="mk-MK"/>
        </w:rPr>
        <w:t>е обезбедува на фиксна локација</w:t>
      </w:r>
      <w:r w:rsidR="007F49A2" w:rsidRPr="002968EC">
        <w:rPr>
          <w:rFonts w:asciiTheme="minorHAnsi" w:hAnsiTheme="minorHAnsi" w:cs="Calibri"/>
        </w:rPr>
        <w:t>;</w:t>
      </w:r>
    </w:p>
    <w:p w:rsidR="00F21862" w:rsidRPr="002968EC" w:rsidRDefault="00F21862" w:rsidP="00962835">
      <w:pPr>
        <w:pStyle w:val="NoSpacing"/>
        <w:numPr>
          <w:ilvl w:val="0"/>
          <w:numId w:val="2"/>
        </w:numPr>
        <w:spacing w:line="276" w:lineRule="auto"/>
        <w:jc w:val="both"/>
        <w:rPr>
          <w:rFonts w:asciiTheme="minorHAnsi" w:hAnsiTheme="minorHAnsi" w:cs="Calibri"/>
          <w:lang w:val="mk-MK"/>
        </w:rPr>
      </w:pPr>
      <w:r w:rsidRPr="002968EC">
        <w:rPr>
          <w:rFonts w:asciiTheme="minorHAnsi" w:hAnsiTheme="minorHAnsi" w:cs="Calibri"/>
          <w:lang w:val="mk-MK"/>
        </w:rPr>
        <w:t>Вклучува користење на уред со стандардна фиксна телефонс</w:t>
      </w:r>
      <w:r w:rsidR="007F49A2" w:rsidRPr="002968EC">
        <w:rPr>
          <w:rFonts w:asciiTheme="minorHAnsi" w:hAnsiTheme="minorHAnsi" w:cs="Calibri"/>
          <w:lang w:val="mk-MK"/>
        </w:rPr>
        <w:t>ка функционалност и перформанси</w:t>
      </w:r>
      <w:r w:rsidR="007F49A2" w:rsidRPr="002968EC">
        <w:rPr>
          <w:rFonts w:asciiTheme="minorHAnsi" w:hAnsiTheme="minorHAnsi" w:cs="Calibri"/>
        </w:rPr>
        <w:t>;</w:t>
      </w:r>
    </w:p>
    <w:p w:rsidR="00F21862" w:rsidRPr="002968EC" w:rsidRDefault="00F21862" w:rsidP="00962835">
      <w:pPr>
        <w:pStyle w:val="NoSpacing"/>
        <w:numPr>
          <w:ilvl w:val="0"/>
          <w:numId w:val="2"/>
        </w:numPr>
        <w:spacing w:line="276" w:lineRule="auto"/>
        <w:jc w:val="both"/>
        <w:rPr>
          <w:rFonts w:asciiTheme="minorHAnsi" w:hAnsiTheme="minorHAnsi" w:cs="Calibri"/>
          <w:lang w:val="mk-MK"/>
        </w:rPr>
      </w:pPr>
      <w:r w:rsidRPr="002968EC">
        <w:rPr>
          <w:rFonts w:asciiTheme="minorHAnsi" w:hAnsiTheme="minorHAnsi" w:cs="Calibri"/>
          <w:lang w:val="mk-MK"/>
        </w:rPr>
        <w:t>Процесо</w:t>
      </w:r>
      <w:r w:rsidR="007F49A2" w:rsidRPr="002968EC">
        <w:rPr>
          <w:rFonts w:asciiTheme="minorHAnsi" w:hAnsiTheme="minorHAnsi" w:cs="Calibri"/>
          <w:lang w:val="mk-MK"/>
        </w:rPr>
        <w:t>т на започнување на повик е ист</w:t>
      </w:r>
      <w:r w:rsidR="007F49A2" w:rsidRPr="002968EC">
        <w:rPr>
          <w:rFonts w:asciiTheme="minorHAnsi" w:hAnsiTheme="minorHAnsi" w:cs="Calibri"/>
        </w:rPr>
        <w:t>;</w:t>
      </w:r>
    </w:p>
    <w:p w:rsidR="00F21862" w:rsidRPr="002968EC" w:rsidRDefault="00F21862" w:rsidP="00962835">
      <w:pPr>
        <w:pStyle w:val="NoSpacing"/>
        <w:numPr>
          <w:ilvl w:val="0"/>
          <w:numId w:val="2"/>
        </w:numPr>
        <w:spacing w:line="276" w:lineRule="auto"/>
        <w:jc w:val="both"/>
        <w:rPr>
          <w:rFonts w:asciiTheme="minorHAnsi" w:hAnsiTheme="minorHAnsi" w:cs="Calibri"/>
          <w:lang w:val="mk-MK"/>
        </w:rPr>
      </w:pPr>
      <w:r w:rsidRPr="002968EC">
        <w:rPr>
          <w:rFonts w:asciiTheme="minorHAnsi" w:hAnsiTheme="minorHAnsi" w:cs="Calibri"/>
          <w:lang w:val="mk-MK"/>
        </w:rPr>
        <w:t>Телефонот има еднаква конекција со традиционалните телефони.</w:t>
      </w:r>
    </w:p>
    <w:p w:rsidR="00F21862" w:rsidRPr="002968EC" w:rsidRDefault="00F21862" w:rsidP="00781AEE">
      <w:pPr>
        <w:pStyle w:val="NoSpacing"/>
        <w:spacing w:line="276" w:lineRule="auto"/>
        <w:ind w:left="360"/>
        <w:jc w:val="both"/>
        <w:rPr>
          <w:rFonts w:asciiTheme="minorHAnsi" w:hAnsiTheme="minorHAnsi" w:cs="Calibri"/>
          <w:lang w:val="mk-MK"/>
        </w:rPr>
      </w:pPr>
    </w:p>
    <w:p w:rsidR="00587D92" w:rsidRPr="002968EC" w:rsidRDefault="00F21862" w:rsidP="00781AEE">
      <w:pPr>
        <w:pStyle w:val="NoSpacing"/>
        <w:spacing w:line="276" w:lineRule="auto"/>
        <w:jc w:val="both"/>
        <w:rPr>
          <w:rFonts w:asciiTheme="minorHAnsi" w:hAnsiTheme="minorHAnsi" w:cs="Calibri"/>
          <w:lang w:val="mk-MK"/>
        </w:rPr>
      </w:pPr>
      <w:r w:rsidRPr="002968EC">
        <w:rPr>
          <w:rFonts w:asciiTheme="minorHAnsi" w:hAnsiTheme="minorHAnsi" w:cs="Calibri"/>
          <w:lang w:val="mk-MK"/>
        </w:rPr>
        <w:t>Во пракса користењето на услуг</w:t>
      </w:r>
      <w:r w:rsidR="007F49A2" w:rsidRPr="002968EC">
        <w:rPr>
          <w:rFonts w:asciiTheme="minorHAnsi" w:hAnsiTheme="minorHAnsi" w:cs="Calibri"/>
          <w:lang w:val="mk-MK"/>
        </w:rPr>
        <w:t xml:space="preserve">ите пристап и говор </w:t>
      </w:r>
      <w:r w:rsidRPr="002968EC">
        <w:rPr>
          <w:rFonts w:asciiTheme="minorHAnsi" w:hAnsiTheme="minorHAnsi" w:cs="Calibri"/>
          <w:lang w:val="mk-MK"/>
        </w:rPr>
        <w:t xml:space="preserve">преку управуван ВОИП </w:t>
      </w:r>
      <w:r w:rsidR="007F49A2" w:rsidRPr="002968EC">
        <w:rPr>
          <w:rFonts w:asciiTheme="minorHAnsi" w:hAnsiTheme="minorHAnsi" w:cs="Calibri"/>
          <w:lang w:val="mk-MK"/>
        </w:rPr>
        <w:t xml:space="preserve">е </w:t>
      </w:r>
      <w:r w:rsidR="00BB48E9" w:rsidRPr="002968EC">
        <w:rPr>
          <w:rFonts w:asciiTheme="minorHAnsi" w:hAnsiTheme="minorHAnsi" w:cs="Calibri"/>
          <w:lang w:val="mk-MK"/>
        </w:rPr>
        <w:t>едноставно</w:t>
      </w:r>
      <w:r w:rsidRPr="002968EC">
        <w:rPr>
          <w:rFonts w:asciiTheme="minorHAnsi" w:hAnsiTheme="minorHAnsi" w:cs="Calibri"/>
          <w:lang w:val="mk-MK"/>
        </w:rPr>
        <w:t xml:space="preserve"> и корисниците најчесто не се свесни дека користат ВОИП наместо </w:t>
      </w:r>
      <w:r w:rsidR="00CB77AE" w:rsidRPr="002968EC">
        <w:rPr>
          <w:rFonts w:asciiTheme="minorHAnsi" w:hAnsiTheme="minorHAnsi" w:cs="Calibri"/>
          <w:lang w:val="mk-MK"/>
        </w:rPr>
        <w:t xml:space="preserve">традиционална </w:t>
      </w:r>
      <w:r w:rsidRPr="002968EC">
        <w:rPr>
          <w:rFonts w:asciiTheme="minorHAnsi" w:hAnsiTheme="minorHAnsi" w:cs="Calibri"/>
          <w:lang w:val="mk-MK"/>
        </w:rPr>
        <w:t>телефонска линија.</w:t>
      </w:r>
      <w:r w:rsidR="00CB77AE" w:rsidRPr="002968EC">
        <w:rPr>
          <w:rFonts w:asciiTheme="minorHAnsi" w:hAnsiTheme="minorHAnsi" w:cs="Calibri"/>
          <w:lang w:val="mk-MK"/>
        </w:rPr>
        <w:t xml:space="preserve"> К</w:t>
      </w:r>
      <w:r w:rsidRPr="002968EC">
        <w:rPr>
          <w:rFonts w:asciiTheme="minorHAnsi" w:hAnsiTheme="minorHAnsi" w:cs="Calibri"/>
          <w:lang w:val="mk-MK"/>
        </w:rPr>
        <w:t xml:space="preserve">валитетот на широкопојасниот пристап има влијание </w:t>
      </w:r>
      <w:r w:rsidR="00CB77AE" w:rsidRPr="002968EC">
        <w:rPr>
          <w:rFonts w:asciiTheme="minorHAnsi" w:hAnsiTheme="minorHAnsi" w:cs="Calibri"/>
          <w:lang w:val="mk-MK"/>
        </w:rPr>
        <w:t>врз</w:t>
      </w:r>
      <w:r w:rsidRPr="002968EC">
        <w:rPr>
          <w:rFonts w:asciiTheme="minorHAnsi" w:hAnsiTheme="minorHAnsi" w:cs="Calibri"/>
          <w:lang w:val="mk-MK"/>
        </w:rPr>
        <w:t xml:space="preserve"> квалитетот на ВОИП услугата во поглед на брзината и доцнењето на звукот на услугата која се нуди на крајните корисници. </w:t>
      </w:r>
      <w:r w:rsidR="000D7723" w:rsidRPr="002968EC">
        <w:rPr>
          <w:rFonts w:asciiTheme="minorHAnsi" w:hAnsiTheme="minorHAnsi" w:cs="Calibri"/>
          <w:lang w:val="mk-MK"/>
        </w:rPr>
        <w:t>Операторот го контролира и управува со квалитативните параметри на пристапот и јавно достапните телефонски услуги кои користат</w:t>
      </w:r>
      <w:r w:rsidRPr="002968EC">
        <w:rPr>
          <w:rFonts w:asciiTheme="minorHAnsi" w:hAnsiTheme="minorHAnsi" w:cs="Calibri"/>
          <w:lang w:val="mk-MK"/>
        </w:rPr>
        <w:t xml:space="preserve"> управуван ВОИП. </w:t>
      </w:r>
    </w:p>
    <w:p w:rsidR="00F21862" w:rsidRPr="002968EC" w:rsidRDefault="00F21862" w:rsidP="00781AEE">
      <w:pPr>
        <w:pStyle w:val="NoSpacing"/>
        <w:spacing w:line="276" w:lineRule="auto"/>
        <w:rPr>
          <w:rFonts w:asciiTheme="minorHAnsi" w:hAnsiTheme="minorHAnsi" w:cs="Calibri"/>
          <w:lang w:val="mk-MK"/>
        </w:rPr>
      </w:pPr>
    </w:p>
    <w:p w:rsidR="00F21862" w:rsidRPr="002968EC" w:rsidRDefault="00F21862" w:rsidP="00781AEE">
      <w:pPr>
        <w:pStyle w:val="NoSpacing"/>
        <w:spacing w:line="276" w:lineRule="auto"/>
        <w:jc w:val="both"/>
        <w:rPr>
          <w:rFonts w:asciiTheme="minorHAnsi" w:hAnsiTheme="minorHAnsi" w:cs="Calibri"/>
          <w:lang w:val="mk-MK"/>
        </w:rPr>
      </w:pPr>
      <w:r w:rsidRPr="002968EC">
        <w:rPr>
          <w:rFonts w:asciiTheme="minorHAnsi" w:hAnsiTheme="minorHAnsi" w:cs="Calibri"/>
          <w:lang w:val="mk-MK"/>
        </w:rPr>
        <w:t xml:space="preserve">Неуправуваните ВОИП услуги исто така се нудат од трети страни добавувачи (како што е Skype, </w:t>
      </w:r>
      <w:r w:rsidRPr="002968EC">
        <w:rPr>
          <w:rFonts w:asciiTheme="minorHAnsi" w:hAnsiTheme="minorHAnsi" w:cs="Calibri"/>
        </w:rPr>
        <w:t xml:space="preserve">Google, Viber </w:t>
      </w:r>
      <w:r w:rsidRPr="002968EC">
        <w:rPr>
          <w:rFonts w:asciiTheme="minorHAnsi" w:hAnsiTheme="minorHAnsi" w:cs="Calibri"/>
          <w:lang w:val="mk-MK"/>
        </w:rPr>
        <w:t xml:space="preserve">и др). Неуправувани </w:t>
      </w:r>
      <w:r w:rsidR="00861AC5" w:rsidRPr="002968EC">
        <w:rPr>
          <w:rFonts w:asciiTheme="minorHAnsi" w:hAnsiTheme="minorHAnsi" w:cs="Calibri"/>
        </w:rPr>
        <w:t>ВОИП</w:t>
      </w:r>
      <w:r w:rsidRPr="002968EC">
        <w:rPr>
          <w:rFonts w:asciiTheme="minorHAnsi" w:hAnsiTheme="minorHAnsi" w:cs="Calibri"/>
        </w:rPr>
        <w:t xml:space="preserve"> </w:t>
      </w:r>
      <w:r w:rsidRPr="002968EC">
        <w:rPr>
          <w:rFonts w:asciiTheme="minorHAnsi" w:hAnsiTheme="minorHAnsi" w:cs="Calibri"/>
          <w:lang w:val="mk-MK"/>
        </w:rPr>
        <w:t>услуги се обезбедуваат од страна на оператори кои немаат пристап или контрола на локалната пристапна инфраструктура и</w:t>
      </w:r>
      <w:r w:rsidRPr="002968EC">
        <w:rPr>
          <w:rFonts w:asciiTheme="minorHAnsi" w:hAnsiTheme="minorHAnsi" w:cs="Calibri"/>
        </w:rPr>
        <w:t xml:space="preserve"> </w:t>
      </w:r>
      <w:r w:rsidRPr="002968EC">
        <w:rPr>
          <w:rFonts w:asciiTheme="minorHAnsi" w:hAnsiTheme="minorHAnsi" w:cs="Calibri"/>
          <w:lang w:val="mk-MK"/>
        </w:rPr>
        <w:t xml:space="preserve">не поседуваат своја платформа за комутација на повици и интерконекција. Ваквиот тип на </w:t>
      </w:r>
      <w:r w:rsidR="00861AC5" w:rsidRPr="002968EC">
        <w:rPr>
          <w:rFonts w:asciiTheme="minorHAnsi" w:hAnsiTheme="minorHAnsi" w:cs="Calibri"/>
        </w:rPr>
        <w:t>ВОИП</w:t>
      </w:r>
      <w:r w:rsidRPr="002968EC">
        <w:rPr>
          <w:rFonts w:asciiTheme="minorHAnsi" w:hAnsiTheme="minorHAnsi" w:cs="Calibri"/>
        </w:rPr>
        <w:t xml:space="preserve"> </w:t>
      </w:r>
      <w:r w:rsidRPr="002968EC">
        <w:rPr>
          <w:rFonts w:asciiTheme="minorHAnsi" w:hAnsiTheme="minorHAnsi" w:cs="Calibri"/>
          <w:lang w:val="mk-MK"/>
        </w:rPr>
        <w:t>услуги се најчесто бесплатни или имаат мала цена.</w:t>
      </w:r>
    </w:p>
    <w:p w:rsidR="00F21862" w:rsidRPr="002968EC" w:rsidRDefault="00F21862" w:rsidP="00781AEE">
      <w:pPr>
        <w:pStyle w:val="NoSpacing"/>
        <w:spacing w:line="276" w:lineRule="auto"/>
        <w:jc w:val="both"/>
        <w:rPr>
          <w:rFonts w:asciiTheme="minorHAnsi" w:hAnsiTheme="minorHAnsi" w:cs="Calibri"/>
          <w:lang w:val="mk-MK"/>
        </w:rPr>
      </w:pPr>
      <w:r w:rsidRPr="002968EC">
        <w:rPr>
          <w:rFonts w:asciiTheme="minorHAnsi" w:hAnsiTheme="minorHAnsi" w:cs="Calibri"/>
          <w:lang w:val="mk-MK"/>
        </w:rPr>
        <w:t xml:space="preserve">Овие  неуправувани </w:t>
      </w:r>
      <w:r w:rsidR="00861AC5" w:rsidRPr="002968EC">
        <w:rPr>
          <w:rFonts w:asciiTheme="minorHAnsi" w:hAnsiTheme="minorHAnsi" w:cs="Calibri"/>
        </w:rPr>
        <w:t>ВОИП</w:t>
      </w:r>
      <w:r w:rsidRPr="002968EC">
        <w:rPr>
          <w:rFonts w:asciiTheme="minorHAnsi" w:hAnsiTheme="minorHAnsi" w:cs="Calibri"/>
        </w:rPr>
        <w:t xml:space="preserve"> </w:t>
      </w:r>
      <w:r w:rsidRPr="002968EC">
        <w:rPr>
          <w:rFonts w:asciiTheme="minorHAnsi" w:hAnsiTheme="minorHAnsi" w:cs="Calibri"/>
          <w:lang w:val="mk-MK"/>
        </w:rPr>
        <w:t>услуги се поделени на:</w:t>
      </w:r>
    </w:p>
    <w:p w:rsidR="00F21862" w:rsidRPr="002968EC" w:rsidRDefault="00F21862" w:rsidP="00781AEE">
      <w:pPr>
        <w:pStyle w:val="NoSpacing"/>
        <w:spacing w:line="276" w:lineRule="auto"/>
        <w:jc w:val="both"/>
        <w:rPr>
          <w:rFonts w:asciiTheme="minorHAnsi" w:hAnsiTheme="minorHAnsi" w:cs="Calibri"/>
          <w:lang w:val="mk-MK"/>
        </w:rPr>
      </w:pPr>
    </w:p>
    <w:p w:rsidR="00F21862" w:rsidRPr="002968EC" w:rsidRDefault="00F21862" w:rsidP="00962835">
      <w:pPr>
        <w:pStyle w:val="NoSpacing"/>
        <w:numPr>
          <w:ilvl w:val="0"/>
          <w:numId w:val="3"/>
        </w:numPr>
        <w:spacing w:line="276" w:lineRule="auto"/>
        <w:jc w:val="both"/>
        <w:rPr>
          <w:rFonts w:asciiTheme="minorHAnsi" w:hAnsiTheme="minorHAnsi" w:cs="Calibri"/>
        </w:rPr>
      </w:pPr>
      <w:r w:rsidRPr="002968EC">
        <w:rPr>
          <w:rFonts w:asciiTheme="minorHAnsi" w:hAnsiTheme="minorHAnsi" w:cs="Calibri"/>
          <w:lang w:val="mk-MK"/>
        </w:rPr>
        <w:t>У</w:t>
      </w:r>
      <w:r w:rsidRPr="002968EC">
        <w:rPr>
          <w:rFonts w:asciiTheme="minorHAnsi" w:hAnsiTheme="minorHAnsi" w:cs="Calibri"/>
        </w:rPr>
        <w:t xml:space="preserve">слуги кои што им овозможуваат на крајните корисници да остваруваат повици кон други PC корисници преку Интернет.  Гласот најпрвин се компримира преку софтвер инсталиран на PC или на телефони кои овозможуваат </w:t>
      </w:r>
      <w:r w:rsidR="00861AC5" w:rsidRPr="002968EC">
        <w:rPr>
          <w:rFonts w:asciiTheme="minorHAnsi" w:hAnsiTheme="minorHAnsi" w:cs="Calibri"/>
        </w:rPr>
        <w:t>ВОИП</w:t>
      </w:r>
      <w:r w:rsidRPr="002968EC">
        <w:rPr>
          <w:rFonts w:asciiTheme="minorHAnsi" w:hAnsiTheme="minorHAnsi" w:cs="Calibri"/>
        </w:rPr>
        <w:t xml:space="preserve"> и потоа се дели на мали податочни пакети кои што се рутираат преку Интернет до целната дестинација.  Бидејќи Интернет мрежата е неконтролирана овие пакети може да стигнуваат до дестинацијата преку различни рути, па некои пакети во секвенцата може да стигнат пред некои други или воопшто да не стигнат до дестинацијата (best-effort service). Како последица, корисниците може да се соочат со проблеми со латентноста (доцнењето), ехо па дури и недостигање на цели зборови.</w:t>
      </w:r>
    </w:p>
    <w:p w:rsidR="00F21862" w:rsidRPr="002968EC" w:rsidRDefault="00F21862" w:rsidP="00781AEE">
      <w:pPr>
        <w:pStyle w:val="NoSpacing"/>
        <w:spacing w:line="276" w:lineRule="auto"/>
        <w:jc w:val="both"/>
        <w:rPr>
          <w:rFonts w:asciiTheme="minorHAnsi" w:hAnsiTheme="minorHAnsi" w:cs="Calibri"/>
        </w:rPr>
      </w:pPr>
    </w:p>
    <w:p w:rsidR="00F21862" w:rsidRPr="002968EC" w:rsidRDefault="00F21862" w:rsidP="00962835">
      <w:pPr>
        <w:pStyle w:val="NoSpacing"/>
        <w:numPr>
          <w:ilvl w:val="0"/>
          <w:numId w:val="3"/>
        </w:numPr>
        <w:spacing w:line="276" w:lineRule="auto"/>
        <w:jc w:val="both"/>
        <w:rPr>
          <w:rFonts w:asciiTheme="minorHAnsi" w:hAnsiTheme="minorHAnsi" w:cs="Calibri"/>
        </w:rPr>
      </w:pPr>
      <w:r w:rsidRPr="002968EC">
        <w:rPr>
          <w:rFonts w:asciiTheme="minorHAnsi" w:hAnsiTheme="minorHAnsi" w:cs="Calibri"/>
          <w:lang w:val="mk-MK"/>
        </w:rPr>
        <w:t>У</w:t>
      </w:r>
      <w:r w:rsidRPr="002968EC">
        <w:rPr>
          <w:rFonts w:asciiTheme="minorHAnsi" w:hAnsiTheme="minorHAnsi" w:cs="Calibri"/>
        </w:rPr>
        <w:t xml:space="preserve">слуги кои што им овозможуваат на крајните корисници да остваруваат повици кон било кој </w:t>
      </w:r>
      <w:r w:rsidRPr="002968EC">
        <w:rPr>
          <w:rStyle w:val="hps"/>
          <w:rFonts w:asciiTheme="minorHAnsi" w:hAnsiTheme="minorHAnsi" w:cs="Calibri"/>
          <w:color w:val="333333"/>
        </w:rPr>
        <w:t xml:space="preserve">E.164 </w:t>
      </w:r>
      <w:r w:rsidRPr="002968EC">
        <w:rPr>
          <w:rFonts w:asciiTheme="minorHAnsi" w:hAnsiTheme="minorHAnsi" w:cs="Calibri"/>
        </w:rPr>
        <w:t xml:space="preserve">број од нивниот компјутер. Во овој случај крајниот корисник склучува комерцијален договор со </w:t>
      </w:r>
      <w:r w:rsidR="00861AC5" w:rsidRPr="002968EC">
        <w:rPr>
          <w:rFonts w:asciiTheme="minorHAnsi" w:hAnsiTheme="minorHAnsi" w:cs="Calibri"/>
        </w:rPr>
        <w:t>ВОИП</w:t>
      </w:r>
      <w:r w:rsidRPr="002968EC">
        <w:rPr>
          <w:rFonts w:asciiTheme="minorHAnsi" w:hAnsiTheme="minorHAnsi" w:cs="Calibri"/>
        </w:rPr>
        <w:t xml:space="preserve"> провајдер.</w:t>
      </w:r>
    </w:p>
    <w:p w:rsidR="00F21862" w:rsidRPr="002968EC" w:rsidRDefault="00F21862" w:rsidP="00781AEE">
      <w:pPr>
        <w:pStyle w:val="NoSpacing"/>
        <w:spacing w:line="276" w:lineRule="auto"/>
        <w:jc w:val="both"/>
        <w:rPr>
          <w:rFonts w:asciiTheme="minorHAnsi" w:hAnsiTheme="minorHAnsi" w:cs="Calibri"/>
        </w:rPr>
      </w:pPr>
    </w:p>
    <w:p w:rsidR="00F21862" w:rsidRPr="002968EC" w:rsidRDefault="00F21862" w:rsidP="00781AEE">
      <w:pPr>
        <w:pStyle w:val="NoSpacing"/>
        <w:spacing w:line="276" w:lineRule="auto"/>
        <w:jc w:val="both"/>
        <w:rPr>
          <w:rFonts w:asciiTheme="minorHAnsi" w:hAnsiTheme="minorHAnsi" w:cs="Calibri"/>
          <w:lang w:val="mk-MK"/>
        </w:rPr>
      </w:pPr>
      <w:r w:rsidRPr="002968EC">
        <w:rPr>
          <w:rFonts w:asciiTheme="minorHAnsi" w:hAnsiTheme="minorHAnsi" w:cs="Calibri"/>
          <w:lang w:val="mk-MK"/>
        </w:rPr>
        <w:t xml:space="preserve">Крајните корисници најчесто не го </w:t>
      </w:r>
      <w:r w:rsidR="00835A3A" w:rsidRPr="002968EC">
        <w:rPr>
          <w:rFonts w:asciiTheme="minorHAnsi" w:hAnsiTheme="minorHAnsi" w:cs="Calibri"/>
          <w:lang w:val="mk-MK"/>
        </w:rPr>
        <w:t xml:space="preserve">сметаат </w:t>
      </w:r>
      <w:r w:rsidRPr="002968EC">
        <w:rPr>
          <w:rFonts w:asciiTheme="minorHAnsi" w:hAnsiTheme="minorHAnsi" w:cs="Calibri"/>
          <w:lang w:val="mk-MK"/>
        </w:rPr>
        <w:t xml:space="preserve">широкопојасниот пристап до неуправуваните </w:t>
      </w:r>
      <w:r w:rsidR="00861AC5" w:rsidRPr="002968EC">
        <w:rPr>
          <w:rFonts w:asciiTheme="minorHAnsi" w:hAnsiTheme="minorHAnsi" w:cs="Calibri"/>
        </w:rPr>
        <w:t>ВОИП</w:t>
      </w:r>
      <w:r w:rsidRPr="002968EC">
        <w:rPr>
          <w:rFonts w:asciiTheme="minorHAnsi" w:hAnsiTheme="minorHAnsi" w:cs="Calibri"/>
        </w:rPr>
        <w:t xml:space="preserve"> </w:t>
      </w:r>
      <w:r w:rsidRPr="002968EC">
        <w:rPr>
          <w:rFonts w:asciiTheme="minorHAnsi" w:hAnsiTheme="minorHAnsi" w:cs="Calibri"/>
          <w:lang w:val="mk-MK"/>
        </w:rPr>
        <w:t>услуги како супститут на пристапот за услугите во фиксна телефонија поради тоа што</w:t>
      </w:r>
      <w:r w:rsidRPr="002968EC">
        <w:rPr>
          <w:rFonts w:asciiTheme="minorHAnsi" w:hAnsiTheme="minorHAnsi" w:cs="Calibri"/>
        </w:rPr>
        <w:t xml:space="preserve"> </w:t>
      </w:r>
      <w:r w:rsidRPr="002968EC">
        <w:rPr>
          <w:rFonts w:asciiTheme="minorHAnsi" w:hAnsiTheme="minorHAnsi" w:cs="Calibri"/>
          <w:lang w:val="mk-MK"/>
        </w:rPr>
        <w:t xml:space="preserve">истите не гарантираат конзистентност во квалитетот на услугата. </w:t>
      </w:r>
      <w:r w:rsidR="003B3E67" w:rsidRPr="002968EC">
        <w:rPr>
          <w:rFonts w:asciiTheme="minorHAnsi" w:hAnsiTheme="minorHAnsi" w:cs="Calibri"/>
          <w:lang w:val="mk-MK"/>
        </w:rPr>
        <w:t xml:space="preserve">Неуправуваните </w:t>
      </w:r>
      <w:r w:rsidR="00861AC5" w:rsidRPr="002968EC">
        <w:rPr>
          <w:rFonts w:asciiTheme="minorHAnsi" w:hAnsiTheme="minorHAnsi" w:cs="Calibri"/>
        </w:rPr>
        <w:t>ВОИП</w:t>
      </w:r>
      <w:r w:rsidRPr="002968EC">
        <w:rPr>
          <w:rFonts w:asciiTheme="minorHAnsi" w:hAnsiTheme="minorHAnsi" w:cs="Calibri"/>
          <w:lang w:val="mk-MK"/>
        </w:rPr>
        <w:t xml:space="preserve"> услуги кои што овозможуваат појдовни и дојдовни телефонски повици </w:t>
      </w:r>
      <w:r w:rsidR="003B3E67" w:rsidRPr="002968EC">
        <w:rPr>
          <w:rFonts w:asciiTheme="minorHAnsi" w:hAnsiTheme="minorHAnsi" w:cs="Calibri"/>
          <w:lang w:val="mk-MK"/>
        </w:rPr>
        <w:t xml:space="preserve"> се</w:t>
      </w:r>
      <w:r w:rsidRPr="002968EC">
        <w:rPr>
          <w:rFonts w:asciiTheme="minorHAnsi" w:hAnsiTheme="minorHAnsi" w:cs="Calibri"/>
          <w:lang w:val="mk-MK"/>
        </w:rPr>
        <w:t xml:space="preserve"> слични на услугата која што се обезбедува преку  фиксна телефонија, но не е целосно споредлива поради тоа што, иако квалитетот на гласот </w:t>
      </w:r>
      <w:r w:rsidRPr="002968EC">
        <w:rPr>
          <w:rStyle w:val="hps"/>
          <w:rFonts w:asciiTheme="minorHAnsi" w:hAnsiTheme="minorHAnsi" w:cs="Calibri"/>
          <w:color w:val="333333"/>
          <w:lang w:val="mk-MK"/>
        </w:rPr>
        <w:t xml:space="preserve">која е обезбеден преку </w:t>
      </w:r>
      <w:r w:rsidR="003B3E67" w:rsidRPr="002968EC">
        <w:rPr>
          <w:rStyle w:val="hps"/>
          <w:rFonts w:asciiTheme="minorHAnsi" w:hAnsiTheme="minorHAnsi" w:cs="Calibri"/>
          <w:color w:val="333333"/>
          <w:lang w:val="mk-MK"/>
        </w:rPr>
        <w:t xml:space="preserve">неуправуван </w:t>
      </w:r>
      <w:r w:rsidR="00861AC5" w:rsidRPr="002968EC">
        <w:rPr>
          <w:rStyle w:val="hps"/>
          <w:rFonts w:asciiTheme="minorHAnsi" w:hAnsiTheme="minorHAnsi" w:cs="Calibri"/>
          <w:color w:val="333333"/>
        </w:rPr>
        <w:t>ВОИП</w:t>
      </w:r>
      <w:r w:rsidRPr="002968EC">
        <w:rPr>
          <w:rStyle w:val="hps"/>
          <w:rFonts w:asciiTheme="minorHAnsi" w:hAnsiTheme="minorHAnsi" w:cs="Calibri"/>
          <w:color w:val="333333"/>
          <w:lang w:val="mk-MK"/>
        </w:rPr>
        <w:t xml:space="preserve"> </w:t>
      </w:r>
      <w:r w:rsidRPr="002968EC">
        <w:rPr>
          <w:rFonts w:asciiTheme="minorHAnsi" w:hAnsiTheme="minorHAnsi" w:cs="Calibri"/>
          <w:lang w:val="mk-MK"/>
        </w:rPr>
        <w:t>е сличен со услуг</w:t>
      </w:r>
      <w:r w:rsidR="003B3E67" w:rsidRPr="002968EC">
        <w:rPr>
          <w:rStyle w:val="hps"/>
          <w:rFonts w:asciiTheme="minorHAnsi" w:hAnsiTheme="minorHAnsi" w:cs="Calibri"/>
          <w:color w:val="333333"/>
          <w:lang w:val="mk-MK"/>
        </w:rPr>
        <w:t>ите во фиксна телефониј</w:t>
      </w:r>
      <w:r w:rsidR="0065044E" w:rsidRPr="002968EC">
        <w:rPr>
          <w:rStyle w:val="hps"/>
          <w:rFonts w:asciiTheme="minorHAnsi" w:hAnsiTheme="minorHAnsi" w:cs="Calibri"/>
          <w:color w:val="333333"/>
          <w:lang w:val="mk-MK"/>
        </w:rPr>
        <w:t>а</w:t>
      </w:r>
      <w:r w:rsidRPr="002968EC">
        <w:rPr>
          <w:rStyle w:val="hps"/>
          <w:rFonts w:asciiTheme="minorHAnsi" w:hAnsiTheme="minorHAnsi" w:cs="Calibri"/>
          <w:color w:val="333333"/>
          <w:lang w:val="mk-MK"/>
        </w:rPr>
        <w:t>, квалитетот на услугата неможе во целост да биде гарантиран, бидејќи услугите обезбедени преку</w:t>
      </w:r>
      <w:r w:rsidRPr="002968EC">
        <w:rPr>
          <w:rFonts w:asciiTheme="minorHAnsi" w:hAnsiTheme="minorHAnsi" w:cs="Calibri"/>
          <w:lang w:val="mk-MK"/>
        </w:rPr>
        <w:t xml:space="preserve"> неуправуван </w:t>
      </w:r>
      <w:r w:rsidR="00861AC5" w:rsidRPr="002968EC">
        <w:rPr>
          <w:rFonts w:asciiTheme="minorHAnsi" w:hAnsiTheme="minorHAnsi" w:cs="Calibri"/>
        </w:rPr>
        <w:t>ВОИП</w:t>
      </w:r>
      <w:r w:rsidRPr="002968EC">
        <w:rPr>
          <w:rFonts w:asciiTheme="minorHAnsi" w:hAnsiTheme="minorHAnsi" w:cs="Calibri"/>
          <w:lang w:val="mk-MK"/>
        </w:rPr>
        <w:t xml:space="preserve"> бараат дополнителни хардверски уреди и/или софтвер.</w:t>
      </w:r>
    </w:p>
    <w:p w:rsidR="00F21862" w:rsidRPr="002968EC" w:rsidRDefault="00F21862" w:rsidP="00781AEE">
      <w:pPr>
        <w:pStyle w:val="NoSpacing"/>
        <w:spacing w:line="276" w:lineRule="auto"/>
        <w:jc w:val="both"/>
        <w:rPr>
          <w:rFonts w:asciiTheme="minorHAnsi" w:hAnsiTheme="minorHAnsi" w:cs="Calibri"/>
          <w:lang w:val="mk-MK"/>
        </w:rPr>
      </w:pPr>
    </w:p>
    <w:p w:rsidR="00F21862" w:rsidRPr="002968EC" w:rsidRDefault="00F21862" w:rsidP="00781AEE">
      <w:pPr>
        <w:pStyle w:val="NoSpacing"/>
        <w:spacing w:line="276" w:lineRule="auto"/>
        <w:jc w:val="both"/>
        <w:rPr>
          <w:rFonts w:asciiTheme="minorHAnsi" w:hAnsiTheme="minorHAnsi" w:cs="Calibri"/>
          <w:lang w:val="mk-MK"/>
        </w:rPr>
      </w:pPr>
      <w:r w:rsidRPr="002968EC">
        <w:rPr>
          <w:rFonts w:asciiTheme="minorHAnsi" w:hAnsiTheme="minorHAnsi" w:cs="Calibri"/>
          <w:lang w:val="mk-MK"/>
        </w:rPr>
        <w:t xml:space="preserve">Во врска со овие неуправувани </w:t>
      </w:r>
      <w:r w:rsidR="00861AC5" w:rsidRPr="002968EC">
        <w:rPr>
          <w:rFonts w:asciiTheme="minorHAnsi" w:hAnsiTheme="minorHAnsi" w:cs="Calibri"/>
        </w:rPr>
        <w:t>ВОИП</w:t>
      </w:r>
      <w:r w:rsidRPr="002968EC">
        <w:rPr>
          <w:rFonts w:asciiTheme="minorHAnsi" w:hAnsiTheme="minorHAnsi" w:cs="Calibri"/>
        </w:rPr>
        <w:t xml:space="preserve"> </w:t>
      </w:r>
      <w:r w:rsidRPr="002968EC">
        <w:rPr>
          <w:rFonts w:asciiTheme="minorHAnsi" w:hAnsiTheme="minorHAnsi" w:cs="Calibri"/>
          <w:lang w:val="mk-MK"/>
        </w:rPr>
        <w:t>услуги, ревидираната препорака на ЕУ</w:t>
      </w:r>
      <w:r w:rsidRPr="002968EC">
        <w:rPr>
          <w:rStyle w:val="FootnoteReference"/>
          <w:rFonts w:asciiTheme="minorHAnsi" w:hAnsiTheme="minorHAnsi" w:cs="Calibri"/>
          <w:color w:val="333333"/>
          <w:lang w:val="mk-MK"/>
        </w:rPr>
        <w:footnoteReference w:id="6"/>
      </w:r>
      <w:r w:rsidRPr="002968EC">
        <w:rPr>
          <w:rFonts w:asciiTheme="minorHAnsi" w:hAnsiTheme="minorHAnsi" w:cs="Calibri"/>
          <w:lang w:val="mk-MK"/>
        </w:rPr>
        <w:t xml:space="preserve"> наведува дека </w:t>
      </w:r>
      <w:r w:rsidRPr="002968EC">
        <w:rPr>
          <w:rFonts w:asciiTheme="minorHAnsi" w:hAnsiTheme="minorHAnsi" w:cs="Calibri"/>
        </w:rPr>
        <w:t>”</w:t>
      </w:r>
      <w:r w:rsidRPr="002968EC">
        <w:rPr>
          <w:rFonts w:asciiTheme="minorHAnsi" w:hAnsiTheme="minorHAnsi" w:cs="Calibri"/>
          <w:lang w:val="mk-MK"/>
        </w:rPr>
        <w:t xml:space="preserve">врз основа на разликите на квалитетот и карактеристиките на производот неуправувани  </w:t>
      </w:r>
      <w:r w:rsidR="00861AC5" w:rsidRPr="002968EC">
        <w:rPr>
          <w:rFonts w:asciiTheme="minorHAnsi" w:hAnsiTheme="minorHAnsi" w:cs="Calibri"/>
        </w:rPr>
        <w:t>ВОИП</w:t>
      </w:r>
      <w:r w:rsidRPr="002968EC">
        <w:rPr>
          <w:rFonts w:asciiTheme="minorHAnsi" w:hAnsiTheme="minorHAnsi" w:cs="Calibri"/>
        </w:rPr>
        <w:t xml:space="preserve"> </w:t>
      </w:r>
      <w:r w:rsidRPr="002968EC">
        <w:rPr>
          <w:rFonts w:asciiTheme="minorHAnsi" w:hAnsiTheme="minorHAnsi" w:cs="Calibri"/>
          <w:lang w:val="mk-MK"/>
        </w:rPr>
        <w:t xml:space="preserve">услуги во моментов не претставуваат супститут на традиционалната телефонија споредбено со управуваните </w:t>
      </w:r>
      <w:r w:rsidR="00835A3A" w:rsidRPr="002968EC">
        <w:rPr>
          <w:rFonts w:asciiTheme="minorHAnsi" w:hAnsiTheme="minorHAnsi" w:cs="Calibri"/>
        </w:rPr>
        <w:t>ВОИП</w:t>
      </w:r>
      <w:r w:rsidRPr="002968EC">
        <w:rPr>
          <w:rFonts w:asciiTheme="minorHAnsi" w:hAnsiTheme="minorHAnsi" w:cs="Calibri"/>
        </w:rPr>
        <w:t xml:space="preserve"> </w:t>
      </w:r>
      <w:r w:rsidRPr="002968EC">
        <w:rPr>
          <w:rFonts w:asciiTheme="minorHAnsi" w:hAnsiTheme="minorHAnsi" w:cs="Calibri"/>
          <w:lang w:val="mk-MK"/>
        </w:rPr>
        <w:t xml:space="preserve">услуги, меѓутоа таа дистинкција може да се промени со текот на времето доколку квалитетот на неуправуваната </w:t>
      </w:r>
      <w:r w:rsidR="00861AC5" w:rsidRPr="002968EC">
        <w:rPr>
          <w:rFonts w:asciiTheme="minorHAnsi" w:hAnsiTheme="minorHAnsi" w:cs="Calibri"/>
        </w:rPr>
        <w:t>ВОИП</w:t>
      </w:r>
      <w:r w:rsidRPr="002968EC">
        <w:rPr>
          <w:rFonts w:asciiTheme="minorHAnsi" w:hAnsiTheme="minorHAnsi" w:cs="Calibri"/>
          <w:lang w:val="mk-MK"/>
        </w:rPr>
        <w:t xml:space="preserve"> услуга се подобри и техничките карактеристики се променат</w:t>
      </w:r>
      <w:r w:rsidRPr="002968EC">
        <w:rPr>
          <w:rFonts w:asciiTheme="minorHAnsi" w:hAnsiTheme="minorHAnsi" w:cs="Calibri"/>
        </w:rPr>
        <w:t>”</w:t>
      </w:r>
      <w:r w:rsidRPr="002968EC">
        <w:rPr>
          <w:rFonts w:asciiTheme="minorHAnsi" w:hAnsiTheme="minorHAnsi" w:cs="Calibri"/>
          <w:lang w:val="mk-MK"/>
        </w:rPr>
        <w:t xml:space="preserve">.  </w:t>
      </w:r>
    </w:p>
    <w:p w:rsidR="007D2945" w:rsidRPr="002968EC" w:rsidRDefault="007D2945" w:rsidP="00781AEE">
      <w:pPr>
        <w:pStyle w:val="NoSpacing"/>
        <w:spacing w:line="276" w:lineRule="auto"/>
        <w:jc w:val="both"/>
        <w:rPr>
          <w:rFonts w:asciiTheme="minorHAnsi" w:hAnsiTheme="minorHAnsi" w:cs="Calibri"/>
          <w:lang w:val="mk-MK"/>
        </w:rPr>
      </w:pPr>
    </w:p>
    <w:p w:rsidR="00587D92" w:rsidRPr="002968EC" w:rsidRDefault="00587D92" w:rsidP="00781AEE">
      <w:pPr>
        <w:pStyle w:val="NoSpacing"/>
        <w:spacing w:line="276" w:lineRule="auto"/>
        <w:jc w:val="both"/>
        <w:rPr>
          <w:rFonts w:asciiTheme="minorHAnsi" w:hAnsiTheme="minorHAnsi" w:cs="Calibri"/>
        </w:rPr>
      </w:pPr>
      <w:r w:rsidRPr="002968EC">
        <w:rPr>
          <w:rFonts w:asciiTheme="minorHAnsi" w:hAnsiTheme="minorHAnsi" w:cs="Calibri"/>
        </w:rPr>
        <w:t>Управуваните ВОИП услуги</w:t>
      </w:r>
      <w:r w:rsidR="00D2457D" w:rsidRPr="002968EC">
        <w:rPr>
          <w:rFonts w:asciiTheme="minorHAnsi" w:hAnsiTheme="minorHAnsi" w:cs="Calibri"/>
          <w:lang w:val="mk-MK"/>
        </w:rPr>
        <w:t xml:space="preserve"> кои што се обезбедуваат преку широкопојасен пристап до мрежа,</w:t>
      </w:r>
      <w:r w:rsidRPr="002968EC">
        <w:rPr>
          <w:rFonts w:asciiTheme="minorHAnsi" w:hAnsiTheme="minorHAnsi" w:cs="Calibri"/>
        </w:rPr>
        <w:t xml:space="preserve"> </w:t>
      </w:r>
      <w:r w:rsidR="00914592" w:rsidRPr="002968EC">
        <w:rPr>
          <w:rFonts w:asciiTheme="minorHAnsi" w:hAnsiTheme="minorHAnsi" w:cs="Calibri"/>
          <w:lang w:val="mk-MK"/>
        </w:rPr>
        <w:t xml:space="preserve">претставуваат </w:t>
      </w:r>
      <w:r w:rsidRPr="002968EC">
        <w:rPr>
          <w:rFonts w:asciiTheme="minorHAnsi" w:hAnsiTheme="minorHAnsi" w:cs="Calibri"/>
        </w:rPr>
        <w:t xml:space="preserve">супститут на традиционалната фиксна  телефонија. </w:t>
      </w:r>
      <w:r w:rsidR="00914592" w:rsidRPr="002968EC">
        <w:rPr>
          <w:rFonts w:asciiTheme="minorHAnsi" w:hAnsiTheme="minorHAnsi" w:cs="Calibri"/>
          <w:lang w:val="mk-MK"/>
        </w:rPr>
        <w:t xml:space="preserve">Управуваните </w:t>
      </w:r>
      <w:r w:rsidRPr="002968EC">
        <w:rPr>
          <w:rFonts w:asciiTheme="minorHAnsi" w:hAnsiTheme="minorHAnsi" w:cs="Calibri"/>
        </w:rPr>
        <w:t xml:space="preserve">ВОИП услуги овозможуваат говорни повици помеѓу крајните корисници со гарантиран квалитет кој е сличен на квалитетот на повици воспоставени во традиционалните телефонски мрежи (ПСТН мрежи). За да се воспостават повици потребно е да се обезбеди терминален адаптер во прилог на конвенционалниот телефон. Со оглед на нивото на </w:t>
      </w:r>
      <w:r w:rsidR="00D2457D" w:rsidRPr="002968EC">
        <w:rPr>
          <w:rFonts w:asciiTheme="minorHAnsi" w:hAnsiTheme="minorHAnsi" w:cs="Calibri"/>
          <w:lang w:val="mk-MK"/>
        </w:rPr>
        <w:t>учество</w:t>
      </w:r>
      <w:r w:rsidRPr="002968EC">
        <w:rPr>
          <w:rFonts w:asciiTheme="minorHAnsi" w:hAnsiTheme="minorHAnsi" w:cs="Calibri"/>
        </w:rPr>
        <w:t xml:space="preserve"> </w:t>
      </w:r>
      <w:r w:rsidR="00D2457D" w:rsidRPr="002968EC">
        <w:rPr>
          <w:rFonts w:asciiTheme="minorHAnsi" w:hAnsiTheme="minorHAnsi" w:cs="Calibri"/>
          <w:lang w:val="mk-MK"/>
        </w:rPr>
        <w:t>на ВОИП повиците во вкупните повици</w:t>
      </w:r>
      <w:r w:rsidRPr="002968EC">
        <w:rPr>
          <w:rFonts w:asciiTheme="minorHAnsi" w:hAnsiTheme="minorHAnsi" w:cs="Calibri"/>
        </w:rPr>
        <w:t xml:space="preserve">, </w:t>
      </w:r>
      <w:r w:rsidR="00D2457D" w:rsidRPr="002968EC">
        <w:rPr>
          <w:rFonts w:asciiTheme="minorHAnsi" w:hAnsiTheme="minorHAnsi" w:cs="Calibri"/>
          <w:lang w:val="mk-MK"/>
        </w:rPr>
        <w:t xml:space="preserve">можеме да заклучиме дека </w:t>
      </w:r>
      <w:r w:rsidR="00914592" w:rsidRPr="002968EC">
        <w:rPr>
          <w:rFonts w:asciiTheme="minorHAnsi" w:hAnsiTheme="minorHAnsi" w:cs="Calibri"/>
          <w:lang w:val="mk-MK"/>
        </w:rPr>
        <w:t>во Македонија широкопојасниот пристап и ВОИП телефонијата целосно ја замени традиционалната фиксна телефонија. Според тоа може да се донесе заклучок дека</w:t>
      </w:r>
      <w:r w:rsidR="007C1276" w:rsidRPr="002968EC">
        <w:rPr>
          <w:rFonts w:asciiTheme="minorHAnsi" w:hAnsiTheme="minorHAnsi" w:cs="Calibri"/>
          <w:lang w:val="mk-MK"/>
        </w:rPr>
        <w:t xml:space="preserve"> ш</w:t>
      </w:r>
      <w:r w:rsidRPr="002968EC">
        <w:rPr>
          <w:rFonts w:asciiTheme="minorHAnsi" w:hAnsiTheme="minorHAnsi" w:cs="Calibri"/>
        </w:rPr>
        <w:t xml:space="preserve">ирокопојасниот пристап до </w:t>
      </w:r>
      <w:r w:rsidR="008A38F9" w:rsidRPr="002968EC">
        <w:rPr>
          <w:rFonts w:asciiTheme="minorHAnsi" w:hAnsiTheme="minorHAnsi"/>
          <w:lang w:val="mk-MK"/>
        </w:rPr>
        <w:t>јавна електронска комуникациска мрежа на фиксна локација</w:t>
      </w:r>
      <w:r w:rsidR="006A0C55" w:rsidRPr="002968EC">
        <w:rPr>
          <w:rFonts w:asciiTheme="minorHAnsi" w:hAnsiTheme="minorHAnsi" w:cs="Calibri"/>
        </w:rPr>
        <w:t xml:space="preserve"> </w:t>
      </w:r>
      <w:r w:rsidRPr="002968EC">
        <w:rPr>
          <w:rFonts w:asciiTheme="minorHAnsi" w:hAnsiTheme="minorHAnsi" w:cs="Calibri"/>
        </w:rPr>
        <w:t xml:space="preserve">треба да биде вклучен во </w:t>
      </w:r>
      <w:r w:rsidR="007C1276" w:rsidRPr="002968EC">
        <w:rPr>
          <w:rFonts w:asciiTheme="minorHAnsi" w:hAnsiTheme="minorHAnsi" w:cs="Calibri"/>
          <w:lang w:val="mk-MK"/>
        </w:rPr>
        <w:t xml:space="preserve">релевантниот </w:t>
      </w:r>
      <w:r w:rsidRPr="002968EC">
        <w:rPr>
          <w:rFonts w:asciiTheme="minorHAnsi" w:hAnsiTheme="minorHAnsi" w:cs="Calibri"/>
        </w:rPr>
        <w:t>малопродажниот пазар</w:t>
      </w:r>
      <w:r w:rsidR="00914592" w:rsidRPr="002968EC">
        <w:rPr>
          <w:rFonts w:asciiTheme="minorHAnsi" w:hAnsiTheme="minorHAnsi" w:cs="Calibri"/>
          <w:lang w:val="mk-MK"/>
        </w:rPr>
        <w:t xml:space="preserve"> за пристап, додека</w:t>
      </w:r>
      <w:r w:rsidRPr="002968EC">
        <w:rPr>
          <w:rFonts w:asciiTheme="minorHAnsi" w:hAnsiTheme="minorHAnsi" w:cs="Calibri"/>
        </w:rPr>
        <w:t xml:space="preserve"> традиционалниот теснопојасен пристап до мрежа </w:t>
      </w:r>
      <w:r w:rsidR="00914592" w:rsidRPr="002968EC">
        <w:rPr>
          <w:rFonts w:asciiTheme="minorHAnsi" w:hAnsiTheme="minorHAnsi" w:cs="Calibri"/>
          <w:lang w:val="mk-MK"/>
        </w:rPr>
        <w:t>веќе не го обезбедува ниту еден оператор</w:t>
      </w:r>
      <w:r w:rsidRPr="002968EC">
        <w:rPr>
          <w:rFonts w:asciiTheme="minorHAnsi" w:hAnsiTheme="minorHAnsi" w:cs="Calibri"/>
        </w:rPr>
        <w:t xml:space="preserve">. </w:t>
      </w:r>
    </w:p>
    <w:p w:rsidR="004C391A" w:rsidRPr="002968EC" w:rsidRDefault="004C391A" w:rsidP="00781AEE">
      <w:pPr>
        <w:pStyle w:val="NoSpacing"/>
        <w:spacing w:line="276" w:lineRule="auto"/>
        <w:jc w:val="both"/>
        <w:rPr>
          <w:rFonts w:asciiTheme="minorHAnsi" w:hAnsiTheme="minorHAnsi" w:cs="Calibri"/>
          <w:lang w:val="mk-MK"/>
        </w:rPr>
      </w:pPr>
    </w:p>
    <w:p w:rsidR="00F21862" w:rsidRPr="006E317C" w:rsidRDefault="006E317C" w:rsidP="006E317C">
      <w:pPr>
        <w:pStyle w:val="Heading3"/>
        <w:rPr>
          <w:rFonts w:asciiTheme="minorHAnsi" w:hAnsiTheme="minorHAnsi"/>
        </w:rPr>
      </w:pPr>
      <w:bookmarkStart w:id="23" w:name="_Toc461617744"/>
      <w:r>
        <w:rPr>
          <w:rFonts w:asciiTheme="minorHAnsi" w:hAnsiTheme="minorHAnsi"/>
          <w:lang w:val="mk-MK"/>
        </w:rPr>
        <w:t>8</w:t>
      </w:r>
      <w:r w:rsidR="004778A7" w:rsidRPr="006E317C">
        <w:rPr>
          <w:rFonts w:asciiTheme="minorHAnsi" w:hAnsiTheme="minorHAnsi"/>
        </w:rPr>
        <w:t>.2.</w:t>
      </w:r>
      <w:r w:rsidR="00540BF6">
        <w:rPr>
          <w:rFonts w:asciiTheme="minorHAnsi" w:hAnsiTheme="minorHAnsi"/>
        </w:rPr>
        <w:t>6</w:t>
      </w:r>
      <w:r w:rsidR="004778A7" w:rsidRPr="006E317C">
        <w:rPr>
          <w:rFonts w:asciiTheme="minorHAnsi" w:hAnsiTheme="minorHAnsi"/>
        </w:rPr>
        <w:t xml:space="preserve"> </w:t>
      </w:r>
      <w:r w:rsidR="00F21862" w:rsidRPr="006E317C">
        <w:rPr>
          <w:rFonts w:asciiTheme="minorHAnsi" w:hAnsiTheme="minorHAnsi"/>
        </w:rPr>
        <w:t xml:space="preserve">Проценка дали услугата за пристап до </w:t>
      </w:r>
      <w:r w:rsidR="008A38F9" w:rsidRPr="006E317C">
        <w:rPr>
          <w:rFonts w:asciiTheme="minorHAnsi" w:hAnsiTheme="minorHAnsi"/>
        </w:rPr>
        <w:t>јавна електронска комуникациска мрежа на фиксна локација</w:t>
      </w:r>
      <w:r w:rsidR="00B0698A" w:rsidRPr="006E317C">
        <w:rPr>
          <w:rFonts w:asciiTheme="minorHAnsi" w:hAnsiTheme="minorHAnsi"/>
        </w:rPr>
        <w:t xml:space="preserve"> </w:t>
      </w:r>
      <w:r w:rsidR="00F21862" w:rsidRPr="006E317C">
        <w:rPr>
          <w:rFonts w:asciiTheme="minorHAnsi" w:hAnsiTheme="minorHAnsi"/>
        </w:rPr>
        <w:t>и услугата за пристап до јавн</w:t>
      </w:r>
      <w:r w:rsidR="0065044E" w:rsidRPr="006E317C">
        <w:rPr>
          <w:rFonts w:asciiTheme="minorHAnsi" w:hAnsiTheme="minorHAnsi"/>
        </w:rPr>
        <w:t>а мобилна</w:t>
      </w:r>
      <w:r w:rsidR="00F21862" w:rsidRPr="006E317C">
        <w:rPr>
          <w:rFonts w:asciiTheme="minorHAnsi" w:hAnsiTheme="minorHAnsi"/>
        </w:rPr>
        <w:t xml:space="preserve"> </w:t>
      </w:r>
      <w:r w:rsidR="00B340DF" w:rsidRPr="006E317C">
        <w:rPr>
          <w:rFonts w:asciiTheme="minorHAnsi" w:hAnsiTheme="minorHAnsi"/>
        </w:rPr>
        <w:t>ел</w:t>
      </w:r>
      <w:r w:rsidR="00525BDD">
        <w:rPr>
          <w:rFonts w:asciiTheme="minorHAnsi" w:hAnsiTheme="minorHAnsi"/>
        </w:rPr>
        <w:t>ектронска комуникациска мрежа</w:t>
      </w:r>
      <w:r w:rsidR="00F21862" w:rsidRPr="006E317C">
        <w:rPr>
          <w:rFonts w:asciiTheme="minorHAnsi" w:hAnsiTheme="minorHAnsi"/>
        </w:rPr>
        <w:t xml:space="preserve"> се обезбедуваат во ист релевантен пазар?</w:t>
      </w:r>
      <w:bookmarkEnd w:id="23"/>
    </w:p>
    <w:p w:rsidR="00F21862" w:rsidRPr="002968EC" w:rsidRDefault="00F21862" w:rsidP="00781AEE">
      <w:pPr>
        <w:ind w:hanging="720"/>
        <w:rPr>
          <w:rFonts w:asciiTheme="minorHAnsi" w:hAnsiTheme="minorHAnsi" w:cs="Calibri"/>
        </w:rPr>
      </w:pPr>
    </w:p>
    <w:p w:rsidR="00F21862" w:rsidRPr="002968EC" w:rsidRDefault="00F21862" w:rsidP="00781AEE">
      <w:pPr>
        <w:spacing w:after="0"/>
        <w:rPr>
          <w:rFonts w:asciiTheme="minorHAnsi" w:hAnsiTheme="minorHAnsi" w:cs="Calibri"/>
          <w:lang w:val="ru-RU"/>
        </w:rPr>
      </w:pPr>
      <w:r w:rsidRPr="002968EC">
        <w:rPr>
          <w:rFonts w:asciiTheme="minorHAnsi" w:hAnsiTheme="minorHAnsi" w:cs="Calibri"/>
          <w:lang w:val="ru-RU"/>
        </w:rPr>
        <w:t xml:space="preserve">Со одлуката за </w:t>
      </w:r>
      <w:r w:rsidRPr="002968EC">
        <w:rPr>
          <w:rFonts w:asciiTheme="minorHAnsi" w:hAnsiTheme="minorHAnsi" w:cs="Calibri"/>
        </w:rPr>
        <w:t>утврдување на релевантни пазари</w:t>
      </w:r>
      <w:r w:rsidR="00C7148F">
        <w:rPr>
          <w:rFonts w:asciiTheme="minorHAnsi" w:hAnsiTheme="minorHAnsi" w:cs="Calibri"/>
          <w:lang w:val="mk-MK"/>
        </w:rPr>
        <w:t xml:space="preserve"> во РМ</w:t>
      </w:r>
      <w:r w:rsidRPr="002968EC">
        <w:rPr>
          <w:rFonts w:asciiTheme="minorHAnsi" w:hAnsiTheme="minorHAnsi" w:cs="Calibri"/>
        </w:rPr>
        <w:t>, а воедно и во Препораката на Европската комисија</w:t>
      </w:r>
      <w:r w:rsidR="00FB18E5" w:rsidRPr="002968EC">
        <w:rPr>
          <w:rStyle w:val="FootnoteReference"/>
          <w:rFonts w:asciiTheme="minorHAnsi" w:hAnsiTheme="minorHAnsi" w:cs="Calibri"/>
        </w:rPr>
        <w:footnoteReference w:id="7"/>
      </w:r>
      <w:r w:rsidRPr="002968EC">
        <w:rPr>
          <w:rFonts w:asciiTheme="minorHAnsi" w:hAnsiTheme="minorHAnsi" w:cs="Calibri"/>
          <w:vertAlign w:val="superscript"/>
        </w:rPr>
        <w:t xml:space="preserve"> </w:t>
      </w:r>
      <w:r w:rsidRPr="002968EC">
        <w:rPr>
          <w:rFonts w:asciiTheme="minorHAnsi" w:hAnsiTheme="minorHAnsi" w:cs="Calibri"/>
        </w:rPr>
        <w:t xml:space="preserve">се дефинирани различни пазари за пристап до </w:t>
      </w:r>
      <w:r w:rsidR="008A38F9" w:rsidRPr="002968EC">
        <w:rPr>
          <w:rFonts w:asciiTheme="minorHAnsi" w:hAnsiTheme="minorHAnsi"/>
          <w:lang w:val="mk-MK"/>
        </w:rPr>
        <w:t xml:space="preserve">јавна електронска </w:t>
      </w:r>
      <w:r w:rsidR="008A38F9" w:rsidRPr="002968EC">
        <w:rPr>
          <w:rFonts w:asciiTheme="minorHAnsi" w:hAnsiTheme="minorHAnsi"/>
          <w:lang w:val="mk-MK"/>
        </w:rPr>
        <w:lastRenderedPageBreak/>
        <w:t>комуникациска мрежа на фиксна локација</w:t>
      </w:r>
      <w:r w:rsidR="006A0C55" w:rsidRPr="002968EC">
        <w:rPr>
          <w:rFonts w:asciiTheme="minorHAnsi" w:hAnsiTheme="minorHAnsi" w:cs="Calibri"/>
        </w:rPr>
        <w:t xml:space="preserve"> </w:t>
      </w:r>
      <w:r w:rsidRPr="002968EC">
        <w:rPr>
          <w:rFonts w:asciiTheme="minorHAnsi" w:hAnsiTheme="minorHAnsi" w:cs="Calibri"/>
        </w:rPr>
        <w:t xml:space="preserve">и пазар за пристап до </w:t>
      </w:r>
      <w:r w:rsidR="006A0C55" w:rsidRPr="002968EC">
        <w:rPr>
          <w:rFonts w:asciiTheme="minorHAnsi" w:hAnsiTheme="minorHAnsi"/>
          <w:lang w:val="mk-MK"/>
        </w:rPr>
        <w:t>јавна мобилна електронска комуникациска мрежа</w:t>
      </w:r>
      <w:r w:rsidRPr="002968EC">
        <w:rPr>
          <w:rFonts w:asciiTheme="minorHAnsi" w:hAnsiTheme="minorHAnsi" w:cs="Calibri"/>
        </w:rPr>
        <w:t xml:space="preserve">. При проценката дали </w:t>
      </w:r>
      <w:r w:rsidR="00FF439F" w:rsidRPr="002968EC">
        <w:rPr>
          <w:rFonts w:asciiTheme="minorHAnsi" w:hAnsiTheme="minorHAnsi" w:cs="Calibri"/>
          <w:lang w:val="mk-MK"/>
        </w:rPr>
        <w:t xml:space="preserve">овие две </w:t>
      </w:r>
      <w:r w:rsidRPr="002968EC">
        <w:rPr>
          <w:rFonts w:asciiTheme="minorHAnsi" w:hAnsiTheme="minorHAnsi" w:cs="Calibri"/>
        </w:rPr>
        <w:t>услуг</w:t>
      </w:r>
      <w:r w:rsidR="00FF439F" w:rsidRPr="002968EC">
        <w:rPr>
          <w:rFonts w:asciiTheme="minorHAnsi" w:hAnsiTheme="minorHAnsi" w:cs="Calibri"/>
          <w:lang w:val="mk-MK"/>
        </w:rPr>
        <w:t>и</w:t>
      </w:r>
      <w:r w:rsidRPr="002968EC">
        <w:rPr>
          <w:rFonts w:asciiTheme="minorHAnsi" w:hAnsiTheme="minorHAnsi" w:cs="Calibri"/>
        </w:rPr>
        <w:t xml:space="preserve"> за пристап</w:t>
      </w:r>
      <w:r w:rsidR="002675A8" w:rsidRPr="002968EC">
        <w:rPr>
          <w:rFonts w:asciiTheme="minorHAnsi" w:hAnsiTheme="minorHAnsi" w:cs="Calibri"/>
          <w:lang w:val="mk-MK"/>
        </w:rPr>
        <w:t xml:space="preserve"> </w:t>
      </w:r>
      <w:r w:rsidRPr="002968EC">
        <w:rPr>
          <w:rFonts w:asciiTheme="minorHAnsi" w:hAnsiTheme="minorHAnsi" w:cs="Calibri"/>
        </w:rPr>
        <w:t xml:space="preserve">се обезбедуваат на ист релевантен пазар </w:t>
      </w:r>
      <w:r w:rsidR="007967C2" w:rsidRPr="002968EC">
        <w:rPr>
          <w:rFonts w:asciiTheme="minorHAnsi" w:hAnsiTheme="minorHAnsi" w:cs="Calibri"/>
        </w:rPr>
        <w:t>АЕК</w:t>
      </w:r>
      <w:r w:rsidRPr="002968EC">
        <w:rPr>
          <w:rFonts w:asciiTheme="minorHAnsi" w:hAnsiTheme="minorHAnsi" w:cs="Calibri"/>
        </w:rPr>
        <w:t xml:space="preserve"> ќе утврди во која мера крајните корисници </w:t>
      </w:r>
      <w:r w:rsidR="002675A8" w:rsidRPr="002968EC">
        <w:rPr>
          <w:rFonts w:asciiTheme="minorHAnsi" w:hAnsiTheme="minorHAnsi" w:cs="Calibri"/>
          <w:lang w:val="mk-MK"/>
        </w:rPr>
        <w:t>ја</w:t>
      </w:r>
      <w:r w:rsidRPr="002968EC">
        <w:rPr>
          <w:rFonts w:asciiTheme="minorHAnsi" w:hAnsiTheme="minorHAnsi" w:cs="Calibri"/>
        </w:rPr>
        <w:t xml:space="preserve"> гледаат </w:t>
      </w:r>
      <w:r w:rsidR="00083BDC" w:rsidRPr="002968EC">
        <w:rPr>
          <w:rFonts w:asciiTheme="minorHAnsi" w:hAnsiTheme="minorHAnsi" w:cs="Calibri"/>
        </w:rPr>
        <w:t>јавн</w:t>
      </w:r>
      <w:r w:rsidR="00083BDC" w:rsidRPr="002968EC">
        <w:rPr>
          <w:rFonts w:asciiTheme="minorHAnsi" w:hAnsiTheme="minorHAnsi" w:cs="Calibri"/>
          <w:lang w:val="mk-MK"/>
        </w:rPr>
        <w:t>а</w:t>
      </w:r>
      <w:r w:rsidR="002675A8" w:rsidRPr="002968EC">
        <w:rPr>
          <w:rFonts w:asciiTheme="minorHAnsi" w:hAnsiTheme="minorHAnsi" w:cs="Calibri"/>
          <w:lang w:val="mk-MK"/>
        </w:rPr>
        <w:t>та</w:t>
      </w:r>
      <w:r w:rsidR="0065044E" w:rsidRPr="002968EC">
        <w:rPr>
          <w:rFonts w:asciiTheme="minorHAnsi" w:hAnsiTheme="minorHAnsi" w:cs="Calibri"/>
          <w:lang w:val="mk-MK"/>
        </w:rPr>
        <w:t xml:space="preserve"> мобилна</w:t>
      </w:r>
      <w:r w:rsidR="00083BDC" w:rsidRPr="002968EC">
        <w:rPr>
          <w:rFonts w:asciiTheme="minorHAnsi" w:hAnsiTheme="minorHAnsi" w:cs="Calibri"/>
        </w:rPr>
        <w:t xml:space="preserve"> електронска комуникациска мрежа </w:t>
      </w:r>
      <w:r w:rsidRPr="002968EC">
        <w:rPr>
          <w:rFonts w:asciiTheme="minorHAnsi" w:hAnsiTheme="minorHAnsi" w:cs="Calibri"/>
        </w:rPr>
        <w:t>како супститут за пристапот до јавна телефонска мрежа на фиксна локација.</w:t>
      </w:r>
    </w:p>
    <w:p w:rsidR="00F21862" w:rsidRPr="002968EC" w:rsidRDefault="00F21862" w:rsidP="00781AEE">
      <w:pPr>
        <w:ind w:hanging="720"/>
        <w:rPr>
          <w:rFonts w:asciiTheme="minorHAnsi" w:hAnsiTheme="minorHAnsi" w:cs="Calibri"/>
          <w:lang w:val="ru-RU"/>
        </w:rPr>
      </w:pPr>
    </w:p>
    <w:p w:rsidR="00F21862" w:rsidRPr="002968EC" w:rsidRDefault="007967C2" w:rsidP="00781AEE">
      <w:pPr>
        <w:spacing w:after="0"/>
        <w:rPr>
          <w:rFonts w:asciiTheme="minorHAnsi" w:hAnsiTheme="minorHAnsi" w:cs="Calibri"/>
          <w:lang w:val="ru-RU"/>
        </w:rPr>
      </w:pPr>
      <w:r w:rsidRPr="002968EC">
        <w:rPr>
          <w:rFonts w:asciiTheme="minorHAnsi" w:hAnsiTheme="minorHAnsi" w:cs="Calibri"/>
          <w:lang w:val="mk-MK"/>
        </w:rPr>
        <w:t>АЕК</w:t>
      </w:r>
      <w:r w:rsidR="00F21862" w:rsidRPr="002968EC">
        <w:rPr>
          <w:rFonts w:asciiTheme="minorHAnsi" w:hAnsiTheme="minorHAnsi" w:cs="Calibri"/>
        </w:rPr>
        <w:t xml:space="preserve"> со оваа анализа врши проценка дали услугите што се обезбедуваат на пазарите за пристап до </w:t>
      </w:r>
      <w:r w:rsidR="008A38F9" w:rsidRPr="002968EC">
        <w:rPr>
          <w:rFonts w:asciiTheme="minorHAnsi" w:hAnsiTheme="minorHAnsi"/>
          <w:lang w:val="mk-MK"/>
        </w:rPr>
        <w:t>јавна електронска комуникациска мрежа на фиксна локација</w:t>
      </w:r>
      <w:r w:rsidR="006A0C55" w:rsidRPr="002968EC">
        <w:rPr>
          <w:rFonts w:asciiTheme="minorHAnsi" w:hAnsiTheme="minorHAnsi" w:cs="Calibri"/>
        </w:rPr>
        <w:t xml:space="preserve"> </w:t>
      </w:r>
      <w:r w:rsidR="00F21862" w:rsidRPr="002968EC">
        <w:rPr>
          <w:rFonts w:asciiTheme="minorHAnsi" w:hAnsiTheme="minorHAnsi" w:cs="Calibri"/>
        </w:rPr>
        <w:t xml:space="preserve">и пазарот за пристап до </w:t>
      </w:r>
      <w:r w:rsidR="006A0C55" w:rsidRPr="002968EC">
        <w:rPr>
          <w:rFonts w:asciiTheme="minorHAnsi" w:hAnsiTheme="minorHAnsi"/>
          <w:lang w:val="mk-MK"/>
        </w:rPr>
        <w:t>јавна мобилна електронска комуникациска мрежа</w:t>
      </w:r>
      <w:r w:rsidR="00083BDC" w:rsidRPr="002968EC">
        <w:rPr>
          <w:rFonts w:asciiTheme="minorHAnsi" w:hAnsiTheme="minorHAnsi" w:cs="Calibri"/>
        </w:rPr>
        <w:t xml:space="preserve"> </w:t>
      </w:r>
      <w:r w:rsidR="00F21862" w:rsidRPr="002968EC">
        <w:rPr>
          <w:rFonts w:asciiTheme="minorHAnsi" w:hAnsiTheme="minorHAnsi" w:cs="Calibri"/>
        </w:rPr>
        <w:t xml:space="preserve">се обезбедуваат на ист релевантен пазар односно се </w:t>
      </w:r>
      <w:r w:rsidR="00F21862" w:rsidRPr="002968EC">
        <w:rPr>
          <w:rFonts w:asciiTheme="minorHAnsi" w:hAnsiTheme="minorHAnsi" w:cs="Calibri"/>
          <w:lang w:val="ru-RU"/>
        </w:rPr>
        <w:t xml:space="preserve">меѓусебно </w:t>
      </w:r>
      <w:r w:rsidR="00725FA6" w:rsidRPr="002968EC">
        <w:rPr>
          <w:rFonts w:asciiTheme="minorHAnsi" w:hAnsiTheme="minorHAnsi" w:cs="Calibri"/>
          <w:lang w:val="ru-RU"/>
        </w:rPr>
        <w:t>заменливи</w:t>
      </w:r>
      <w:r w:rsidR="00F21862" w:rsidRPr="002968EC">
        <w:rPr>
          <w:rFonts w:asciiTheme="minorHAnsi" w:hAnsiTheme="minorHAnsi" w:cs="Calibri"/>
          <w:lang w:val="ru-RU"/>
        </w:rPr>
        <w:t xml:space="preserve">. </w:t>
      </w:r>
      <w:r w:rsidR="004009B2" w:rsidRPr="002968EC">
        <w:rPr>
          <w:rFonts w:asciiTheme="minorHAnsi" w:hAnsiTheme="minorHAnsi" w:cs="Calibri"/>
          <w:lang w:val="ru-RU"/>
        </w:rPr>
        <w:t xml:space="preserve">Една од главните </w:t>
      </w:r>
      <w:r w:rsidR="00481262" w:rsidRPr="002968EC">
        <w:rPr>
          <w:rFonts w:asciiTheme="minorHAnsi" w:hAnsiTheme="minorHAnsi" w:cs="Calibri"/>
          <w:lang w:val="ru-RU"/>
        </w:rPr>
        <w:t>разлики помеѓу</w:t>
      </w:r>
      <w:r w:rsidR="004009B2" w:rsidRPr="002968EC">
        <w:rPr>
          <w:rFonts w:asciiTheme="minorHAnsi" w:hAnsiTheme="minorHAnsi" w:cs="Calibri"/>
          <w:lang w:val="ru-RU"/>
        </w:rPr>
        <w:t xml:space="preserve"> </w:t>
      </w:r>
      <w:r w:rsidR="00905DE2" w:rsidRPr="002968EC">
        <w:rPr>
          <w:rFonts w:asciiTheme="minorHAnsi" w:hAnsiTheme="minorHAnsi" w:cs="Calibri"/>
        </w:rPr>
        <w:t xml:space="preserve">услугата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B0698A" w:rsidRPr="002968EC">
        <w:rPr>
          <w:rFonts w:asciiTheme="minorHAnsi" w:hAnsiTheme="minorHAnsi" w:cs="Calibri"/>
        </w:rPr>
        <w:t xml:space="preserve"> </w:t>
      </w:r>
      <w:r w:rsidR="00905DE2" w:rsidRPr="002968EC">
        <w:rPr>
          <w:rFonts w:asciiTheme="minorHAnsi" w:hAnsiTheme="minorHAnsi" w:cs="Calibri"/>
        </w:rPr>
        <w:t>и услугата за пристап</w:t>
      </w:r>
      <w:r w:rsidR="00525BDD">
        <w:rPr>
          <w:rFonts w:asciiTheme="minorHAnsi" w:hAnsiTheme="minorHAnsi" w:cs="Calibri"/>
        </w:rPr>
        <w:t xml:space="preserve"> </w:t>
      </w:r>
      <w:r w:rsidR="00525BDD">
        <w:rPr>
          <w:rFonts w:asciiTheme="minorHAnsi" w:hAnsiTheme="minorHAnsi" w:cs="Calibri"/>
          <w:lang w:val="mk-MK"/>
        </w:rPr>
        <w:t>до</w:t>
      </w:r>
      <w:r w:rsidR="00905DE2" w:rsidRPr="002968EC">
        <w:rPr>
          <w:rFonts w:asciiTheme="minorHAnsi" w:hAnsiTheme="minorHAnsi" w:cs="Calibri"/>
        </w:rPr>
        <w:t xml:space="preserve"> </w:t>
      </w:r>
      <w:r w:rsidR="00083BDC" w:rsidRPr="002968EC">
        <w:rPr>
          <w:rFonts w:asciiTheme="minorHAnsi" w:hAnsiTheme="minorHAnsi" w:cs="Calibri"/>
        </w:rPr>
        <w:t>јавн</w:t>
      </w:r>
      <w:r w:rsidR="00083BDC" w:rsidRPr="002968EC">
        <w:rPr>
          <w:rFonts w:asciiTheme="minorHAnsi" w:hAnsiTheme="minorHAnsi" w:cs="Calibri"/>
          <w:lang w:val="mk-MK"/>
        </w:rPr>
        <w:t>а</w:t>
      </w:r>
      <w:r w:rsidR="00525BDD">
        <w:rPr>
          <w:rFonts w:asciiTheme="minorHAnsi" w:hAnsiTheme="minorHAnsi" w:cs="Calibri"/>
          <w:lang w:val="mk-MK"/>
        </w:rPr>
        <w:t xml:space="preserve"> мобилна</w:t>
      </w:r>
      <w:r w:rsidR="00083BDC" w:rsidRPr="002968EC">
        <w:rPr>
          <w:rFonts w:asciiTheme="minorHAnsi" w:hAnsiTheme="minorHAnsi" w:cs="Calibri"/>
        </w:rPr>
        <w:t xml:space="preserve"> електронс</w:t>
      </w:r>
      <w:r w:rsidR="00525BDD">
        <w:rPr>
          <w:rFonts w:asciiTheme="minorHAnsi" w:hAnsiTheme="minorHAnsi" w:cs="Calibri"/>
        </w:rPr>
        <w:t>ка комуникациска мрежа</w:t>
      </w:r>
      <w:r w:rsidR="00083BDC" w:rsidRPr="002968EC">
        <w:rPr>
          <w:rFonts w:asciiTheme="minorHAnsi" w:hAnsiTheme="minorHAnsi" w:cs="Calibri"/>
        </w:rPr>
        <w:t xml:space="preserve"> </w:t>
      </w:r>
      <w:r w:rsidR="00905DE2" w:rsidRPr="002968EC">
        <w:rPr>
          <w:rFonts w:asciiTheme="minorHAnsi" w:hAnsiTheme="minorHAnsi" w:cs="Calibri"/>
        </w:rPr>
        <w:t xml:space="preserve"> </w:t>
      </w:r>
      <w:r w:rsidR="00F21862" w:rsidRPr="002968EC">
        <w:rPr>
          <w:rFonts w:asciiTheme="minorHAnsi" w:hAnsiTheme="minorHAnsi" w:cs="Calibri"/>
        </w:rPr>
        <w:t xml:space="preserve">е мобилноста, </w:t>
      </w:r>
      <w:r w:rsidR="00481262" w:rsidRPr="002968EC">
        <w:rPr>
          <w:rFonts w:asciiTheme="minorHAnsi" w:hAnsiTheme="minorHAnsi" w:cs="Calibri"/>
          <w:lang w:val="mk-MK"/>
        </w:rPr>
        <w:t>што значи</w:t>
      </w:r>
      <w:r w:rsidR="00F21862" w:rsidRPr="002968EC">
        <w:rPr>
          <w:rFonts w:asciiTheme="minorHAnsi" w:hAnsiTheme="minorHAnsi" w:cs="Calibri"/>
        </w:rPr>
        <w:t xml:space="preserve"> пристапот се </w:t>
      </w:r>
      <w:r w:rsidR="00481262" w:rsidRPr="002968EC">
        <w:rPr>
          <w:rFonts w:asciiTheme="minorHAnsi" w:hAnsiTheme="minorHAnsi" w:cs="Calibri"/>
          <w:lang w:val="mk-MK"/>
        </w:rPr>
        <w:t>остварув</w:t>
      </w:r>
      <w:r w:rsidR="00F21862" w:rsidRPr="002968EC">
        <w:rPr>
          <w:rFonts w:asciiTheme="minorHAnsi" w:hAnsiTheme="minorHAnsi" w:cs="Calibri"/>
        </w:rPr>
        <w:t>а без оглед на локацијата. Како резултат на карактеристика</w:t>
      </w:r>
      <w:r w:rsidR="00AC4A82" w:rsidRPr="002968EC">
        <w:rPr>
          <w:rFonts w:asciiTheme="minorHAnsi" w:hAnsiTheme="minorHAnsi" w:cs="Calibri"/>
          <w:lang w:val="mk-MK"/>
        </w:rPr>
        <w:t xml:space="preserve"> на мобилност</w:t>
      </w:r>
      <w:r w:rsidR="00F21862" w:rsidRPr="002968EC">
        <w:rPr>
          <w:rFonts w:asciiTheme="minorHAnsi" w:hAnsiTheme="minorHAnsi" w:cs="Calibri"/>
        </w:rPr>
        <w:t>, иако слични услуги можат да бидат обезбедени на двата пазар</w:t>
      </w:r>
      <w:r w:rsidR="00083BDC" w:rsidRPr="002968EC">
        <w:rPr>
          <w:rFonts w:asciiTheme="minorHAnsi" w:hAnsiTheme="minorHAnsi" w:cs="Calibri"/>
          <w:lang w:val="mk-MK"/>
        </w:rPr>
        <w:t>и</w:t>
      </w:r>
      <w:r w:rsidR="00F21862" w:rsidRPr="002968EC">
        <w:rPr>
          <w:rFonts w:asciiTheme="minorHAnsi" w:hAnsiTheme="minorHAnsi" w:cs="Calibri"/>
        </w:rPr>
        <w:t xml:space="preserve">, услугата </w:t>
      </w:r>
      <w:r w:rsidR="00725FA6" w:rsidRPr="002968EC">
        <w:rPr>
          <w:rFonts w:asciiTheme="minorHAnsi" w:hAnsiTheme="minorHAnsi" w:cs="Calibri"/>
          <w:lang w:val="mk-MK"/>
        </w:rPr>
        <w:t>з</w:t>
      </w:r>
      <w:r w:rsidR="00F21862" w:rsidRPr="002968EC">
        <w:rPr>
          <w:rFonts w:asciiTheme="minorHAnsi" w:hAnsiTheme="minorHAnsi" w:cs="Calibri"/>
        </w:rPr>
        <w:t xml:space="preserve">а пристап до </w:t>
      </w:r>
      <w:r w:rsidR="008A38F9" w:rsidRPr="002968EC">
        <w:rPr>
          <w:rFonts w:asciiTheme="minorHAnsi" w:hAnsiTheme="minorHAnsi" w:cs="Calibri"/>
          <w:lang w:val="mk-MK"/>
        </w:rPr>
        <w:t>јавна електронска комуникациска мрежа на фиксна локација</w:t>
      </w:r>
      <w:r w:rsidR="00F21862" w:rsidRPr="002968EC">
        <w:rPr>
          <w:rFonts w:asciiTheme="minorHAnsi" w:hAnsiTheme="minorHAnsi" w:cs="Calibri"/>
        </w:rPr>
        <w:t xml:space="preserve"> и услугите </w:t>
      </w:r>
      <w:r w:rsidR="00725FA6" w:rsidRPr="002968EC">
        <w:rPr>
          <w:rFonts w:asciiTheme="minorHAnsi" w:hAnsiTheme="minorHAnsi" w:cs="Calibri"/>
          <w:lang w:val="mk-MK"/>
        </w:rPr>
        <w:t>з</w:t>
      </w:r>
      <w:r w:rsidR="00F21862" w:rsidRPr="002968EC">
        <w:rPr>
          <w:rFonts w:asciiTheme="minorHAnsi" w:hAnsiTheme="minorHAnsi" w:cs="Calibri"/>
        </w:rPr>
        <w:t xml:space="preserve">а јавно достапни телефонски услуги  </w:t>
      </w:r>
      <w:r w:rsidR="00083BDC" w:rsidRPr="002968EC">
        <w:rPr>
          <w:rFonts w:asciiTheme="minorHAnsi" w:hAnsiTheme="minorHAnsi" w:cs="Calibri"/>
          <w:lang w:val="mk-MK"/>
        </w:rPr>
        <w:t>(</w:t>
      </w:r>
      <w:r w:rsidR="00F21862" w:rsidRPr="002968EC">
        <w:rPr>
          <w:rFonts w:asciiTheme="minorHAnsi" w:hAnsiTheme="minorHAnsi" w:cs="Calibri"/>
        </w:rPr>
        <w:t>фиксн</w:t>
      </w:r>
      <w:r w:rsidR="00083BDC" w:rsidRPr="002968EC">
        <w:rPr>
          <w:rFonts w:asciiTheme="minorHAnsi" w:hAnsiTheme="minorHAnsi" w:cs="Calibri"/>
          <w:lang w:val="mk-MK"/>
        </w:rPr>
        <w:t>и)</w:t>
      </w:r>
      <w:r w:rsidR="00F21862" w:rsidRPr="002968EC">
        <w:rPr>
          <w:rFonts w:asciiTheme="minorHAnsi" w:hAnsiTheme="minorHAnsi" w:cs="Calibri"/>
        </w:rPr>
        <w:t xml:space="preserve">  по дефиниција не ја содржат карактеристиката на целосна мобилност. </w:t>
      </w:r>
    </w:p>
    <w:p w:rsidR="00F21862" w:rsidRPr="002968EC" w:rsidRDefault="00F21862" w:rsidP="00781AEE">
      <w:pPr>
        <w:ind w:hanging="720"/>
        <w:rPr>
          <w:rFonts w:asciiTheme="minorHAnsi" w:hAnsiTheme="minorHAnsi" w:cs="Calibri"/>
          <w:lang w:val="ru-RU"/>
        </w:rPr>
      </w:pPr>
    </w:p>
    <w:p w:rsidR="00F21862" w:rsidRPr="002968EC" w:rsidRDefault="00F21862" w:rsidP="00781AEE">
      <w:pPr>
        <w:spacing w:after="0"/>
        <w:rPr>
          <w:rFonts w:asciiTheme="minorHAnsi" w:hAnsiTheme="minorHAnsi" w:cs="Calibri"/>
          <w:lang w:val="mk-MK"/>
        </w:rPr>
      </w:pPr>
      <w:r w:rsidRPr="002968EC">
        <w:rPr>
          <w:rFonts w:asciiTheme="minorHAnsi" w:hAnsiTheme="minorHAnsi" w:cs="Calibri"/>
        </w:rPr>
        <w:t xml:space="preserve">Меѓутоа, постои можност крајните корисници да вршат супституција единствено во една насока, односно да го супституираат </w:t>
      </w:r>
      <w:r w:rsidR="00083BDC" w:rsidRPr="002968EC">
        <w:rPr>
          <w:rFonts w:asciiTheme="minorHAnsi" w:hAnsiTheme="minorHAnsi" w:cs="Calibri"/>
          <w:lang w:val="mk-MK"/>
        </w:rPr>
        <w:t xml:space="preserve">фиксниот </w:t>
      </w:r>
      <w:r w:rsidRPr="002968EC">
        <w:rPr>
          <w:rFonts w:asciiTheme="minorHAnsi" w:hAnsiTheme="minorHAnsi" w:cs="Calibri"/>
        </w:rPr>
        <w:t>пристап со</w:t>
      </w:r>
      <w:r w:rsidR="00083BDC" w:rsidRPr="002968EC">
        <w:rPr>
          <w:rFonts w:asciiTheme="minorHAnsi" w:hAnsiTheme="minorHAnsi" w:cs="Calibri"/>
          <w:lang w:val="mk-MK"/>
        </w:rPr>
        <w:t xml:space="preserve"> мобилниот</w:t>
      </w:r>
      <w:r w:rsidRPr="002968EC">
        <w:rPr>
          <w:rFonts w:asciiTheme="minorHAnsi" w:hAnsiTheme="minorHAnsi" w:cs="Calibri"/>
        </w:rPr>
        <w:t xml:space="preserve"> пристап. Од технички аспект, пристапот до мобилна мрежа може да го </w:t>
      </w:r>
      <w:r w:rsidR="009F2158" w:rsidRPr="002968EC">
        <w:rPr>
          <w:rFonts w:asciiTheme="minorHAnsi" w:hAnsiTheme="minorHAnsi" w:cs="Calibri"/>
          <w:lang w:val="mk-MK"/>
        </w:rPr>
        <w:t>замени</w:t>
      </w:r>
      <w:r w:rsidRPr="002968EC">
        <w:rPr>
          <w:rFonts w:asciiTheme="minorHAnsi" w:hAnsiTheme="minorHAnsi" w:cs="Calibri"/>
        </w:rPr>
        <w:t xml:space="preserve"> пристапот до фиксна </w:t>
      </w:r>
      <w:r w:rsidR="00083BDC" w:rsidRPr="002968EC">
        <w:rPr>
          <w:rFonts w:asciiTheme="minorHAnsi" w:hAnsiTheme="minorHAnsi" w:cs="Calibri"/>
          <w:lang w:val="mk-MK"/>
        </w:rPr>
        <w:t>мрежа,</w:t>
      </w:r>
      <w:r w:rsidR="00083BDC" w:rsidRPr="002968EC">
        <w:rPr>
          <w:rFonts w:asciiTheme="minorHAnsi" w:hAnsiTheme="minorHAnsi" w:cs="Calibri"/>
        </w:rPr>
        <w:t xml:space="preserve"> </w:t>
      </w:r>
      <w:r w:rsidRPr="002968EC">
        <w:rPr>
          <w:rFonts w:asciiTheme="minorHAnsi" w:hAnsiTheme="minorHAnsi" w:cs="Calibri"/>
        </w:rPr>
        <w:t xml:space="preserve">бидејќи крајните корисници можат да пристапат до мрежа заради иницирање и примање на повици исто како што би пристапиле користејќи фиксна конекција. </w:t>
      </w:r>
      <w:r w:rsidR="007967C2" w:rsidRPr="002968EC">
        <w:rPr>
          <w:rFonts w:asciiTheme="minorHAnsi" w:hAnsiTheme="minorHAnsi" w:cs="Calibri"/>
          <w:lang w:val="mk-MK"/>
        </w:rPr>
        <w:t>АЕК</w:t>
      </w:r>
      <w:r w:rsidRPr="002968EC">
        <w:rPr>
          <w:rFonts w:asciiTheme="minorHAnsi" w:hAnsiTheme="minorHAnsi" w:cs="Calibri"/>
        </w:rPr>
        <w:t xml:space="preserve"> </w:t>
      </w:r>
      <w:r w:rsidR="00083BDC" w:rsidRPr="002968EC">
        <w:rPr>
          <w:rFonts w:asciiTheme="minorHAnsi" w:hAnsiTheme="minorHAnsi" w:cs="Calibri"/>
          <w:lang w:val="mk-MK"/>
        </w:rPr>
        <w:t xml:space="preserve">главната разлика помеѓу двата видови на пристап </w:t>
      </w:r>
      <w:r w:rsidRPr="002968EC">
        <w:rPr>
          <w:rFonts w:asciiTheme="minorHAnsi" w:hAnsiTheme="minorHAnsi" w:cs="Calibri"/>
        </w:rPr>
        <w:t xml:space="preserve">ја гледа </w:t>
      </w:r>
      <w:r w:rsidR="00083BDC" w:rsidRPr="002968EC">
        <w:rPr>
          <w:rFonts w:asciiTheme="minorHAnsi" w:hAnsiTheme="minorHAnsi" w:cs="Calibri"/>
          <w:lang w:val="mk-MK"/>
        </w:rPr>
        <w:t xml:space="preserve">во </w:t>
      </w:r>
      <w:r w:rsidRPr="002968EC">
        <w:rPr>
          <w:rFonts w:asciiTheme="minorHAnsi" w:hAnsiTheme="minorHAnsi" w:cs="Calibri"/>
        </w:rPr>
        <w:t xml:space="preserve">квалитетот на услугата и </w:t>
      </w:r>
      <w:r w:rsidR="00083BDC" w:rsidRPr="002968EC">
        <w:rPr>
          <w:rFonts w:asciiTheme="minorHAnsi" w:hAnsiTheme="minorHAnsi" w:cs="Calibri"/>
          <w:lang w:val="mk-MK"/>
        </w:rPr>
        <w:t>капацитетот на преносот на податоци</w:t>
      </w:r>
      <w:r w:rsidRPr="002968EC">
        <w:rPr>
          <w:rFonts w:asciiTheme="minorHAnsi" w:hAnsiTheme="minorHAnsi" w:cs="Calibri"/>
        </w:rPr>
        <w:t>.</w:t>
      </w:r>
      <w:r w:rsidR="00FF2F00" w:rsidRPr="002968EC">
        <w:rPr>
          <w:rFonts w:asciiTheme="minorHAnsi" w:hAnsiTheme="minorHAnsi" w:cs="Calibri"/>
          <w:lang w:val="mk-MK"/>
        </w:rPr>
        <w:t xml:space="preserve"> </w:t>
      </w:r>
      <w:r w:rsidR="008356C4" w:rsidRPr="002968EC">
        <w:rPr>
          <w:rFonts w:asciiTheme="minorHAnsi" w:hAnsiTheme="minorHAnsi" w:cs="Calibri"/>
          <w:lang w:val="mk-MK"/>
        </w:rPr>
        <w:t xml:space="preserve"> </w:t>
      </w:r>
      <w:r w:rsidRPr="002968EC">
        <w:rPr>
          <w:rFonts w:asciiTheme="minorHAnsi" w:hAnsiTheme="minorHAnsi" w:cs="Calibri"/>
        </w:rPr>
        <w:t>Во моментот, не е веројатно</w:t>
      </w:r>
      <w:r w:rsidRPr="002968EC">
        <w:rPr>
          <w:rFonts w:asciiTheme="minorHAnsi" w:hAnsiTheme="minorHAnsi" w:cs="Calibri"/>
          <w:lang w:val="mk-MK"/>
        </w:rPr>
        <w:t xml:space="preserve"> дека</w:t>
      </w:r>
      <w:r w:rsidRPr="002968EC">
        <w:rPr>
          <w:rFonts w:asciiTheme="minorHAnsi" w:hAnsiTheme="minorHAnsi" w:cs="Calibri"/>
        </w:rPr>
        <w:t xml:space="preserve"> крајните корисници што користат</w:t>
      </w:r>
      <w:r w:rsidR="0080576A" w:rsidRPr="002968EC">
        <w:rPr>
          <w:rFonts w:asciiTheme="minorHAnsi" w:hAnsiTheme="minorHAnsi" w:cs="Calibri"/>
          <w:lang w:val="mk-MK"/>
        </w:rPr>
        <w:t xml:space="preserve"> пристап до</w:t>
      </w:r>
      <w:r w:rsidRPr="002968EC">
        <w:rPr>
          <w:rFonts w:asciiTheme="minorHAnsi" w:hAnsiTheme="minorHAnsi" w:cs="Calibri"/>
        </w:rPr>
        <w:t xml:space="preserve"> фиксна линија со цел остварување на повици и </w:t>
      </w:r>
      <w:r w:rsidR="0080576A" w:rsidRPr="002968EC">
        <w:rPr>
          <w:rFonts w:asciiTheme="minorHAnsi" w:hAnsiTheme="minorHAnsi" w:cs="Calibri"/>
          <w:lang w:val="mk-MK"/>
        </w:rPr>
        <w:t xml:space="preserve">широкопојасен </w:t>
      </w:r>
      <w:r w:rsidRPr="002968EC">
        <w:rPr>
          <w:rFonts w:asciiTheme="minorHAnsi" w:hAnsiTheme="minorHAnsi" w:cs="Calibri"/>
        </w:rPr>
        <w:t>пристап до интернет</w:t>
      </w:r>
      <w:r w:rsidRPr="002968EC">
        <w:rPr>
          <w:rFonts w:asciiTheme="minorHAnsi" w:hAnsiTheme="minorHAnsi" w:cs="Calibri"/>
          <w:lang w:val="mk-MK"/>
        </w:rPr>
        <w:t>,</w:t>
      </w:r>
      <w:r w:rsidRPr="002968EC">
        <w:rPr>
          <w:rFonts w:asciiTheme="minorHAnsi" w:hAnsiTheme="minorHAnsi" w:cs="Calibri"/>
        </w:rPr>
        <w:t xml:space="preserve"> </w:t>
      </w:r>
      <w:r w:rsidRPr="002968EC">
        <w:rPr>
          <w:rFonts w:asciiTheme="minorHAnsi" w:hAnsiTheme="minorHAnsi" w:cs="Calibri"/>
          <w:lang w:val="mk-MK"/>
        </w:rPr>
        <w:t xml:space="preserve">ќе </w:t>
      </w:r>
      <w:r w:rsidRPr="002968EC">
        <w:rPr>
          <w:rFonts w:asciiTheme="minorHAnsi" w:hAnsiTheme="minorHAnsi" w:cs="Calibri"/>
        </w:rPr>
        <w:t>го сметаат пристапот до мобилна мрежа за близок супститут.</w:t>
      </w:r>
      <w:r w:rsidR="00071371" w:rsidRPr="002968EC">
        <w:rPr>
          <w:rFonts w:asciiTheme="minorHAnsi" w:hAnsiTheme="minorHAnsi" w:cs="Calibri"/>
          <w:lang w:val="mk-MK"/>
        </w:rPr>
        <w:t xml:space="preserve"> </w:t>
      </w:r>
    </w:p>
    <w:p w:rsidR="00F21862" w:rsidRPr="002968EC" w:rsidRDefault="00F21862" w:rsidP="00781AEE">
      <w:pPr>
        <w:ind w:hanging="720"/>
        <w:rPr>
          <w:rFonts w:asciiTheme="minorHAnsi" w:hAnsiTheme="minorHAnsi" w:cs="Calibri"/>
          <w:lang w:val="ru-RU"/>
        </w:rPr>
      </w:pPr>
    </w:p>
    <w:p w:rsidR="00F21862" w:rsidRPr="002968EC" w:rsidRDefault="00F21862" w:rsidP="00781AEE">
      <w:pPr>
        <w:spacing w:after="0"/>
        <w:rPr>
          <w:rFonts w:asciiTheme="minorHAnsi" w:hAnsiTheme="minorHAnsi" w:cs="Calibri"/>
          <w:lang w:val="ru-RU"/>
        </w:rPr>
      </w:pPr>
      <w:r w:rsidRPr="002968EC">
        <w:rPr>
          <w:rFonts w:asciiTheme="minorHAnsi" w:hAnsiTheme="minorHAnsi" w:cs="Calibri"/>
        </w:rPr>
        <w:t xml:space="preserve">Навистина е тешко да се направи споредба помеѓу цената </w:t>
      </w:r>
      <w:r w:rsidR="00FF3E83" w:rsidRPr="002968EC">
        <w:rPr>
          <w:rFonts w:asciiTheme="minorHAnsi" w:hAnsiTheme="minorHAnsi" w:cs="Calibri"/>
          <w:lang w:val="mk-MK"/>
        </w:rPr>
        <w:t>з</w:t>
      </w:r>
      <w:r w:rsidRPr="002968EC">
        <w:rPr>
          <w:rFonts w:asciiTheme="minorHAnsi" w:hAnsiTheme="minorHAnsi" w:cs="Calibri"/>
        </w:rPr>
        <w:t xml:space="preserve">а пристап до фиксна мрежа и цената </w:t>
      </w:r>
      <w:r w:rsidR="00FF3E83" w:rsidRPr="002968EC">
        <w:rPr>
          <w:rFonts w:asciiTheme="minorHAnsi" w:hAnsiTheme="minorHAnsi" w:cs="Calibri"/>
          <w:lang w:val="mk-MK"/>
        </w:rPr>
        <w:t>з</w:t>
      </w:r>
      <w:r w:rsidRPr="002968EC">
        <w:rPr>
          <w:rFonts w:asciiTheme="minorHAnsi" w:hAnsiTheme="minorHAnsi" w:cs="Calibri"/>
        </w:rPr>
        <w:t>а пристап до мобилна мрежа</w:t>
      </w:r>
      <w:r w:rsidRPr="002968EC">
        <w:rPr>
          <w:rFonts w:asciiTheme="minorHAnsi" w:hAnsiTheme="minorHAnsi" w:cs="Calibri"/>
          <w:lang w:val="mk-MK"/>
        </w:rPr>
        <w:t>,</w:t>
      </w:r>
      <w:r w:rsidRPr="002968EC">
        <w:rPr>
          <w:rFonts w:asciiTheme="minorHAnsi" w:hAnsiTheme="minorHAnsi" w:cs="Calibri"/>
        </w:rPr>
        <w:t xml:space="preserve"> бидејќи пристапот до мобилна мрежа вообичаено </w:t>
      </w:r>
      <w:r w:rsidR="00593E0B" w:rsidRPr="002968EC">
        <w:rPr>
          <w:rFonts w:asciiTheme="minorHAnsi" w:hAnsiTheme="minorHAnsi" w:cs="Calibri"/>
          <w:lang w:val="mk-MK"/>
        </w:rPr>
        <w:t>вклучува и</w:t>
      </w:r>
      <w:r w:rsidRPr="002968EC">
        <w:rPr>
          <w:rFonts w:asciiTheme="minorHAnsi" w:hAnsiTheme="minorHAnsi" w:cs="Calibri"/>
        </w:rPr>
        <w:t xml:space="preserve"> сообраќај</w:t>
      </w:r>
      <w:r w:rsidR="00593E0B" w:rsidRPr="002968EC">
        <w:rPr>
          <w:rFonts w:asciiTheme="minorHAnsi" w:hAnsiTheme="minorHAnsi" w:cs="Calibri"/>
          <w:lang w:val="mk-MK"/>
        </w:rPr>
        <w:t xml:space="preserve"> кој што следува за определен износ на месечна претплата.</w:t>
      </w:r>
      <w:r w:rsidRPr="002968EC">
        <w:rPr>
          <w:rFonts w:asciiTheme="minorHAnsi" w:hAnsiTheme="minorHAnsi" w:cs="Calibri"/>
        </w:rPr>
        <w:t xml:space="preserve"> Бидејќи во мобилната телефонија </w:t>
      </w:r>
      <w:r w:rsidR="00BC3F54" w:rsidRPr="002968EC">
        <w:rPr>
          <w:rFonts w:asciiTheme="minorHAnsi" w:hAnsiTheme="minorHAnsi" w:cs="Calibri"/>
          <w:lang w:val="mk-MK"/>
        </w:rPr>
        <w:t>во износот на</w:t>
      </w:r>
      <w:r w:rsidRPr="002968EC">
        <w:rPr>
          <w:rFonts w:asciiTheme="minorHAnsi" w:hAnsiTheme="minorHAnsi" w:cs="Calibri"/>
        </w:rPr>
        <w:t xml:space="preserve"> </w:t>
      </w:r>
      <w:r w:rsidRPr="002968EC">
        <w:rPr>
          <w:rFonts w:asciiTheme="minorHAnsi" w:hAnsiTheme="minorHAnsi" w:cs="Calibri"/>
          <w:lang w:val="mk-MK"/>
        </w:rPr>
        <w:t xml:space="preserve">месечна претплата </w:t>
      </w:r>
      <w:r w:rsidR="00BC3F54" w:rsidRPr="002968EC">
        <w:rPr>
          <w:rFonts w:asciiTheme="minorHAnsi" w:hAnsiTheme="minorHAnsi" w:cs="Calibri"/>
          <w:lang w:val="mk-MK"/>
        </w:rPr>
        <w:t xml:space="preserve">не е содржан трошок </w:t>
      </w:r>
      <w:r w:rsidRPr="002968EC">
        <w:rPr>
          <w:rFonts w:asciiTheme="minorHAnsi" w:hAnsiTheme="minorHAnsi" w:cs="Calibri"/>
          <w:lang w:val="mk-MK"/>
        </w:rPr>
        <w:t xml:space="preserve">за </w:t>
      </w:r>
      <w:r w:rsidRPr="002968EC">
        <w:rPr>
          <w:rFonts w:asciiTheme="minorHAnsi" w:hAnsiTheme="minorHAnsi" w:cs="Calibri"/>
        </w:rPr>
        <w:t>при</w:t>
      </w:r>
      <w:r w:rsidRPr="002968EC">
        <w:rPr>
          <w:rFonts w:asciiTheme="minorHAnsi" w:hAnsiTheme="minorHAnsi" w:cs="Calibri"/>
          <w:lang w:val="mk-MK"/>
        </w:rPr>
        <w:t>стап (во неа се содржани минути разговор)</w:t>
      </w:r>
      <w:r w:rsidRPr="002968EC">
        <w:rPr>
          <w:rFonts w:asciiTheme="minorHAnsi" w:hAnsiTheme="minorHAnsi" w:cs="Calibri"/>
        </w:rPr>
        <w:t xml:space="preserve"> на мрежата</w:t>
      </w:r>
      <w:r w:rsidRPr="002968EC">
        <w:rPr>
          <w:rFonts w:asciiTheme="minorHAnsi" w:hAnsiTheme="minorHAnsi" w:cs="Calibri"/>
          <w:lang w:val="mk-MK"/>
        </w:rPr>
        <w:t>,</w:t>
      </w:r>
      <w:r w:rsidRPr="002968EC">
        <w:rPr>
          <w:rFonts w:asciiTheme="minorHAnsi" w:hAnsiTheme="minorHAnsi" w:cs="Calibri"/>
        </w:rPr>
        <w:t xml:space="preserve"> </w:t>
      </w:r>
      <w:r w:rsidR="00593E0B" w:rsidRPr="002968EC">
        <w:rPr>
          <w:rFonts w:asciiTheme="minorHAnsi" w:hAnsiTheme="minorHAnsi" w:cs="Calibri"/>
          <w:lang w:val="mk-MK"/>
        </w:rPr>
        <w:t xml:space="preserve">според </w:t>
      </w:r>
      <w:r w:rsidRPr="002968EC">
        <w:rPr>
          <w:rFonts w:asciiTheme="minorHAnsi" w:hAnsiTheme="minorHAnsi" w:cs="Calibri"/>
        </w:rPr>
        <w:t xml:space="preserve">тоа </w:t>
      </w:r>
      <w:r w:rsidRPr="002968EC">
        <w:rPr>
          <w:rFonts w:asciiTheme="minorHAnsi" w:hAnsiTheme="minorHAnsi" w:cs="Calibri"/>
          <w:lang w:val="mk-MK"/>
        </w:rPr>
        <w:t xml:space="preserve">крајниот корисник </w:t>
      </w:r>
      <w:r w:rsidR="00593E0B" w:rsidRPr="002968EC">
        <w:rPr>
          <w:rFonts w:asciiTheme="minorHAnsi" w:hAnsiTheme="minorHAnsi" w:cs="Calibri"/>
          <w:lang w:val="mk-MK"/>
        </w:rPr>
        <w:t>различно го вреднува</w:t>
      </w:r>
      <w:r w:rsidRPr="002968EC">
        <w:rPr>
          <w:rFonts w:asciiTheme="minorHAnsi" w:hAnsiTheme="minorHAnsi" w:cs="Calibri"/>
        </w:rPr>
        <w:t xml:space="preserve"> пристапот до фиксна мрежа </w:t>
      </w:r>
      <w:r w:rsidR="00593E0B" w:rsidRPr="002968EC">
        <w:rPr>
          <w:rFonts w:asciiTheme="minorHAnsi" w:hAnsiTheme="minorHAnsi" w:cs="Calibri"/>
          <w:lang w:val="mk-MK"/>
        </w:rPr>
        <w:t>од пристапот до мобилна мрежа.</w:t>
      </w:r>
      <w:r w:rsidRPr="002968EC">
        <w:rPr>
          <w:rFonts w:asciiTheme="minorHAnsi" w:hAnsiTheme="minorHAnsi" w:cs="Calibri"/>
        </w:rPr>
        <w:t xml:space="preserve"> </w:t>
      </w:r>
    </w:p>
    <w:p w:rsidR="00F21862" w:rsidRPr="002968EC" w:rsidRDefault="00F21862" w:rsidP="00781AEE">
      <w:pPr>
        <w:ind w:hanging="720"/>
        <w:rPr>
          <w:rFonts w:asciiTheme="minorHAnsi" w:hAnsiTheme="minorHAnsi" w:cs="Calibri"/>
          <w:lang w:val="ru-RU"/>
        </w:rPr>
      </w:pPr>
    </w:p>
    <w:p w:rsidR="00F21862" w:rsidRPr="002968EC" w:rsidRDefault="00F21862" w:rsidP="00781AEE">
      <w:pPr>
        <w:spacing w:after="0"/>
        <w:rPr>
          <w:rFonts w:asciiTheme="minorHAnsi" w:hAnsiTheme="minorHAnsi" w:cs="Calibri"/>
          <w:lang w:val="ru-RU"/>
        </w:rPr>
      </w:pPr>
      <w:r w:rsidRPr="002968EC">
        <w:rPr>
          <w:rFonts w:asciiTheme="minorHAnsi" w:hAnsiTheme="minorHAnsi" w:cs="Calibri"/>
        </w:rPr>
        <w:t>Поради различната ценовна структура на услугите за пристап до фиксна и мобилна мрежа помеѓу различните оператори, се јавува потешкотија за разделување на побарувачката за пристап и побарувачката за повици. Проценката на побарувачката за повици е разгледувана во документот</w:t>
      </w:r>
      <w:r w:rsidRPr="002968EC">
        <w:rPr>
          <w:rFonts w:asciiTheme="minorHAnsi" w:hAnsiTheme="minorHAnsi" w:cs="Calibri"/>
          <w:lang w:val="mk-MK"/>
        </w:rPr>
        <w:t xml:space="preserve"> за</w:t>
      </w:r>
      <w:r w:rsidRPr="002968EC">
        <w:rPr>
          <w:rFonts w:asciiTheme="minorHAnsi" w:hAnsiTheme="minorHAnsi" w:cs="Calibri"/>
        </w:rPr>
        <w:t xml:space="preserve"> анализа на </w:t>
      </w:r>
      <w:r w:rsidRPr="002968EC">
        <w:rPr>
          <w:rFonts w:asciiTheme="minorHAnsi" w:hAnsiTheme="minorHAnsi" w:cs="Calibri"/>
          <w:lang w:val="mk-MK"/>
        </w:rPr>
        <w:t>малопродажни</w:t>
      </w:r>
      <w:r w:rsidR="00E32D02" w:rsidRPr="002968EC">
        <w:rPr>
          <w:rFonts w:asciiTheme="minorHAnsi" w:hAnsiTheme="minorHAnsi" w:cs="Calibri"/>
          <w:lang w:val="mk-MK"/>
        </w:rPr>
        <w:t>о</w:t>
      </w:r>
      <w:r w:rsidRPr="002968EC">
        <w:rPr>
          <w:rFonts w:asciiTheme="minorHAnsi" w:hAnsiTheme="minorHAnsi" w:cs="Calibri"/>
          <w:lang w:val="mk-MK"/>
        </w:rPr>
        <w:t xml:space="preserve">т </w:t>
      </w:r>
      <w:r w:rsidRPr="002968EC">
        <w:rPr>
          <w:rFonts w:asciiTheme="minorHAnsi" w:hAnsiTheme="minorHAnsi" w:cs="Calibri"/>
        </w:rPr>
        <w:t>пазар</w:t>
      </w:r>
      <w:r w:rsidRPr="002968EC">
        <w:rPr>
          <w:rFonts w:asciiTheme="minorHAnsi" w:hAnsiTheme="minorHAnsi" w:cs="Calibri"/>
          <w:lang w:val="mk-MK"/>
        </w:rPr>
        <w:t xml:space="preserve"> за јавно достапни телефонски услуги на фиксна локација</w:t>
      </w:r>
      <w:r w:rsidR="00E32D02" w:rsidRPr="002968EC">
        <w:rPr>
          <w:rFonts w:asciiTheme="minorHAnsi" w:hAnsiTheme="minorHAnsi" w:cs="Calibri"/>
          <w:lang w:val="mk-MK"/>
        </w:rPr>
        <w:t xml:space="preserve"> за резиденцијални и деловни крајни корисници</w:t>
      </w:r>
      <w:r w:rsidRPr="002968EC">
        <w:rPr>
          <w:rFonts w:asciiTheme="minorHAnsi" w:hAnsiTheme="minorHAnsi" w:cs="Calibri"/>
        </w:rPr>
        <w:t xml:space="preserve"> </w:t>
      </w:r>
      <w:r w:rsidR="00537F35" w:rsidRPr="002968EC">
        <w:rPr>
          <w:rFonts w:asciiTheme="minorHAnsi" w:hAnsiTheme="minorHAnsi" w:cs="Calibri"/>
          <w:lang w:val="mk-MK"/>
        </w:rPr>
        <w:t>(</w:t>
      </w:r>
      <w:r w:rsidRPr="002968EC">
        <w:rPr>
          <w:rFonts w:asciiTheme="minorHAnsi" w:hAnsiTheme="minorHAnsi" w:cs="Calibri"/>
          <w:lang w:val="mk-MK"/>
        </w:rPr>
        <w:t>пазар 2</w:t>
      </w:r>
      <w:r w:rsidR="00537F35" w:rsidRPr="002968EC">
        <w:rPr>
          <w:rFonts w:asciiTheme="minorHAnsi" w:hAnsiTheme="minorHAnsi" w:cs="Calibri"/>
          <w:lang w:val="mk-MK"/>
        </w:rPr>
        <w:t>)</w:t>
      </w:r>
      <w:r w:rsidRPr="002968EC">
        <w:rPr>
          <w:rFonts w:asciiTheme="minorHAnsi" w:hAnsiTheme="minorHAnsi" w:cs="Calibri"/>
          <w:lang w:val="ru-RU"/>
        </w:rPr>
        <w:t xml:space="preserve">. </w:t>
      </w:r>
      <w:r w:rsidRPr="002968EC">
        <w:rPr>
          <w:rFonts w:asciiTheme="minorHAnsi" w:hAnsiTheme="minorHAnsi" w:cs="Calibri"/>
        </w:rPr>
        <w:t>В</w:t>
      </w:r>
      <w:r w:rsidRPr="002968EC">
        <w:rPr>
          <w:rFonts w:asciiTheme="minorHAnsi" w:hAnsiTheme="minorHAnsi" w:cs="Calibri"/>
          <w:lang w:val="ru-RU"/>
        </w:rPr>
        <w:t xml:space="preserve">о таа анализа се </w:t>
      </w:r>
      <w:r w:rsidRPr="002968EC">
        <w:rPr>
          <w:rFonts w:asciiTheme="minorHAnsi" w:hAnsiTheme="minorHAnsi" w:cs="Calibri"/>
        </w:rPr>
        <w:t xml:space="preserve">проценува дека цените за оригинирање на повик од мобилна мрежа се значително повисоки во однос на оригинирање на повик од мрежа на фиксна локација. Комбинирано со високото ниво на осетливост на цените, овие разлики укажуваат дека во временската рамка на оваа </w:t>
      </w:r>
      <w:r w:rsidRPr="002968EC">
        <w:rPr>
          <w:rFonts w:asciiTheme="minorHAnsi" w:hAnsiTheme="minorHAnsi" w:cs="Calibri"/>
        </w:rPr>
        <w:lastRenderedPageBreak/>
        <w:t xml:space="preserve">анализа крајните корисници на фиксни линии </w:t>
      </w:r>
      <w:r w:rsidRPr="002968EC">
        <w:rPr>
          <w:rFonts w:asciiTheme="minorHAnsi" w:hAnsiTheme="minorHAnsi" w:cs="Calibri"/>
          <w:lang w:val="mk-MK"/>
        </w:rPr>
        <w:t>нема</w:t>
      </w:r>
      <w:r w:rsidRPr="002968EC">
        <w:rPr>
          <w:rFonts w:asciiTheme="minorHAnsi" w:hAnsiTheme="minorHAnsi" w:cs="Calibri"/>
        </w:rPr>
        <w:t xml:space="preserve"> да се откажат од </w:t>
      </w:r>
      <w:r w:rsidRPr="002968EC">
        <w:rPr>
          <w:rFonts w:asciiTheme="minorHAnsi" w:hAnsiTheme="minorHAnsi" w:cs="Calibri"/>
          <w:lang w:val="mk-MK"/>
        </w:rPr>
        <w:t xml:space="preserve">користење на услугите преку </w:t>
      </w:r>
      <w:r w:rsidR="008A38F9" w:rsidRPr="002968EC">
        <w:rPr>
          <w:rFonts w:asciiTheme="minorHAnsi" w:hAnsiTheme="minorHAnsi" w:cs="Calibri"/>
          <w:lang w:val="mk-MK"/>
        </w:rPr>
        <w:t>јавна електронска комуникациска мрежа на фиксна локација</w:t>
      </w:r>
      <w:r w:rsidR="00593E0B" w:rsidRPr="002968EC">
        <w:rPr>
          <w:rFonts w:asciiTheme="minorHAnsi" w:hAnsiTheme="minorHAnsi" w:cs="Calibri"/>
          <w:lang w:val="mk-MK"/>
        </w:rPr>
        <w:t xml:space="preserve">  и да преминат на користење на услуги преку јавна електронска комуникациска мрежа (мобилна)</w:t>
      </w:r>
      <w:r w:rsidRPr="002968EC">
        <w:rPr>
          <w:rFonts w:asciiTheme="minorHAnsi" w:hAnsiTheme="minorHAnsi" w:cs="Calibri"/>
        </w:rPr>
        <w:t xml:space="preserve">. </w:t>
      </w:r>
      <w:r w:rsidR="007967C2" w:rsidRPr="002968EC">
        <w:rPr>
          <w:rFonts w:asciiTheme="minorHAnsi" w:hAnsiTheme="minorHAnsi" w:cs="Calibri"/>
          <w:lang w:val="mk-MK"/>
        </w:rPr>
        <w:t>АЕК</w:t>
      </w:r>
      <w:r w:rsidRPr="002968EC">
        <w:rPr>
          <w:rFonts w:asciiTheme="minorHAnsi" w:hAnsiTheme="minorHAnsi" w:cs="Calibri"/>
        </w:rPr>
        <w:t xml:space="preserve"> воедно забележува дека </w:t>
      </w:r>
      <w:r w:rsidR="00593E0B" w:rsidRPr="002968EC">
        <w:rPr>
          <w:rFonts w:asciiTheme="minorHAnsi" w:hAnsiTheme="minorHAnsi" w:cs="Calibri"/>
          <w:lang w:val="mk-MK"/>
        </w:rPr>
        <w:t>фиксниот пристап</w:t>
      </w:r>
      <w:r w:rsidRPr="002968EC">
        <w:rPr>
          <w:rFonts w:asciiTheme="minorHAnsi" w:hAnsiTheme="minorHAnsi" w:cs="Calibri"/>
        </w:rPr>
        <w:t xml:space="preserve"> </w:t>
      </w:r>
      <w:r w:rsidR="00593E0B" w:rsidRPr="002968EC">
        <w:rPr>
          <w:rFonts w:asciiTheme="minorHAnsi" w:hAnsiTheme="minorHAnsi" w:cs="Calibri"/>
          <w:lang w:val="mk-MK"/>
        </w:rPr>
        <w:t xml:space="preserve">како услуга </w:t>
      </w:r>
      <w:r w:rsidRPr="002968EC">
        <w:rPr>
          <w:rFonts w:asciiTheme="minorHAnsi" w:hAnsiTheme="minorHAnsi" w:cs="Calibri"/>
        </w:rPr>
        <w:t xml:space="preserve">е </w:t>
      </w:r>
      <w:r w:rsidR="00593E0B" w:rsidRPr="002968EC">
        <w:rPr>
          <w:rFonts w:asciiTheme="minorHAnsi" w:hAnsiTheme="minorHAnsi" w:cs="Calibri"/>
          <w:lang w:val="mk-MK"/>
        </w:rPr>
        <w:t>врзан</w:t>
      </w:r>
      <w:r w:rsidRPr="002968EC">
        <w:rPr>
          <w:rFonts w:asciiTheme="minorHAnsi" w:hAnsiTheme="minorHAnsi" w:cs="Calibri"/>
        </w:rPr>
        <w:t xml:space="preserve"> за одредена локација и </w:t>
      </w:r>
      <w:r w:rsidR="00593E0B" w:rsidRPr="002968EC">
        <w:rPr>
          <w:rFonts w:asciiTheme="minorHAnsi" w:hAnsiTheme="minorHAnsi" w:cs="Calibri"/>
          <w:lang w:val="mk-MK"/>
        </w:rPr>
        <w:t>истиот</w:t>
      </w:r>
      <w:r w:rsidRPr="002968EC">
        <w:rPr>
          <w:rFonts w:asciiTheme="minorHAnsi" w:hAnsiTheme="minorHAnsi" w:cs="Calibri"/>
        </w:rPr>
        <w:t xml:space="preserve"> може да се користи од повеќе крајни корисници наспроти мобилн</w:t>
      </w:r>
      <w:r w:rsidR="00B95805" w:rsidRPr="002968EC">
        <w:rPr>
          <w:rFonts w:asciiTheme="minorHAnsi" w:hAnsiTheme="minorHAnsi" w:cs="Calibri"/>
          <w:lang w:val="mk-MK"/>
        </w:rPr>
        <w:t>иот</w:t>
      </w:r>
      <w:r w:rsidRPr="002968EC">
        <w:rPr>
          <w:rFonts w:asciiTheme="minorHAnsi" w:hAnsiTheme="minorHAnsi" w:cs="Calibri"/>
        </w:rPr>
        <w:t xml:space="preserve"> </w:t>
      </w:r>
      <w:r w:rsidR="00593E0B" w:rsidRPr="002968EC">
        <w:rPr>
          <w:rFonts w:asciiTheme="minorHAnsi" w:hAnsiTheme="minorHAnsi" w:cs="Calibri"/>
          <w:lang w:val="mk-MK"/>
        </w:rPr>
        <w:t>пристап</w:t>
      </w:r>
      <w:r w:rsidRPr="002968EC">
        <w:rPr>
          <w:rFonts w:asciiTheme="minorHAnsi" w:hAnsiTheme="minorHAnsi" w:cs="Calibri"/>
        </w:rPr>
        <w:t xml:space="preserve"> кој генерално се поврзува со еден претплатник.</w:t>
      </w:r>
    </w:p>
    <w:p w:rsidR="007D2945" w:rsidRPr="002968EC" w:rsidRDefault="007D2945" w:rsidP="00781AEE">
      <w:pPr>
        <w:spacing w:after="0"/>
        <w:rPr>
          <w:rFonts w:asciiTheme="minorHAnsi" w:hAnsiTheme="minorHAnsi" w:cs="Calibri"/>
          <w:lang w:val="ru-RU"/>
        </w:rPr>
      </w:pPr>
    </w:p>
    <w:p w:rsidR="00F21862" w:rsidRPr="002968EC" w:rsidRDefault="00D80082" w:rsidP="00781AEE">
      <w:pPr>
        <w:spacing w:after="0"/>
        <w:rPr>
          <w:rFonts w:asciiTheme="minorHAnsi" w:hAnsiTheme="minorHAnsi" w:cs="Calibri"/>
          <w:lang w:val="mk-MK"/>
        </w:rPr>
      </w:pPr>
      <w:r w:rsidRPr="002968EC">
        <w:rPr>
          <w:rFonts w:asciiTheme="minorHAnsi" w:hAnsiTheme="minorHAnsi" w:cs="Calibri"/>
          <w:lang w:val="mk-MK"/>
        </w:rPr>
        <w:t>И</w:t>
      </w:r>
      <w:r w:rsidR="00F21862" w:rsidRPr="002968EC">
        <w:rPr>
          <w:rFonts w:asciiTheme="minorHAnsi" w:hAnsiTheme="minorHAnsi" w:cs="Calibri"/>
        </w:rPr>
        <w:t xml:space="preserve">спитувањето на јавното мислење </w:t>
      </w:r>
      <w:r w:rsidR="00F52B5E" w:rsidRPr="002968EC">
        <w:rPr>
          <w:rFonts w:asciiTheme="minorHAnsi" w:hAnsiTheme="minorHAnsi" w:cs="Calibri"/>
          <w:lang w:val="mk-MK"/>
        </w:rPr>
        <w:t xml:space="preserve">на резиденцијалните корисници спроведено во март 2014 год </w:t>
      </w:r>
      <w:r w:rsidR="00F21862" w:rsidRPr="002968EC">
        <w:rPr>
          <w:rFonts w:asciiTheme="minorHAnsi" w:hAnsiTheme="minorHAnsi" w:cs="Calibri"/>
        </w:rPr>
        <w:t xml:space="preserve">покажа дека крајните корисници </w:t>
      </w:r>
      <w:r w:rsidR="00F21862" w:rsidRPr="002968EC">
        <w:rPr>
          <w:rFonts w:asciiTheme="minorHAnsi" w:hAnsiTheme="minorHAnsi" w:cs="Calibri"/>
          <w:lang w:val="mk-MK"/>
        </w:rPr>
        <w:t xml:space="preserve">прават јасна предност и разлика помеѓу фиксна кон фиксна комуникација наспроти мобилна кон мобилна комуникација. Имено, </w:t>
      </w:r>
      <w:r w:rsidR="00D53206" w:rsidRPr="002968EC">
        <w:rPr>
          <w:rFonts w:asciiTheme="minorHAnsi" w:hAnsiTheme="minorHAnsi" w:cs="Calibri"/>
          <w:lang w:val="mk-MK"/>
        </w:rPr>
        <w:t>63</w:t>
      </w:r>
      <w:r w:rsidR="00F21862" w:rsidRPr="002968EC">
        <w:rPr>
          <w:rFonts w:asciiTheme="minorHAnsi" w:hAnsiTheme="minorHAnsi" w:cs="Calibri"/>
          <w:lang w:val="mk-MK"/>
        </w:rPr>
        <w:t>% од крајните корисници се изјасниле дека телефонираат од фиксен на фиксен телефон секогаш кога имаат потреба, додека 1</w:t>
      </w:r>
      <w:r w:rsidR="00F52B5E" w:rsidRPr="002968EC">
        <w:rPr>
          <w:rFonts w:asciiTheme="minorHAnsi" w:hAnsiTheme="minorHAnsi" w:cs="Calibri"/>
          <w:lang w:val="mk-MK"/>
        </w:rPr>
        <w:t>6</w:t>
      </w:r>
      <w:r w:rsidR="00F21862" w:rsidRPr="002968EC">
        <w:rPr>
          <w:rFonts w:asciiTheme="minorHAnsi" w:hAnsiTheme="minorHAnsi" w:cs="Calibri"/>
          <w:lang w:val="mk-MK"/>
        </w:rPr>
        <w:t>% од крајните корисници се изјасниле дека телефонираат од фиксен на мобилен секогаш кога имаат потреба. Од друга страна пак 2</w:t>
      </w:r>
      <w:r w:rsidR="00F52B5E" w:rsidRPr="002968EC">
        <w:rPr>
          <w:rFonts w:asciiTheme="minorHAnsi" w:hAnsiTheme="minorHAnsi" w:cs="Calibri"/>
          <w:lang w:val="mk-MK"/>
        </w:rPr>
        <w:t>9</w:t>
      </w:r>
      <w:r w:rsidR="00F21862" w:rsidRPr="002968EC">
        <w:rPr>
          <w:rFonts w:asciiTheme="minorHAnsi" w:hAnsiTheme="minorHAnsi" w:cs="Calibri"/>
          <w:lang w:val="mk-MK"/>
        </w:rPr>
        <w:t>% од крајните корисници се изјасниле дека телефонираат од мобилен на фиксен телефон секогаш кога имаат потреба додека 9</w:t>
      </w:r>
      <w:r w:rsidR="00F52B5E" w:rsidRPr="002968EC">
        <w:rPr>
          <w:rFonts w:asciiTheme="minorHAnsi" w:hAnsiTheme="minorHAnsi" w:cs="Calibri"/>
          <w:lang w:val="mk-MK"/>
        </w:rPr>
        <w:t>3</w:t>
      </w:r>
      <w:r w:rsidR="00F21862" w:rsidRPr="002968EC">
        <w:rPr>
          <w:rFonts w:asciiTheme="minorHAnsi" w:hAnsiTheme="minorHAnsi" w:cs="Calibri"/>
          <w:lang w:val="mk-MK"/>
        </w:rPr>
        <w:t xml:space="preserve">% од истите се изјасниле дека телефонираат од мобилен на мобилен телефон секогаш кога имаат потреба. </w:t>
      </w:r>
      <w:r w:rsidR="00F52B5E" w:rsidRPr="002968EC">
        <w:rPr>
          <w:rFonts w:asciiTheme="minorHAnsi" w:hAnsiTheme="minorHAnsi" w:cs="Calibri"/>
          <w:lang w:val="mk-MK"/>
        </w:rPr>
        <w:t>Ова покажува дека  дв</w:t>
      </w:r>
      <w:r w:rsidR="009E5DE3" w:rsidRPr="002968EC">
        <w:rPr>
          <w:rFonts w:asciiTheme="minorHAnsi" w:hAnsiTheme="minorHAnsi" w:cs="Calibri"/>
          <w:lang w:val="mk-MK"/>
        </w:rPr>
        <w:t>ете  услуги се</w:t>
      </w:r>
      <w:r w:rsidR="00F21862" w:rsidRPr="002968EC">
        <w:rPr>
          <w:rFonts w:asciiTheme="minorHAnsi" w:hAnsiTheme="minorHAnsi" w:cs="Calibri"/>
          <w:lang w:val="mk-MK"/>
        </w:rPr>
        <w:t xml:space="preserve"> комплементарни.  </w:t>
      </w:r>
    </w:p>
    <w:p w:rsidR="00A72A92" w:rsidRPr="002968EC" w:rsidRDefault="00F21862" w:rsidP="00781AEE">
      <w:pPr>
        <w:spacing w:after="0"/>
        <w:rPr>
          <w:rFonts w:asciiTheme="minorHAnsi" w:hAnsiTheme="minorHAnsi" w:cs="Calibri"/>
          <w:lang w:val="mk-MK"/>
        </w:rPr>
      </w:pPr>
      <w:r w:rsidRPr="002968EC">
        <w:rPr>
          <w:rFonts w:asciiTheme="minorHAnsi" w:hAnsiTheme="minorHAnsi" w:cs="Calibri"/>
          <w:lang w:val="mk-MK"/>
        </w:rPr>
        <w:t xml:space="preserve">Дека </w:t>
      </w:r>
      <w:r w:rsidRPr="002968EC">
        <w:rPr>
          <w:rFonts w:asciiTheme="minorHAnsi" w:hAnsiTheme="minorHAnsi" w:cs="Calibri"/>
        </w:rPr>
        <w:t>пристап</w:t>
      </w:r>
      <w:r w:rsidRPr="002968EC">
        <w:rPr>
          <w:rFonts w:asciiTheme="minorHAnsi" w:hAnsiTheme="minorHAnsi" w:cs="Calibri"/>
          <w:lang w:val="mk-MK"/>
        </w:rPr>
        <w:t>от</w:t>
      </w:r>
      <w:r w:rsidRPr="002968EC">
        <w:rPr>
          <w:rFonts w:asciiTheme="minorHAnsi" w:hAnsiTheme="minorHAnsi" w:cs="Calibri"/>
        </w:rPr>
        <w:t xml:space="preserve"> до јавни </w:t>
      </w:r>
      <w:r w:rsidR="00054954" w:rsidRPr="002968EC">
        <w:rPr>
          <w:rFonts w:asciiTheme="minorHAnsi" w:hAnsiTheme="minorHAnsi" w:cs="Calibri"/>
          <w:lang w:val="mk-MK"/>
        </w:rPr>
        <w:t xml:space="preserve">електронски </w:t>
      </w:r>
      <w:r w:rsidRPr="002968EC">
        <w:rPr>
          <w:rFonts w:asciiTheme="minorHAnsi" w:hAnsiTheme="minorHAnsi" w:cs="Calibri"/>
        </w:rPr>
        <w:t xml:space="preserve">комуникациски мрежи </w:t>
      </w:r>
      <w:r w:rsidR="00054954" w:rsidRPr="002968EC">
        <w:rPr>
          <w:rFonts w:asciiTheme="minorHAnsi" w:hAnsiTheme="minorHAnsi" w:cs="Calibri"/>
          <w:lang w:val="mk-MK"/>
        </w:rPr>
        <w:t>(</w:t>
      </w:r>
      <w:r w:rsidR="00054954" w:rsidRPr="002968EC">
        <w:rPr>
          <w:rFonts w:asciiTheme="minorHAnsi" w:hAnsiTheme="minorHAnsi" w:cs="Calibri"/>
        </w:rPr>
        <w:t>мобилни</w:t>
      </w:r>
      <w:r w:rsidR="00054954" w:rsidRPr="002968EC">
        <w:rPr>
          <w:rFonts w:asciiTheme="minorHAnsi" w:hAnsiTheme="minorHAnsi" w:cs="Calibri"/>
          <w:lang w:val="mk-MK"/>
        </w:rPr>
        <w:t>)</w:t>
      </w:r>
      <w:r w:rsidR="00054954" w:rsidRPr="002968EC">
        <w:rPr>
          <w:rFonts w:asciiTheme="minorHAnsi" w:hAnsiTheme="minorHAnsi" w:cs="Calibri"/>
        </w:rPr>
        <w:t xml:space="preserve"> </w:t>
      </w:r>
      <w:r w:rsidRPr="002968EC">
        <w:rPr>
          <w:rFonts w:asciiTheme="minorHAnsi" w:hAnsiTheme="minorHAnsi" w:cs="Calibri"/>
        </w:rPr>
        <w:t xml:space="preserve">не преставува супститут за услугата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B0698A" w:rsidRPr="002968EC">
        <w:rPr>
          <w:rFonts w:asciiTheme="minorHAnsi" w:hAnsiTheme="minorHAnsi" w:cs="Calibri"/>
          <w:lang w:val="mk-MK"/>
        </w:rPr>
        <w:t xml:space="preserve"> </w:t>
      </w:r>
      <w:r w:rsidRPr="002968EC">
        <w:rPr>
          <w:rFonts w:asciiTheme="minorHAnsi" w:hAnsiTheme="minorHAnsi" w:cs="Calibri"/>
          <w:lang w:val="mk-MK"/>
        </w:rPr>
        <w:t xml:space="preserve">укажува и фактот </w:t>
      </w:r>
      <w:r w:rsidR="00054954" w:rsidRPr="002968EC">
        <w:rPr>
          <w:rFonts w:asciiTheme="minorHAnsi" w:hAnsiTheme="minorHAnsi" w:cs="Calibri"/>
          <w:lang w:val="mk-MK"/>
        </w:rPr>
        <w:t xml:space="preserve">дека мобилниот интернет не е соодветен супститут на фиксниот интернет пристап. И покрај појавата на новите технологии </w:t>
      </w:r>
      <w:r w:rsidR="00054954" w:rsidRPr="002968EC">
        <w:rPr>
          <w:rFonts w:asciiTheme="minorHAnsi" w:hAnsiTheme="minorHAnsi" w:cs="Calibri"/>
        </w:rPr>
        <w:t xml:space="preserve">(3G, LTE) </w:t>
      </w:r>
      <w:r w:rsidR="00054954" w:rsidRPr="002968EC">
        <w:rPr>
          <w:rFonts w:asciiTheme="minorHAnsi" w:hAnsiTheme="minorHAnsi" w:cs="Calibri"/>
          <w:lang w:val="mk-MK"/>
        </w:rPr>
        <w:t xml:space="preserve"> за пренос на податоци , </w:t>
      </w:r>
      <w:r w:rsidRPr="002968EC">
        <w:rPr>
          <w:rFonts w:asciiTheme="minorHAnsi" w:hAnsiTheme="minorHAnsi" w:cs="Calibri"/>
          <w:lang w:val="mk-MK"/>
        </w:rPr>
        <w:t>сеуште не преставува</w:t>
      </w:r>
      <w:r w:rsidR="00054954" w:rsidRPr="002968EC">
        <w:rPr>
          <w:rFonts w:asciiTheme="minorHAnsi" w:hAnsiTheme="minorHAnsi" w:cs="Calibri"/>
          <w:lang w:val="mk-MK"/>
        </w:rPr>
        <w:t>ат</w:t>
      </w:r>
      <w:r w:rsidRPr="002968EC">
        <w:rPr>
          <w:rFonts w:asciiTheme="minorHAnsi" w:hAnsiTheme="minorHAnsi" w:cs="Calibri"/>
          <w:lang w:val="mk-MK"/>
        </w:rPr>
        <w:t xml:space="preserve"> су</w:t>
      </w:r>
      <w:r w:rsidR="00FE6487" w:rsidRPr="002968EC">
        <w:rPr>
          <w:rFonts w:asciiTheme="minorHAnsi" w:hAnsiTheme="minorHAnsi" w:cs="Calibri"/>
          <w:lang w:val="mk-MK"/>
        </w:rPr>
        <w:t>п</w:t>
      </w:r>
      <w:r w:rsidRPr="002968EC">
        <w:rPr>
          <w:rFonts w:asciiTheme="minorHAnsi" w:hAnsiTheme="minorHAnsi" w:cs="Calibri"/>
          <w:lang w:val="mk-MK"/>
        </w:rPr>
        <w:t xml:space="preserve">ститут на </w:t>
      </w:r>
      <w:r w:rsidR="00FE6487" w:rsidRPr="002968EC">
        <w:rPr>
          <w:rFonts w:asciiTheme="minorHAnsi" w:hAnsiTheme="minorHAnsi" w:cs="Calibri"/>
          <w:lang w:val="mk-MK"/>
        </w:rPr>
        <w:t xml:space="preserve">широкопојасниот пристап до </w:t>
      </w:r>
      <w:r w:rsidRPr="002968EC">
        <w:rPr>
          <w:rFonts w:asciiTheme="minorHAnsi" w:hAnsiTheme="minorHAnsi" w:cs="Calibri"/>
          <w:lang w:val="mk-MK"/>
        </w:rPr>
        <w:t>интернет кој се овозможува преку</w:t>
      </w:r>
      <w:r w:rsidR="00054954" w:rsidRPr="002968EC">
        <w:rPr>
          <w:rFonts w:asciiTheme="minorHAnsi" w:hAnsiTheme="minorHAnsi" w:cs="Calibri"/>
          <w:lang w:val="mk-MK"/>
        </w:rPr>
        <w:t xml:space="preserve"> фиксен пристап</w:t>
      </w:r>
      <w:r w:rsidRPr="002968EC">
        <w:rPr>
          <w:rFonts w:asciiTheme="minorHAnsi" w:hAnsiTheme="minorHAnsi" w:cs="Calibri"/>
          <w:lang w:val="mk-MK"/>
        </w:rPr>
        <w:t xml:space="preserve"> (</w:t>
      </w:r>
      <w:r w:rsidR="00FE6487" w:rsidRPr="002968EC">
        <w:rPr>
          <w:rFonts w:asciiTheme="minorHAnsi" w:hAnsiTheme="minorHAnsi" w:cs="Calibri"/>
          <w:lang w:val="mk-MK"/>
        </w:rPr>
        <w:t>х</w:t>
      </w:r>
      <w:r w:rsidRPr="002968EC">
        <w:rPr>
          <w:rFonts w:asciiTheme="minorHAnsi" w:hAnsiTheme="minorHAnsi" w:cs="Calibri"/>
        </w:rPr>
        <w:t>DSL</w:t>
      </w:r>
      <w:r w:rsidRPr="002968EC">
        <w:rPr>
          <w:rFonts w:asciiTheme="minorHAnsi" w:hAnsiTheme="minorHAnsi" w:cs="Calibri"/>
          <w:lang w:val="mk-MK"/>
        </w:rPr>
        <w:t>, кабелски</w:t>
      </w:r>
      <w:r w:rsidR="004407D4" w:rsidRPr="002968EC">
        <w:rPr>
          <w:rFonts w:asciiTheme="minorHAnsi" w:hAnsiTheme="minorHAnsi" w:cs="Calibri"/>
          <w:lang w:val="mk-MK"/>
        </w:rPr>
        <w:t>, оптика или безжична технологија</w:t>
      </w:r>
      <w:r w:rsidRPr="002968EC">
        <w:rPr>
          <w:rFonts w:asciiTheme="minorHAnsi" w:hAnsiTheme="minorHAnsi" w:cs="Calibri"/>
          <w:lang w:val="mk-MK"/>
        </w:rPr>
        <w:t>). Во поглед на функционалноста мобилниот интернет користен преку мобилен апарат е лимитиран во поглед на големината на екранот, резулуцијата и пристапот до одредени апликации, додека мобилниот интернет преку компјутер е исто така ограничен од аспект на</w:t>
      </w:r>
      <w:r w:rsidRPr="002968EC">
        <w:rPr>
          <w:rFonts w:asciiTheme="minorHAnsi" w:hAnsiTheme="minorHAnsi" w:cs="Calibri"/>
        </w:rPr>
        <w:t xml:space="preserve"> </w:t>
      </w:r>
      <w:r w:rsidRPr="002968EC">
        <w:rPr>
          <w:rFonts w:asciiTheme="minorHAnsi" w:hAnsiTheme="minorHAnsi" w:cs="Calibri"/>
          <w:lang w:val="mk-MK"/>
        </w:rPr>
        <w:t xml:space="preserve">брзината на симнување на податоци. Корисник на интернет кој користи </w:t>
      </w:r>
      <w:r w:rsidR="00054954" w:rsidRPr="002968EC">
        <w:rPr>
          <w:rFonts w:asciiTheme="minorHAnsi" w:hAnsiTheme="minorHAnsi" w:cs="Calibri"/>
          <w:lang w:val="mk-MK"/>
        </w:rPr>
        <w:t xml:space="preserve">фиксен </w:t>
      </w:r>
      <w:r w:rsidRPr="002968EC">
        <w:rPr>
          <w:rFonts w:asciiTheme="minorHAnsi" w:hAnsiTheme="minorHAnsi" w:cs="Calibri"/>
          <w:lang w:val="mk-MK"/>
        </w:rPr>
        <w:t>пристап до интернет  симнува повеќе податоци од корисник кој користи мобилен интернет.</w:t>
      </w:r>
      <w:r w:rsidR="007967C2" w:rsidRPr="002968EC">
        <w:rPr>
          <w:rFonts w:asciiTheme="minorHAnsi" w:hAnsiTheme="minorHAnsi" w:cs="Calibri"/>
          <w:lang w:val="mk-MK"/>
        </w:rPr>
        <w:t>АЕК</w:t>
      </w:r>
      <w:r w:rsidRPr="002968EC">
        <w:rPr>
          <w:rFonts w:asciiTheme="minorHAnsi" w:hAnsiTheme="minorHAnsi" w:cs="Calibri"/>
          <w:lang w:val="mk-MK"/>
        </w:rPr>
        <w:t xml:space="preserve"> смета дека</w:t>
      </w:r>
      <w:r w:rsidR="00B82700" w:rsidRPr="002968EC">
        <w:rPr>
          <w:rFonts w:asciiTheme="minorHAnsi" w:hAnsiTheme="minorHAnsi" w:cs="Calibri"/>
          <w:lang w:val="mk-MK"/>
        </w:rPr>
        <w:t xml:space="preserve"> крајните корисници</w:t>
      </w:r>
      <w:r w:rsidR="00525BDD">
        <w:rPr>
          <w:rFonts w:asciiTheme="minorHAnsi" w:hAnsiTheme="minorHAnsi" w:cs="Calibri"/>
          <w:lang w:val="mk-MK"/>
        </w:rPr>
        <w:t xml:space="preserve"> </w:t>
      </w:r>
      <w:r w:rsidRPr="002968EC">
        <w:rPr>
          <w:rFonts w:asciiTheme="minorHAnsi" w:hAnsiTheme="minorHAnsi" w:cs="Calibri"/>
          <w:lang w:val="mk-MK"/>
        </w:rPr>
        <w:t xml:space="preserve">го користат мобилниот интернет како </w:t>
      </w:r>
      <w:r w:rsidR="00B82700" w:rsidRPr="002968EC">
        <w:rPr>
          <w:rFonts w:asciiTheme="minorHAnsi" w:hAnsiTheme="minorHAnsi" w:cs="Calibri"/>
          <w:lang w:val="mk-MK"/>
        </w:rPr>
        <w:t>дополнителна</w:t>
      </w:r>
      <w:r w:rsidRPr="002968EC">
        <w:rPr>
          <w:rFonts w:asciiTheme="minorHAnsi" w:hAnsiTheme="minorHAnsi" w:cs="Calibri"/>
          <w:lang w:val="mk-MK"/>
        </w:rPr>
        <w:t xml:space="preserve"> услуга за пристап до интернет</w:t>
      </w:r>
      <w:r w:rsidR="00B82700" w:rsidRPr="002968EC">
        <w:rPr>
          <w:rFonts w:asciiTheme="minorHAnsi" w:hAnsiTheme="minorHAnsi" w:cs="Calibri"/>
          <w:lang w:val="mk-MK"/>
        </w:rPr>
        <w:t xml:space="preserve"> и најчесто преку својот мобилен апарат а многу малку користејќи дедицирани дата сим картички за употреба на таблет компјутери</w:t>
      </w:r>
      <w:r w:rsidRPr="002968EC">
        <w:rPr>
          <w:rFonts w:asciiTheme="minorHAnsi" w:hAnsiTheme="minorHAnsi" w:cs="Calibri"/>
          <w:lang w:val="mk-MK"/>
        </w:rPr>
        <w:t xml:space="preserve">. </w:t>
      </w:r>
      <w:r w:rsidR="007967C2" w:rsidRPr="002968EC">
        <w:rPr>
          <w:rFonts w:asciiTheme="minorHAnsi" w:hAnsiTheme="minorHAnsi" w:cs="Calibri"/>
          <w:lang w:val="mk-MK"/>
        </w:rPr>
        <w:t>АЕК</w:t>
      </w:r>
      <w:r w:rsidRPr="002968EC">
        <w:rPr>
          <w:rFonts w:asciiTheme="minorHAnsi" w:hAnsiTheme="minorHAnsi" w:cs="Calibri"/>
          <w:lang w:val="mk-MK"/>
        </w:rPr>
        <w:t xml:space="preserve"> го следи трендот на зголемување на користењето на двата типа на интернет и како и во претходниот случај смета дека тие преставуваат комплементарни услуги кои ја задоволуваат паб</w:t>
      </w:r>
      <w:r w:rsidRPr="002968EC">
        <w:rPr>
          <w:rFonts w:asciiTheme="minorHAnsi" w:hAnsiTheme="minorHAnsi" w:cs="Calibri"/>
        </w:rPr>
        <w:t>a</w:t>
      </w:r>
      <w:r w:rsidRPr="002968EC">
        <w:rPr>
          <w:rFonts w:asciiTheme="minorHAnsi" w:hAnsiTheme="minorHAnsi" w:cs="Calibri"/>
          <w:lang w:val="mk-MK"/>
        </w:rPr>
        <w:t>рувачката на пазарот.</w:t>
      </w:r>
      <w:r w:rsidR="00D80082" w:rsidRPr="002968EC">
        <w:rPr>
          <w:rFonts w:asciiTheme="minorHAnsi" w:hAnsiTheme="minorHAnsi" w:cs="Calibri"/>
        </w:rPr>
        <w:t xml:space="preserve"> </w:t>
      </w:r>
    </w:p>
    <w:p w:rsidR="000E4710" w:rsidRDefault="000E4710" w:rsidP="00781AEE">
      <w:pPr>
        <w:spacing w:after="0"/>
        <w:rPr>
          <w:rFonts w:asciiTheme="minorHAnsi" w:hAnsiTheme="minorHAnsi" w:cs="Calibri"/>
          <w:lang w:val="mk-MK"/>
        </w:rPr>
      </w:pPr>
    </w:p>
    <w:p w:rsidR="00F21862" w:rsidRPr="002968EC" w:rsidRDefault="00A72A92" w:rsidP="00781AEE">
      <w:pPr>
        <w:spacing w:after="0"/>
        <w:rPr>
          <w:rFonts w:asciiTheme="minorHAnsi" w:hAnsiTheme="minorHAnsi" w:cs="Calibri"/>
          <w:lang w:val="mk-MK"/>
        </w:rPr>
      </w:pPr>
      <w:r w:rsidRPr="002968EC">
        <w:rPr>
          <w:rFonts w:asciiTheme="minorHAnsi" w:hAnsiTheme="minorHAnsi" w:cs="Calibri"/>
          <w:lang w:val="mk-MK"/>
        </w:rPr>
        <w:t xml:space="preserve">Врз основа на погоре кажаното </w:t>
      </w:r>
      <w:r w:rsidR="00D80082" w:rsidRPr="002968EC">
        <w:rPr>
          <w:rFonts w:asciiTheme="minorHAnsi" w:hAnsiTheme="minorHAnsi" w:cs="Calibri"/>
        </w:rPr>
        <w:t>АЕК заклучи дека услугата за пристап до јавн</w:t>
      </w:r>
      <w:r w:rsidRPr="002968EC">
        <w:rPr>
          <w:rFonts w:asciiTheme="minorHAnsi" w:hAnsiTheme="minorHAnsi" w:cs="Calibri"/>
          <w:lang w:val="mk-MK"/>
        </w:rPr>
        <w:t>а</w:t>
      </w:r>
      <w:r w:rsidR="00D80082" w:rsidRPr="002968EC">
        <w:rPr>
          <w:rFonts w:asciiTheme="minorHAnsi" w:hAnsiTheme="minorHAnsi" w:cs="Calibri"/>
        </w:rPr>
        <w:t xml:space="preserve"> </w:t>
      </w:r>
      <w:r w:rsidR="00D80082" w:rsidRPr="002968EC">
        <w:rPr>
          <w:rFonts w:asciiTheme="minorHAnsi" w:hAnsiTheme="minorHAnsi" w:cs="Calibri"/>
          <w:lang w:val="mk-MK"/>
        </w:rPr>
        <w:t xml:space="preserve">електронска </w:t>
      </w:r>
      <w:r w:rsidR="00D80082" w:rsidRPr="002968EC">
        <w:rPr>
          <w:rFonts w:asciiTheme="minorHAnsi" w:hAnsiTheme="minorHAnsi" w:cs="Calibri"/>
        </w:rPr>
        <w:t>комуникациск</w:t>
      </w:r>
      <w:r w:rsidRPr="002968EC">
        <w:rPr>
          <w:rFonts w:asciiTheme="minorHAnsi" w:hAnsiTheme="minorHAnsi" w:cs="Calibri"/>
          <w:lang w:val="mk-MK"/>
        </w:rPr>
        <w:t>а</w:t>
      </w:r>
      <w:r w:rsidR="00D80082" w:rsidRPr="002968EC">
        <w:rPr>
          <w:rFonts w:asciiTheme="minorHAnsi" w:hAnsiTheme="minorHAnsi" w:cs="Calibri"/>
        </w:rPr>
        <w:t xml:space="preserve"> мреж</w:t>
      </w:r>
      <w:r w:rsidRPr="002968EC">
        <w:rPr>
          <w:rFonts w:asciiTheme="minorHAnsi" w:hAnsiTheme="minorHAnsi" w:cs="Calibri"/>
          <w:lang w:val="mk-MK"/>
        </w:rPr>
        <w:t>а</w:t>
      </w:r>
      <w:r w:rsidR="00D80082" w:rsidRPr="002968EC">
        <w:rPr>
          <w:rFonts w:asciiTheme="minorHAnsi" w:hAnsiTheme="minorHAnsi" w:cs="Calibri"/>
        </w:rPr>
        <w:t xml:space="preserve"> </w:t>
      </w:r>
      <w:r w:rsidR="00D80082" w:rsidRPr="002968EC">
        <w:rPr>
          <w:rFonts w:asciiTheme="minorHAnsi" w:hAnsiTheme="minorHAnsi" w:cs="Calibri"/>
          <w:lang w:val="mk-MK"/>
        </w:rPr>
        <w:t>(</w:t>
      </w:r>
      <w:r w:rsidR="00D80082" w:rsidRPr="002968EC">
        <w:rPr>
          <w:rFonts w:asciiTheme="minorHAnsi" w:hAnsiTheme="minorHAnsi" w:cs="Calibri"/>
        </w:rPr>
        <w:t>мобилн</w:t>
      </w:r>
      <w:r w:rsidRPr="002968EC">
        <w:rPr>
          <w:rFonts w:asciiTheme="minorHAnsi" w:hAnsiTheme="minorHAnsi" w:cs="Calibri"/>
          <w:lang w:val="mk-MK"/>
        </w:rPr>
        <w:t>а</w:t>
      </w:r>
      <w:r w:rsidR="00D80082" w:rsidRPr="002968EC">
        <w:rPr>
          <w:rFonts w:asciiTheme="minorHAnsi" w:hAnsiTheme="minorHAnsi" w:cs="Calibri"/>
          <w:lang w:val="mk-MK"/>
        </w:rPr>
        <w:t>)</w:t>
      </w:r>
      <w:r w:rsidR="00D80082" w:rsidRPr="002968EC">
        <w:rPr>
          <w:rFonts w:asciiTheme="minorHAnsi" w:hAnsiTheme="minorHAnsi" w:cs="Calibri"/>
        </w:rPr>
        <w:t xml:space="preserve"> не преставува супститут за услугата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D80082" w:rsidRPr="002968EC">
        <w:rPr>
          <w:rFonts w:asciiTheme="minorHAnsi" w:hAnsiTheme="minorHAnsi" w:cs="Calibri"/>
        </w:rPr>
        <w:t xml:space="preserve">. </w:t>
      </w:r>
    </w:p>
    <w:p w:rsidR="00F21862" w:rsidRPr="002968EC" w:rsidRDefault="00F21862" w:rsidP="00781AEE">
      <w:pPr>
        <w:rPr>
          <w:rFonts w:asciiTheme="minorHAnsi" w:hAnsiTheme="minorHAnsi" w:cs="Calibri"/>
          <w:lang w:val="mk-MK"/>
        </w:rPr>
      </w:pPr>
    </w:p>
    <w:p w:rsidR="00F21862" w:rsidRPr="002968EC" w:rsidRDefault="007169F6" w:rsidP="00781AEE">
      <w:pPr>
        <w:tabs>
          <w:tab w:val="left" w:pos="720"/>
        </w:tabs>
        <w:suppressAutoHyphens/>
        <w:spacing w:after="0"/>
        <w:rPr>
          <w:rFonts w:asciiTheme="minorHAnsi" w:hAnsiTheme="minorHAnsi" w:cs="Calibri"/>
          <w:lang w:val="ru-RU"/>
        </w:rPr>
      </w:pPr>
      <w:r w:rsidRPr="002968EC">
        <w:rPr>
          <w:rFonts w:asciiTheme="minorHAnsi" w:hAnsiTheme="minorHAnsi" w:cs="Calibri"/>
          <w:lang w:val="mk-MK"/>
        </w:rPr>
        <w:t xml:space="preserve">Доколку помеѓу двете форми на пристап постои супституција, операторите при определено дополнително зголемување на цената за услугата пристап до јавна електронска комуникациска мрежа (мобилна), ќе имаат интерес да започнат да ја обезбедуваат истата. </w:t>
      </w:r>
      <w:r w:rsidRPr="002968EC">
        <w:rPr>
          <w:rFonts w:asciiTheme="minorHAnsi" w:hAnsiTheme="minorHAnsi" w:cs="Calibri"/>
          <w:lang w:val="ru-RU"/>
        </w:rPr>
        <w:t xml:space="preserve">Малку </w:t>
      </w:r>
      <w:r w:rsidR="00F21862" w:rsidRPr="002968EC">
        <w:rPr>
          <w:rFonts w:asciiTheme="minorHAnsi" w:hAnsiTheme="minorHAnsi" w:cs="Calibri"/>
          <w:lang w:val="ru-RU"/>
        </w:rPr>
        <w:t xml:space="preserve">е веројатно дека оператор на </w:t>
      </w:r>
      <w:r w:rsidR="008A38F9" w:rsidRPr="002968EC">
        <w:rPr>
          <w:rFonts w:asciiTheme="minorHAnsi" w:hAnsiTheme="minorHAnsi" w:cs="Calibri"/>
          <w:lang w:val="mk-MK"/>
        </w:rPr>
        <w:t>јавна електронска комуникациска мрежа на фиксна локација</w:t>
      </w:r>
      <w:r w:rsidRPr="002968EC">
        <w:rPr>
          <w:rFonts w:asciiTheme="minorHAnsi" w:hAnsiTheme="minorHAnsi" w:cs="Calibri"/>
          <w:lang w:val="ru-RU"/>
        </w:rPr>
        <w:t xml:space="preserve"> </w:t>
      </w:r>
      <w:r w:rsidR="00F21862" w:rsidRPr="002968EC">
        <w:rPr>
          <w:rFonts w:asciiTheme="minorHAnsi" w:hAnsiTheme="minorHAnsi" w:cs="Calibri"/>
          <w:lang w:val="ru-RU"/>
        </w:rPr>
        <w:t xml:space="preserve">ќе одлучи да гради нова мобилна мрежа.  Ова се должи на високиот износ на потребните финансиски средства, потребното време за спроведување на самата инвестиција, </w:t>
      </w:r>
      <w:r w:rsidR="00F21862" w:rsidRPr="002968EC">
        <w:rPr>
          <w:rFonts w:asciiTheme="minorHAnsi" w:hAnsiTheme="minorHAnsi" w:cs="Calibri"/>
          <w:lang w:val="ru-RU"/>
        </w:rPr>
        <w:lastRenderedPageBreak/>
        <w:t xml:space="preserve">но </w:t>
      </w:r>
      <w:r w:rsidRPr="002968EC">
        <w:rPr>
          <w:rFonts w:asciiTheme="minorHAnsi" w:hAnsiTheme="minorHAnsi" w:cs="Calibri"/>
          <w:lang w:val="ru-RU"/>
        </w:rPr>
        <w:t>и</w:t>
      </w:r>
      <w:r w:rsidR="00F21862" w:rsidRPr="002968EC">
        <w:rPr>
          <w:rFonts w:asciiTheme="minorHAnsi" w:hAnsiTheme="minorHAnsi" w:cs="Calibri"/>
          <w:lang w:val="ru-RU"/>
        </w:rPr>
        <w:t xml:space="preserve"> поради регулираниот пристап до радио-фреквенцискиот спектар, како ограничен национален ресурс. </w:t>
      </w:r>
    </w:p>
    <w:p w:rsidR="000E4710" w:rsidRDefault="000E4710" w:rsidP="00781AEE">
      <w:pPr>
        <w:tabs>
          <w:tab w:val="num" w:pos="720"/>
        </w:tabs>
        <w:rPr>
          <w:rFonts w:asciiTheme="minorHAnsi" w:hAnsiTheme="minorHAnsi" w:cs="Calibri"/>
          <w:lang w:val="mk-MK"/>
        </w:rPr>
      </w:pPr>
    </w:p>
    <w:p w:rsidR="007D2945" w:rsidRPr="002968EC" w:rsidRDefault="00F21862" w:rsidP="00781AEE">
      <w:pPr>
        <w:tabs>
          <w:tab w:val="num" w:pos="720"/>
        </w:tabs>
        <w:rPr>
          <w:rFonts w:asciiTheme="minorHAnsi" w:hAnsiTheme="minorHAnsi" w:cs="Calibri"/>
          <w:lang w:val="ru-RU"/>
        </w:rPr>
      </w:pPr>
      <w:r w:rsidRPr="002968EC">
        <w:rPr>
          <w:rFonts w:asciiTheme="minorHAnsi" w:hAnsiTheme="minorHAnsi" w:cs="Calibri"/>
        </w:rPr>
        <w:t xml:space="preserve">Од другата страна, мобилен оператор кој размислува за влез на пазарите за пристап до </w:t>
      </w:r>
      <w:r w:rsidR="008A38F9" w:rsidRPr="002968EC">
        <w:rPr>
          <w:rFonts w:asciiTheme="minorHAnsi" w:hAnsiTheme="minorHAnsi"/>
          <w:lang w:val="mk-MK"/>
        </w:rPr>
        <w:t>јавна електронска комуникациска мрежа на фиксна локација</w:t>
      </w:r>
      <w:r w:rsidR="009E60F7" w:rsidRPr="002968EC">
        <w:rPr>
          <w:rFonts w:asciiTheme="minorHAnsi" w:hAnsiTheme="minorHAnsi" w:cs="Calibri"/>
        </w:rPr>
        <w:t xml:space="preserve"> </w:t>
      </w:r>
      <w:r w:rsidRPr="002968EC">
        <w:rPr>
          <w:rFonts w:asciiTheme="minorHAnsi" w:hAnsiTheme="minorHAnsi" w:cs="Calibri"/>
        </w:rPr>
        <w:t xml:space="preserve">и јавно достапни телефонски услуги </w:t>
      </w:r>
      <w:r w:rsidR="007169F6" w:rsidRPr="002968EC">
        <w:rPr>
          <w:rFonts w:asciiTheme="minorHAnsi" w:hAnsiTheme="minorHAnsi" w:cs="Calibri"/>
          <w:lang w:val="mk-MK"/>
        </w:rPr>
        <w:t>(</w:t>
      </w:r>
      <w:r w:rsidRPr="002968EC">
        <w:rPr>
          <w:rFonts w:asciiTheme="minorHAnsi" w:hAnsiTheme="minorHAnsi" w:cs="Calibri"/>
        </w:rPr>
        <w:t>фиксна</w:t>
      </w:r>
      <w:r w:rsidR="007169F6" w:rsidRPr="002968EC">
        <w:rPr>
          <w:rFonts w:asciiTheme="minorHAnsi" w:hAnsiTheme="minorHAnsi" w:cs="Calibri"/>
          <w:lang w:val="mk-MK"/>
        </w:rPr>
        <w:t>)</w:t>
      </w:r>
      <w:r w:rsidRPr="002968EC">
        <w:rPr>
          <w:rFonts w:asciiTheme="minorHAnsi" w:hAnsiTheme="minorHAnsi" w:cs="Calibri"/>
        </w:rPr>
        <w:t xml:space="preserve"> ќе треба да обезбеди производ и/или услуга која го задоволува квалитетот на фиксната </w:t>
      </w:r>
      <w:r w:rsidR="007169F6" w:rsidRPr="002968EC">
        <w:rPr>
          <w:rFonts w:asciiTheme="minorHAnsi" w:hAnsiTheme="minorHAnsi" w:cs="Calibri"/>
          <w:lang w:val="mk-MK"/>
        </w:rPr>
        <w:t>телефон</w:t>
      </w:r>
      <w:r w:rsidRPr="002968EC">
        <w:rPr>
          <w:rFonts w:asciiTheme="minorHAnsi" w:hAnsiTheme="minorHAnsi" w:cs="Calibri"/>
        </w:rPr>
        <w:t>ија</w:t>
      </w:r>
      <w:r w:rsidR="007169F6" w:rsidRPr="002968EC">
        <w:rPr>
          <w:rFonts w:asciiTheme="minorHAnsi" w:hAnsiTheme="minorHAnsi" w:cs="Calibri"/>
          <w:lang w:val="mk-MK"/>
        </w:rPr>
        <w:t xml:space="preserve"> и да обезбеди конкурентна цена</w:t>
      </w:r>
      <w:r w:rsidRPr="002968EC">
        <w:rPr>
          <w:rFonts w:asciiTheme="minorHAnsi" w:hAnsiTheme="minorHAnsi" w:cs="Calibri"/>
        </w:rPr>
        <w:t xml:space="preserve">. </w:t>
      </w:r>
      <w:r w:rsidR="007169F6" w:rsidRPr="002968EC">
        <w:rPr>
          <w:rFonts w:asciiTheme="minorHAnsi" w:hAnsiTheme="minorHAnsi" w:cs="Calibri"/>
          <w:lang w:val="mk-MK"/>
        </w:rPr>
        <w:t xml:space="preserve">Обезбедувањето на услугата пристап до </w:t>
      </w:r>
      <w:r w:rsidR="008A38F9" w:rsidRPr="002968EC">
        <w:rPr>
          <w:rFonts w:asciiTheme="minorHAnsi" w:hAnsiTheme="minorHAnsi" w:cs="Calibri"/>
          <w:lang w:val="mk-MK"/>
        </w:rPr>
        <w:t>јавна електронска комуникациска мрежа на фиксна локација</w:t>
      </w:r>
      <w:r w:rsidR="007169F6" w:rsidRPr="002968EC">
        <w:rPr>
          <w:rFonts w:asciiTheme="minorHAnsi" w:hAnsiTheme="minorHAnsi" w:cs="Calibri"/>
          <w:lang w:val="mk-MK"/>
        </w:rPr>
        <w:t xml:space="preserve"> од страна на постоен мобилен оператор </w:t>
      </w:r>
      <w:r w:rsidRPr="002968EC">
        <w:rPr>
          <w:rFonts w:asciiTheme="minorHAnsi" w:hAnsiTheme="minorHAnsi" w:cs="Calibri"/>
        </w:rPr>
        <w:t xml:space="preserve">бара </w:t>
      </w:r>
      <w:r w:rsidR="007169F6" w:rsidRPr="002968EC">
        <w:rPr>
          <w:rFonts w:asciiTheme="minorHAnsi" w:hAnsiTheme="minorHAnsi" w:cs="Calibri"/>
          <w:lang w:val="mk-MK"/>
        </w:rPr>
        <w:t>дополнителни инвестиции.</w:t>
      </w:r>
      <w:r w:rsidRPr="002968EC">
        <w:rPr>
          <w:rFonts w:asciiTheme="minorHAnsi" w:hAnsiTheme="minorHAnsi" w:cs="Calibri"/>
        </w:rPr>
        <w:t xml:space="preserve"> </w:t>
      </w:r>
      <w:r w:rsidRPr="002968EC">
        <w:rPr>
          <w:rFonts w:asciiTheme="minorHAnsi" w:hAnsiTheme="minorHAnsi" w:cs="Calibri"/>
          <w:lang w:val="ru-RU"/>
        </w:rPr>
        <w:t xml:space="preserve">Воедно, оператор на мобилна мрежа може да се појави како </w:t>
      </w:r>
      <w:r w:rsidR="007169F6" w:rsidRPr="002968EC">
        <w:rPr>
          <w:rFonts w:asciiTheme="minorHAnsi" w:hAnsiTheme="minorHAnsi" w:cs="Calibri"/>
          <w:lang w:val="ru-RU"/>
        </w:rPr>
        <w:t>оператор за обезбедување</w:t>
      </w:r>
      <w:r w:rsidRPr="002968EC">
        <w:rPr>
          <w:rFonts w:asciiTheme="minorHAnsi" w:hAnsiTheme="minorHAnsi" w:cs="Calibri"/>
          <w:lang w:val="ru-RU"/>
        </w:rPr>
        <w:t xml:space="preserve"> на услугата пристап до </w:t>
      </w:r>
      <w:r w:rsidR="008A38F9" w:rsidRPr="002968EC">
        <w:rPr>
          <w:rFonts w:asciiTheme="minorHAnsi" w:hAnsiTheme="minorHAnsi" w:cs="Calibri"/>
          <w:lang w:val="mk-MK"/>
        </w:rPr>
        <w:t>јавна електронска комуникациска мрежа на фиксна локација</w:t>
      </w:r>
      <w:r w:rsidR="007169F6" w:rsidRPr="002968EC">
        <w:rPr>
          <w:rFonts w:asciiTheme="minorHAnsi" w:hAnsiTheme="minorHAnsi" w:cs="Calibri"/>
          <w:lang w:val="ru-RU"/>
        </w:rPr>
        <w:t xml:space="preserve"> </w:t>
      </w:r>
      <w:r w:rsidRPr="002968EC">
        <w:rPr>
          <w:rFonts w:asciiTheme="minorHAnsi" w:hAnsiTheme="minorHAnsi" w:cs="Calibri"/>
          <w:lang w:val="ru-RU"/>
        </w:rPr>
        <w:t xml:space="preserve">и јавно достапни телефонски услуги </w:t>
      </w:r>
      <w:r w:rsidR="007169F6" w:rsidRPr="002968EC">
        <w:rPr>
          <w:rFonts w:asciiTheme="minorHAnsi" w:hAnsiTheme="minorHAnsi" w:cs="Calibri"/>
          <w:lang w:val="ru-RU"/>
        </w:rPr>
        <w:t>(</w:t>
      </w:r>
      <w:r w:rsidRPr="002968EC">
        <w:rPr>
          <w:rFonts w:asciiTheme="minorHAnsi" w:hAnsiTheme="minorHAnsi" w:cs="Calibri"/>
          <w:lang w:val="ru-RU"/>
        </w:rPr>
        <w:t>фиксна</w:t>
      </w:r>
      <w:r w:rsidR="007169F6" w:rsidRPr="002968EC">
        <w:rPr>
          <w:rFonts w:asciiTheme="minorHAnsi" w:hAnsiTheme="minorHAnsi" w:cs="Calibri"/>
          <w:lang w:val="ru-RU"/>
        </w:rPr>
        <w:t>)преку</w:t>
      </w:r>
      <w:r w:rsidRPr="002968EC">
        <w:rPr>
          <w:rFonts w:asciiTheme="minorHAnsi" w:hAnsiTheme="minorHAnsi" w:cs="Calibri"/>
          <w:lang w:val="ru-RU"/>
        </w:rPr>
        <w:t xml:space="preserve"> користење на големопродажни услуги на постоечките оператори кои поседуваат сопствена мрежа. Понатаму, услугата што ќе ја нуди треба да биде со квалитет споредлив со квалитетот на услугата остварена преку јавна фиксна телефонска мрежа.  Оператор на мобилна телефонија може да одлучи да настапи на пазарот на фиксна телефонија</w:t>
      </w:r>
      <w:r w:rsidR="0011442F" w:rsidRPr="002968EC">
        <w:rPr>
          <w:rFonts w:asciiTheme="minorHAnsi" w:hAnsiTheme="minorHAnsi" w:cs="Calibri"/>
          <w:lang w:val="ru-RU"/>
        </w:rPr>
        <w:t>,</w:t>
      </w:r>
      <w:r w:rsidRPr="002968EC">
        <w:rPr>
          <w:rFonts w:asciiTheme="minorHAnsi" w:hAnsiTheme="minorHAnsi" w:cs="Calibri"/>
          <w:lang w:val="ru-RU"/>
        </w:rPr>
        <w:t xml:space="preserve"> но услугата фиксна телефонија ја третира како услуга која е дополнителна на услугите кои веќе ги обезбедува на пазарот но не и да го напушти пазарот за обезбедување на услуги преку јавна мобилна мрежа и да се ориентира да обезбедува исклучиво услуги преку </w:t>
      </w:r>
      <w:r w:rsidR="008A38F9" w:rsidRPr="002968EC">
        <w:rPr>
          <w:rFonts w:asciiTheme="minorHAnsi" w:hAnsiTheme="minorHAnsi" w:cs="Calibri"/>
          <w:lang w:val="mk-MK"/>
        </w:rPr>
        <w:t>јавна електронска комуникациска мрежа на фиксна локација</w:t>
      </w:r>
      <w:r w:rsidRPr="002968EC">
        <w:rPr>
          <w:rFonts w:asciiTheme="minorHAnsi" w:hAnsiTheme="minorHAnsi" w:cs="Calibri"/>
          <w:lang w:val="ru-RU"/>
        </w:rPr>
        <w:t xml:space="preserve">. Постојат повеќе мотиви за донесување на одлука за влез на друг пазар заради обезбедување на дополнителна услуга како на пример збогатување на своето портфолио, зголемување на неговата конкурентност на пазарот, бренд, препознатливост и др.  </w:t>
      </w:r>
    </w:p>
    <w:p w:rsidR="004C391A" w:rsidRDefault="00F21862" w:rsidP="00781AEE">
      <w:pPr>
        <w:spacing w:after="0"/>
        <w:rPr>
          <w:rFonts w:asciiTheme="minorHAnsi" w:hAnsiTheme="minorHAnsi" w:cs="Calibri"/>
          <w:lang w:val="mk-MK"/>
        </w:rPr>
      </w:pPr>
      <w:r w:rsidRPr="002968EC">
        <w:rPr>
          <w:rFonts w:asciiTheme="minorHAnsi" w:hAnsiTheme="minorHAnsi" w:cs="Calibri"/>
        </w:rPr>
        <w:t xml:space="preserve">Врз основа на претходните проценки, </w:t>
      </w:r>
      <w:r w:rsidR="007967C2" w:rsidRPr="002968EC">
        <w:rPr>
          <w:rFonts w:asciiTheme="minorHAnsi" w:hAnsiTheme="minorHAnsi" w:cs="Calibri"/>
        </w:rPr>
        <w:t>АЕК</w:t>
      </w:r>
      <w:r w:rsidRPr="002968EC">
        <w:rPr>
          <w:rFonts w:asciiTheme="minorHAnsi" w:hAnsiTheme="minorHAnsi" w:cs="Calibri"/>
        </w:rPr>
        <w:t xml:space="preserve"> смета дека услугата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B0698A" w:rsidRPr="002968EC">
        <w:rPr>
          <w:rFonts w:asciiTheme="minorHAnsi" w:hAnsiTheme="minorHAnsi" w:cs="Calibri"/>
        </w:rPr>
        <w:t xml:space="preserve"> </w:t>
      </w:r>
      <w:r w:rsidRPr="002968EC">
        <w:rPr>
          <w:rFonts w:asciiTheme="minorHAnsi" w:hAnsiTheme="minorHAnsi" w:cs="Calibri"/>
        </w:rPr>
        <w:t>и услугата за пристап до јавн</w:t>
      </w:r>
      <w:r w:rsidR="00460B61" w:rsidRPr="002968EC">
        <w:rPr>
          <w:rFonts w:asciiTheme="minorHAnsi" w:hAnsiTheme="minorHAnsi" w:cs="Calibri"/>
          <w:lang w:val="mk-MK"/>
        </w:rPr>
        <w:t>а</w:t>
      </w:r>
      <w:r w:rsidR="0065044E" w:rsidRPr="002968EC">
        <w:rPr>
          <w:rFonts w:asciiTheme="minorHAnsi" w:hAnsiTheme="minorHAnsi" w:cs="Calibri"/>
          <w:lang w:val="mk-MK"/>
        </w:rPr>
        <w:t xml:space="preserve"> мобилна</w:t>
      </w:r>
      <w:r w:rsidRPr="002968EC">
        <w:rPr>
          <w:rFonts w:asciiTheme="minorHAnsi" w:hAnsiTheme="minorHAnsi" w:cs="Calibri"/>
        </w:rPr>
        <w:t xml:space="preserve"> </w:t>
      </w:r>
      <w:r w:rsidR="00A97A8C" w:rsidRPr="002968EC">
        <w:rPr>
          <w:rFonts w:asciiTheme="minorHAnsi" w:hAnsiTheme="minorHAnsi" w:cs="Calibri"/>
          <w:lang w:val="mk-MK"/>
        </w:rPr>
        <w:t>електронска</w:t>
      </w:r>
      <w:r w:rsidR="00A97A8C" w:rsidRPr="002968EC">
        <w:rPr>
          <w:rFonts w:asciiTheme="minorHAnsi" w:hAnsiTheme="minorHAnsi" w:cs="Calibri"/>
        </w:rPr>
        <w:t xml:space="preserve"> </w:t>
      </w:r>
      <w:r w:rsidRPr="002968EC">
        <w:rPr>
          <w:rFonts w:asciiTheme="minorHAnsi" w:hAnsiTheme="minorHAnsi" w:cs="Calibri"/>
        </w:rPr>
        <w:t>комуникациск</w:t>
      </w:r>
      <w:r w:rsidR="00460B61" w:rsidRPr="002968EC">
        <w:rPr>
          <w:rFonts w:asciiTheme="minorHAnsi" w:hAnsiTheme="minorHAnsi" w:cs="Calibri"/>
          <w:lang w:val="mk-MK"/>
        </w:rPr>
        <w:t>а</w:t>
      </w:r>
      <w:r w:rsidRPr="002968EC">
        <w:rPr>
          <w:rFonts w:asciiTheme="minorHAnsi" w:hAnsiTheme="minorHAnsi" w:cs="Calibri"/>
        </w:rPr>
        <w:t xml:space="preserve"> мреж</w:t>
      </w:r>
      <w:r w:rsidR="00460B61" w:rsidRPr="002968EC">
        <w:rPr>
          <w:rFonts w:asciiTheme="minorHAnsi" w:hAnsiTheme="minorHAnsi" w:cs="Calibri"/>
          <w:lang w:val="mk-MK"/>
        </w:rPr>
        <w:t>а</w:t>
      </w:r>
      <w:r w:rsidRPr="002968EC">
        <w:rPr>
          <w:rFonts w:asciiTheme="minorHAnsi" w:hAnsiTheme="minorHAnsi" w:cs="Calibri"/>
        </w:rPr>
        <w:t xml:space="preserve"> не пре</w:t>
      </w:r>
      <w:r w:rsidRPr="002968EC">
        <w:rPr>
          <w:rFonts w:asciiTheme="minorHAnsi" w:hAnsiTheme="minorHAnsi" w:cs="Calibri"/>
          <w:lang w:val="mk-MK"/>
        </w:rPr>
        <w:t>т</w:t>
      </w:r>
      <w:r w:rsidRPr="002968EC">
        <w:rPr>
          <w:rFonts w:asciiTheme="minorHAnsi" w:hAnsiTheme="minorHAnsi" w:cs="Calibri"/>
        </w:rPr>
        <w:t xml:space="preserve">ставуваат супститути. Врз основа на тоа истите не се обезбедуваат во ист релевантен пазар. </w:t>
      </w:r>
      <w:r w:rsidRPr="002968EC">
        <w:rPr>
          <w:rFonts w:asciiTheme="minorHAnsi" w:hAnsiTheme="minorHAnsi" w:cs="Calibri"/>
          <w:lang w:val="mk-MK"/>
        </w:rPr>
        <w:t xml:space="preserve">Крајните корисници имаат јасна склоност кон користење на двата вида на пристап за задоволување на различни потреби. </w:t>
      </w:r>
    </w:p>
    <w:p w:rsidR="00525BDD" w:rsidRDefault="00525BDD" w:rsidP="00781AEE">
      <w:pPr>
        <w:spacing w:after="0"/>
        <w:rPr>
          <w:rFonts w:asciiTheme="minorHAnsi" w:hAnsiTheme="minorHAnsi" w:cs="Calibri"/>
          <w:lang w:val="mk-MK"/>
        </w:rPr>
      </w:pPr>
    </w:p>
    <w:p w:rsidR="0079552E" w:rsidRDefault="006E317C" w:rsidP="0079552E">
      <w:pPr>
        <w:pStyle w:val="Heading2"/>
        <w:rPr>
          <w:lang w:val="mk-MK"/>
        </w:rPr>
      </w:pPr>
      <w:bookmarkStart w:id="24" w:name="_Toc461617745"/>
      <w:r>
        <w:rPr>
          <w:lang w:val="mk-MK"/>
        </w:rPr>
        <w:t>8</w:t>
      </w:r>
      <w:r w:rsidR="00540BF6">
        <w:t>.3</w:t>
      </w:r>
      <w:r w:rsidR="00302B6D" w:rsidRPr="006E317C">
        <w:t xml:space="preserve"> </w:t>
      </w:r>
      <w:r w:rsidR="00F21862" w:rsidRPr="006E317C">
        <w:t>Проценка на географскиот пазар</w:t>
      </w:r>
      <w:bookmarkEnd w:id="24"/>
    </w:p>
    <w:p w:rsidR="00094858" w:rsidRPr="00094858" w:rsidRDefault="00094858" w:rsidP="00094858">
      <w:pPr>
        <w:rPr>
          <w:lang w:val="mk-MK"/>
        </w:rPr>
      </w:pPr>
    </w:p>
    <w:p w:rsidR="00F21862" w:rsidRPr="002968EC" w:rsidRDefault="00F21862" w:rsidP="00781AEE">
      <w:pPr>
        <w:spacing w:after="0"/>
        <w:rPr>
          <w:rFonts w:asciiTheme="minorHAnsi" w:hAnsiTheme="minorHAnsi" w:cs="Calibri"/>
        </w:rPr>
      </w:pPr>
      <w:r w:rsidRPr="002968EC">
        <w:rPr>
          <w:rFonts w:asciiTheme="minorHAnsi" w:hAnsiTheme="minorHAnsi" w:cs="Calibri"/>
        </w:rPr>
        <w:t xml:space="preserve">Релевантниот географски пазар </w:t>
      </w:r>
      <w:r w:rsidR="00E872E4" w:rsidRPr="002968EC">
        <w:rPr>
          <w:rFonts w:asciiTheme="minorHAnsi" w:hAnsiTheme="minorHAnsi" w:cs="Calibri"/>
          <w:lang w:val="mk-MK"/>
        </w:rPr>
        <w:t>ја опфаќа територијата</w:t>
      </w:r>
      <w:r w:rsidRPr="002968EC">
        <w:rPr>
          <w:rFonts w:asciiTheme="minorHAnsi" w:hAnsiTheme="minorHAnsi" w:cs="Calibri"/>
        </w:rPr>
        <w:t xml:space="preserve"> </w:t>
      </w:r>
      <w:r w:rsidR="00E872E4" w:rsidRPr="002968EC">
        <w:rPr>
          <w:rFonts w:asciiTheme="minorHAnsi" w:hAnsiTheme="minorHAnsi" w:cs="Calibri"/>
          <w:lang w:val="mk-MK"/>
        </w:rPr>
        <w:t>на</w:t>
      </w:r>
      <w:r w:rsidRPr="002968EC">
        <w:rPr>
          <w:rFonts w:asciiTheme="minorHAnsi" w:hAnsiTheme="minorHAnsi" w:cs="Calibri"/>
        </w:rPr>
        <w:t xml:space="preserve"> кој</w:t>
      </w:r>
      <w:r w:rsidR="00E872E4" w:rsidRPr="002968EC">
        <w:rPr>
          <w:rFonts w:asciiTheme="minorHAnsi" w:hAnsiTheme="minorHAnsi" w:cs="Calibri"/>
          <w:lang w:val="mk-MK"/>
        </w:rPr>
        <w:t>а</w:t>
      </w:r>
      <w:r w:rsidRPr="002968EC">
        <w:rPr>
          <w:rFonts w:asciiTheme="minorHAnsi" w:hAnsiTheme="minorHAnsi" w:cs="Calibri"/>
        </w:rPr>
        <w:t xml:space="preserve"> операторите се </w:t>
      </w:r>
      <w:r w:rsidR="00E872E4" w:rsidRPr="002968EC">
        <w:rPr>
          <w:rFonts w:asciiTheme="minorHAnsi" w:hAnsiTheme="minorHAnsi" w:cs="Calibri"/>
          <w:lang w:val="mk-MK"/>
        </w:rPr>
        <w:t>активни чинители</w:t>
      </w:r>
      <w:r w:rsidRPr="002968EC">
        <w:rPr>
          <w:rFonts w:asciiTheme="minorHAnsi" w:hAnsiTheme="minorHAnsi" w:cs="Calibri"/>
        </w:rPr>
        <w:t xml:space="preserve"> од аспект на понуда и побарувачка на релевантни производи и услуги, во кој</w:t>
      </w:r>
      <w:r w:rsidR="00E872E4" w:rsidRPr="002968EC">
        <w:rPr>
          <w:rFonts w:asciiTheme="minorHAnsi" w:hAnsiTheme="minorHAnsi" w:cs="Calibri"/>
          <w:lang w:val="mk-MK"/>
        </w:rPr>
        <w:t>а</w:t>
      </w:r>
      <w:r w:rsidRPr="002968EC">
        <w:rPr>
          <w:rFonts w:asciiTheme="minorHAnsi" w:hAnsiTheme="minorHAnsi" w:cs="Calibri"/>
        </w:rPr>
        <w:t xml:space="preserve"> </w:t>
      </w:r>
      <w:r w:rsidR="00E872E4" w:rsidRPr="002968EC">
        <w:rPr>
          <w:rFonts w:asciiTheme="minorHAnsi" w:hAnsiTheme="minorHAnsi" w:cs="Calibri"/>
          <w:lang w:val="mk-MK"/>
        </w:rPr>
        <w:t>територија</w:t>
      </w:r>
      <w:r w:rsidRPr="002968EC">
        <w:rPr>
          <w:rFonts w:asciiTheme="minorHAnsi" w:hAnsiTheme="minorHAnsi" w:cs="Calibri"/>
        </w:rPr>
        <w:t xml:space="preserve"> условите на конкуренција се слични или доволно хомогени, и истите можат да бидат разграничени од соседните </w:t>
      </w:r>
      <w:r w:rsidRPr="002968EC">
        <w:rPr>
          <w:rFonts w:asciiTheme="minorHAnsi" w:hAnsiTheme="minorHAnsi" w:cs="Calibri"/>
          <w:lang w:val="mk-MK"/>
        </w:rPr>
        <w:t>региони</w:t>
      </w:r>
      <w:r w:rsidRPr="002968EC">
        <w:rPr>
          <w:rFonts w:asciiTheme="minorHAnsi" w:hAnsiTheme="minorHAnsi" w:cs="Calibri"/>
        </w:rPr>
        <w:t xml:space="preserve"> во кои преовладуваат услови на конкуренција кои се значително различни. </w:t>
      </w:r>
    </w:p>
    <w:p w:rsidR="00F21862" w:rsidRPr="002968EC" w:rsidRDefault="00F21862" w:rsidP="00781AEE">
      <w:pPr>
        <w:spacing w:after="0"/>
        <w:rPr>
          <w:rFonts w:asciiTheme="minorHAnsi" w:hAnsiTheme="minorHAnsi" w:cs="Calibri"/>
        </w:rPr>
      </w:pPr>
      <w:r w:rsidRPr="002968EC">
        <w:rPr>
          <w:rFonts w:asciiTheme="minorHAnsi" w:hAnsiTheme="minorHAnsi" w:cs="Calibri"/>
        </w:rPr>
        <w:t>Географската димензија на релевантните пазари се определува имајќи г</w:t>
      </w:r>
      <w:r w:rsidR="00D92C44" w:rsidRPr="002968EC">
        <w:rPr>
          <w:rFonts w:asciiTheme="minorHAnsi" w:hAnsiTheme="minorHAnsi" w:cs="Calibri"/>
          <w:lang w:val="mk-MK"/>
        </w:rPr>
        <w:t>о</w:t>
      </w:r>
      <w:r w:rsidRPr="002968EC">
        <w:rPr>
          <w:rFonts w:asciiTheme="minorHAnsi" w:hAnsiTheme="minorHAnsi" w:cs="Calibri"/>
        </w:rPr>
        <w:t xml:space="preserve"> во предвид подрачјето покриено со мрежа и постоењето на легални или други регулаторни </w:t>
      </w:r>
      <w:r w:rsidRPr="002968EC">
        <w:rPr>
          <w:rFonts w:asciiTheme="minorHAnsi" w:hAnsiTheme="minorHAnsi" w:cs="Calibri"/>
          <w:lang w:val="mk-MK"/>
        </w:rPr>
        <w:t>и</w:t>
      </w:r>
      <w:r w:rsidR="00027CBF" w:rsidRPr="002968EC">
        <w:rPr>
          <w:rFonts w:asciiTheme="minorHAnsi" w:hAnsiTheme="minorHAnsi" w:cs="Calibri"/>
          <w:lang w:val="mk-MK"/>
        </w:rPr>
        <w:t>н</w:t>
      </w:r>
      <w:r w:rsidRPr="002968EC">
        <w:rPr>
          <w:rFonts w:asciiTheme="minorHAnsi" w:hAnsiTheme="minorHAnsi" w:cs="Calibri"/>
          <w:lang w:val="mk-MK"/>
        </w:rPr>
        <w:t>струменти</w:t>
      </w:r>
      <w:r w:rsidRPr="002968EC">
        <w:rPr>
          <w:rFonts w:asciiTheme="minorHAnsi" w:hAnsiTheme="minorHAnsi" w:cs="Calibri"/>
        </w:rPr>
        <w:t>.</w:t>
      </w:r>
    </w:p>
    <w:p w:rsidR="00F21862" w:rsidRPr="002968EC" w:rsidRDefault="00F21862" w:rsidP="00781AEE">
      <w:pPr>
        <w:spacing w:after="0"/>
        <w:rPr>
          <w:rFonts w:asciiTheme="minorHAnsi" w:hAnsiTheme="minorHAnsi" w:cs="Calibri"/>
        </w:rPr>
      </w:pPr>
    </w:p>
    <w:p w:rsidR="00F21862" w:rsidRPr="002968EC" w:rsidRDefault="00F21862" w:rsidP="00781AEE">
      <w:pPr>
        <w:spacing w:after="0"/>
        <w:rPr>
          <w:rFonts w:asciiTheme="minorHAnsi" w:hAnsiTheme="minorHAnsi" w:cs="Calibri"/>
          <w:lang w:val="mk-MK"/>
        </w:rPr>
      </w:pPr>
      <w:r w:rsidRPr="002968EC">
        <w:rPr>
          <w:rFonts w:asciiTheme="minorHAnsi" w:hAnsiTheme="minorHAnsi" w:cs="Calibri"/>
          <w:lang w:val="mk-MK"/>
        </w:rPr>
        <w:t>Како почетна точка во анализата за дефинирање на географскиот пазар е хипотетичкиот монополистички тест според кој се утврдува дали постои доволна су</w:t>
      </w:r>
      <w:r w:rsidR="00F24564" w:rsidRPr="002968EC">
        <w:rPr>
          <w:rFonts w:asciiTheme="minorHAnsi" w:hAnsiTheme="minorHAnsi" w:cs="Calibri"/>
          <w:lang w:val="mk-MK"/>
        </w:rPr>
        <w:t>п</w:t>
      </w:r>
      <w:r w:rsidRPr="002968EC">
        <w:rPr>
          <w:rFonts w:asciiTheme="minorHAnsi" w:hAnsiTheme="minorHAnsi" w:cs="Calibri"/>
          <w:lang w:val="mk-MK"/>
        </w:rPr>
        <w:t>ституција на страната на побарувачката и на страната на по</w:t>
      </w:r>
      <w:r w:rsidR="00094858">
        <w:rPr>
          <w:rFonts w:asciiTheme="minorHAnsi" w:hAnsiTheme="minorHAnsi" w:cs="Calibri"/>
          <w:lang w:val="mk-MK"/>
        </w:rPr>
        <w:t>нудата помеѓу различни региони.</w:t>
      </w:r>
      <w:r w:rsidRPr="002968EC">
        <w:rPr>
          <w:rFonts w:asciiTheme="minorHAnsi" w:hAnsiTheme="minorHAnsi" w:cs="Calibri"/>
          <w:lang w:val="mk-MK"/>
        </w:rPr>
        <w:t xml:space="preserve"> </w:t>
      </w:r>
      <w:r w:rsidR="00F24564" w:rsidRPr="002968EC">
        <w:rPr>
          <w:rFonts w:asciiTheme="minorHAnsi" w:hAnsiTheme="minorHAnsi" w:cs="Calibri"/>
          <w:lang w:val="mk-MK"/>
        </w:rPr>
        <w:t>Х</w:t>
      </w:r>
      <w:r w:rsidRPr="002968EC">
        <w:rPr>
          <w:rFonts w:asciiTheme="minorHAnsi" w:hAnsiTheme="minorHAnsi" w:cs="Calibri"/>
          <w:lang w:val="mk-MK"/>
        </w:rPr>
        <w:t>ипотетичкиот монополистички тест во прак</w:t>
      </w:r>
      <w:r w:rsidR="00F24564" w:rsidRPr="002968EC">
        <w:rPr>
          <w:rFonts w:asciiTheme="minorHAnsi" w:hAnsiTheme="minorHAnsi" w:cs="Calibri"/>
          <w:lang w:val="mk-MK"/>
        </w:rPr>
        <w:t>с</w:t>
      </w:r>
      <w:r w:rsidRPr="002968EC">
        <w:rPr>
          <w:rFonts w:asciiTheme="minorHAnsi" w:hAnsiTheme="minorHAnsi" w:cs="Calibri"/>
          <w:lang w:val="mk-MK"/>
        </w:rPr>
        <w:t xml:space="preserve">а би можел да има одредени недостатоци при одредување на географскиот </w:t>
      </w:r>
      <w:r w:rsidR="00CA0703" w:rsidRPr="002968EC">
        <w:rPr>
          <w:rFonts w:asciiTheme="minorHAnsi" w:hAnsiTheme="minorHAnsi" w:cs="Calibri"/>
          <w:lang w:val="mk-MK"/>
        </w:rPr>
        <w:t>опсег</w:t>
      </w:r>
      <w:r w:rsidRPr="002968EC">
        <w:rPr>
          <w:rFonts w:asciiTheme="minorHAnsi" w:hAnsiTheme="minorHAnsi" w:cs="Calibri"/>
          <w:lang w:val="mk-MK"/>
        </w:rPr>
        <w:t xml:space="preserve"> на пазарот за пристап до јавна телефонска мрежа на фиксна локација.</w:t>
      </w:r>
    </w:p>
    <w:p w:rsidR="00F21862" w:rsidRPr="002968EC" w:rsidRDefault="00F21862" w:rsidP="00781AEE">
      <w:pPr>
        <w:spacing w:after="0"/>
        <w:rPr>
          <w:rFonts w:asciiTheme="minorHAnsi" w:hAnsiTheme="minorHAnsi" w:cs="Calibri"/>
          <w:lang w:val="mk-MK"/>
        </w:rPr>
      </w:pPr>
      <w:r w:rsidRPr="002968EC">
        <w:rPr>
          <w:rFonts w:asciiTheme="minorHAnsi" w:hAnsiTheme="minorHAnsi" w:cs="Calibri"/>
          <w:lang w:val="mk-MK"/>
        </w:rPr>
        <w:lastRenderedPageBreak/>
        <w:t xml:space="preserve">На пример, од аспект на побарувачката крајниот корисник би можел единствено да одбере оператор кој работи во географскиот регион во кој се наоѓа крајниот корисник. Во ваквиот случај промената на операторот од страна на крајниот корисник е практично лимитирана.  Крајниот корисник не е во можност да го почувствува бенефитот од пониски цени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B0698A" w:rsidRPr="002968EC">
        <w:rPr>
          <w:rFonts w:asciiTheme="minorHAnsi" w:hAnsiTheme="minorHAnsi" w:cs="Calibri"/>
          <w:lang w:val="mk-MK"/>
        </w:rPr>
        <w:t xml:space="preserve"> </w:t>
      </w:r>
      <w:r w:rsidRPr="002968EC">
        <w:rPr>
          <w:rFonts w:asciiTheme="minorHAnsi" w:hAnsiTheme="minorHAnsi" w:cs="Calibri"/>
          <w:lang w:val="mk-MK"/>
        </w:rPr>
        <w:t>понудени од страна на други оператори кои работат надвор од неговиот географски регион. Су</w:t>
      </w:r>
      <w:r w:rsidR="00CA0703" w:rsidRPr="002968EC">
        <w:rPr>
          <w:rFonts w:asciiTheme="minorHAnsi" w:hAnsiTheme="minorHAnsi" w:cs="Calibri"/>
          <w:lang w:val="mk-MK"/>
        </w:rPr>
        <w:t>п</w:t>
      </w:r>
      <w:r w:rsidRPr="002968EC">
        <w:rPr>
          <w:rFonts w:asciiTheme="minorHAnsi" w:hAnsiTheme="minorHAnsi" w:cs="Calibri"/>
          <w:lang w:val="mk-MK"/>
        </w:rPr>
        <w:t>ституцијата на страната на  понудата бара знач</w:t>
      </w:r>
      <w:r w:rsidR="00CA0703" w:rsidRPr="002968EC">
        <w:rPr>
          <w:rFonts w:asciiTheme="minorHAnsi" w:hAnsiTheme="minorHAnsi" w:cs="Calibri"/>
          <w:lang w:val="mk-MK"/>
        </w:rPr>
        <w:t>ител</w:t>
      </w:r>
      <w:r w:rsidRPr="002968EC">
        <w:rPr>
          <w:rFonts w:asciiTheme="minorHAnsi" w:hAnsiTheme="minorHAnsi" w:cs="Calibri"/>
          <w:lang w:val="mk-MK"/>
        </w:rPr>
        <w:t>ни трошоци (</w:t>
      </w:r>
      <w:r w:rsidRPr="002968EC">
        <w:rPr>
          <w:rFonts w:asciiTheme="minorHAnsi" w:hAnsiTheme="minorHAnsi" w:cs="Calibri"/>
        </w:rPr>
        <w:t>sunk costs)</w:t>
      </w:r>
      <w:r w:rsidRPr="002968EC">
        <w:rPr>
          <w:rFonts w:asciiTheme="minorHAnsi" w:hAnsiTheme="minorHAnsi" w:cs="Calibri"/>
          <w:lang w:val="mk-MK"/>
        </w:rPr>
        <w:t xml:space="preserve"> од страна на операторите за изградба или трансформација на својата мрежа за обезбедување на услугата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B0698A" w:rsidRPr="002968EC">
        <w:rPr>
          <w:rFonts w:asciiTheme="minorHAnsi" w:hAnsiTheme="minorHAnsi" w:cs="Calibri"/>
          <w:lang w:val="mk-MK"/>
        </w:rPr>
        <w:t xml:space="preserve"> </w:t>
      </w:r>
      <w:r w:rsidRPr="002968EC">
        <w:rPr>
          <w:rFonts w:asciiTheme="minorHAnsi" w:hAnsiTheme="minorHAnsi" w:cs="Calibri"/>
          <w:lang w:val="mk-MK"/>
        </w:rPr>
        <w:t>кои во г</w:t>
      </w:r>
      <w:r w:rsidR="00DE6E3B" w:rsidRPr="002968EC">
        <w:rPr>
          <w:rFonts w:asciiTheme="minorHAnsi" w:hAnsiTheme="minorHAnsi" w:cs="Calibri"/>
          <w:lang w:val="mk-MK"/>
        </w:rPr>
        <w:t>олема мера го отежнуваат поврат</w:t>
      </w:r>
      <w:r w:rsidR="00311C79" w:rsidRPr="002968EC">
        <w:rPr>
          <w:rFonts w:asciiTheme="minorHAnsi" w:hAnsiTheme="minorHAnsi" w:cs="Calibri"/>
          <w:lang w:val="mk-MK"/>
        </w:rPr>
        <w:t>окот</w:t>
      </w:r>
      <w:r w:rsidR="00DE6E3B" w:rsidRPr="002968EC">
        <w:rPr>
          <w:rFonts w:asciiTheme="minorHAnsi" w:hAnsiTheme="minorHAnsi" w:cs="Calibri"/>
          <w:lang w:val="mk-MK"/>
        </w:rPr>
        <w:t xml:space="preserve"> </w:t>
      </w:r>
      <w:r w:rsidRPr="002968EC">
        <w:rPr>
          <w:rFonts w:asciiTheme="minorHAnsi" w:hAnsiTheme="minorHAnsi" w:cs="Calibri"/>
          <w:lang w:val="mk-MK"/>
        </w:rPr>
        <w:t>на трошоците. Резултатот од ваквиот хипотетички монополистички тест веројатно би бил екстремно тесна дефиниција на пазарот која што не би ја одразувала актуелната состојба на пазарот односно конкурентниот притисок кој што постои.</w:t>
      </w:r>
    </w:p>
    <w:p w:rsidR="00F21862" w:rsidRPr="002968EC" w:rsidRDefault="00F21862" w:rsidP="00781AEE">
      <w:pPr>
        <w:pStyle w:val="Default"/>
        <w:spacing w:line="276" w:lineRule="auto"/>
        <w:rPr>
          <w:rFonts w:asciiTheme="minorHAnsi" w:hAnsiTheme="minorHAnsi" w:cs="Calibri"/>
          <w:sz w:val="22"/>
          <w:szCs w:val="22"/>
          <w:lang w:val="mk-MK"/>
        </w:rPr>
      </w:pPr>
    </w:p>
    <w:p w:rsidR="00F21862" w:rsidRPr="002968EC" w:rsidRDefault="00F21862" w:rsidP="00781AEE">
      <w:pPr>
        <w:pStyle w:val="Default"/>
        <w:spacing w:line="276" w:lineRule="auto"/>
        <w:jc w:val="both"/>
        <w:rPr>
          <w:rFonts w:asciiTheme="minorHAnsi" w:hAnsiTheme="minorHAnsi" w:cs="Calibri"/>
          <w:sz w:val="22"/>
          <w:szCs w:val="22"/>
          <w:lang w:val="mk-MK"/>
        </w:rPr>
      </w:pPr>
      <w:r w:rsidRPr="002968EC">
        <w:rPr>
          <w:rFonts w:asciiTheme="minorHAnsi" w:hAnsiTheme="minorHAnsi" w:cs="Calibri"/>
          <w:sz w:val="22"/>
          <w:szCs w:val="22"/>
          <w:lang w:val="mk-MK"/>
        </w:rPr>
        <w:t xml:space="preserve">Со оглед на </w:t>
      </w:r>
      <w:r w:rsidR="00F51CD5" w:rsidRPr="002968EC">
        <w:rPr>
          <w:rFonts w:asciiTheme="minorHAnsi" w:hAnsiTheme="minorHAnsi" w:cs="Calibri"/>
          <w:sz w:val="22"/>
          <w:szCs w:val="22"/>
          <w:lang w:val="mk-MK"/>
        </w:rPr>
        <w:t>горенаведеното потребно е</w:t>
      </w:r>
      <w:r w:rsidRPr="002968EC">
        <w:rPr>
          <w:rFonts w:asciiTheme="minorHAnsi" w:hAnsiTheme="minorHAnsi" w:cs="Calibri"/>
          <w:sz w:val="22"/>
          <w:szCs w:val="22"/>
          <w:lang w:val="mk-MK"/>
        </w:rPr>
        <w:t xml:space="preserve"> да се направи проценка на хомогеноста на условите помеѓу географските региони.</w:t>
      </w:r>
      <w:r w:rsidRPr="002968EC">
        <w:rPr>
          <w:rFonts w:asciiTheme="minorHAnsi" w:hAnsiTheme="minorHAnsi" w:cs="Calibri"/>
          <w:sz w:val="22"/>
          <w:szCs w:val="22"/>
        </w:rPr>
        <w:t xml:space="preserve"> </w:t>
      </w:r>
      <w:r w:rsidRPr="002968EC">
        <w:rPr>
          <w:rFonts w:asciiTheme="minorHAnsi" w:hAnsiTheme="minorHAnsi" w:cs="Calibri"/>
          <w:sz w:val="22"/>
          <w:szCs w:val="22"/>
          <w:lang w:val="mk-MK"/>
        </w:rPr>
        <w:t xml:space="preserve">Во врска со таквата проценка целта на </w:t>
      </w:r>
      <w:r w:rsidR="007967C2" w:rsidRPr="002968EC">
        <w:rPr>
          <w:rFonts w:asciiTheme="minorHAnsi" w:hAnsiTheme="minorHAnsi" w:cs="Calibri"/>
          <w:sz w:val="22"/>
          <w:szCs w:val="22"/>
          <w:lang w:val="mk-MK"/>
        </w:rPr>
        <w:t>АЕК</w:t>
      </w:r>
      <w:r w:rsidRPr="002968EC">
        <w:rPr>
          <w:rFonts w:asciiTheme="minorHAnsi" w:hAnsiTheme="minorHAnsi" w:cs="Calibri"/>
          <w:sz w:val="22"/>
          <w:szCs w:val="22"/>
          <w:lang w:val="mk-MK"/>
        </w:rPr>
        <w:t xml:space="preserve"> е да ги определи границите на географскиот пазар на база на јасно дефинираните географски региони:</w:t>
      </w:r>
    </w:p>
    <w:p w:rsidR="00F21862" w:rsidRPr="002968EC" w:rsidRDefault="00F21862" w:rsidP="00781AEE">
      <w:pPr>
        <w:pStyle w:val="Default"/>
        <w:spacing w:line="276" w:lineRule="auto"/>
        <w:jc w:val="both"/>
        <w:rPr>
          <w:rFonts w:asciiTheme="minorHAnsi" w:hAnsiTheme="minorHAnsi" w:cs="Calibri"/>
          <w:sz w:val="22"/>
          <w:szCs w:val="22"/>
          <w:lang w:val="mk-MK"/>
        </w:rPr>
      </w:pPr>
      <w:r w:rsidRPr="002968EC">
        <w:rPr>
          <w:rFonts w:asciiTheme="minorHAnsi" w:hAnsiTheme="minorHAnsi" w:cs="Calibri"/>
          <w:sz w:val="22"/>
          <w:szCs w:val="22"/>
          <w:lang w:val="mk-MK"/>
        </w:rPr>
        <w:t>“Во кои условите се доволно хомогени и кои што можат да бидат оделени од соседните региони од причина што конкурентските услови се забележливо различни во тие региони’.</w:t>
      </w:r>
    </w:p>
    <w:p w:rsidR="00F21862" w:rsidRPr="002968EC" w:rsidRDefault="00F21862" w:rsidP="00781AEE">
      <w:pPr>
        <w:pStyle w:val="Default"/>
        <w:spacing w:line="276" w:lineRule="auto"/>
        <w:jc w:val="both"/>
        <w:rPr>
          <w:rFonts w:asciiTheme="minorHAnsi" w:hAnsiTheme="minorHAnsi" w:cs="Calibri"/>
          <w:sz w:val="22"/>
          <w:szCs w:val="22"/>
          <w:lang w:val="mk-MK"/>
        </w:rPr>
      </w:pPr>
      <w:r w:rsidRPr="002968EC">
        <w:rPr>
          <w:rFonts w:asciiTheme="minorHAnsi" w:hAnsiTheme="minorHAnsi" w:cs="Calibri"/>
          <w:sz w:val="22"/>
          <w:szCs w:val="22"/>
          <w:lang w:val="mk-MK"/>
        </w:rPr>
        <w:t>Европската комисија потенцира дека доколку националните регулатори тела дефинираат географски под-пазари тогаш:</w:t>
      </w:r>
    </w:p>
    <w:p w:rsidR="00F21862" w:rsidRPr="002968EC" w:rsidRDefault="00F21862" w:rsidP="00781AEE">
      <w:pPr>
        <w:pStyle w:val="Default"/>
        <w:spacing w:line="276" w:lineRule="auto"/>
        <w:jc w:val="both"/>
        <w:rPr>
          <w:rFonts w:asciiTheme="minorHAnsi" w:hAnsiTheme="minorHAnsi" w:cs="Calibri"/>
          <w:sz w:val="22"/>
          <w:szCs w:val="22"/>
          <w:lang w:val="mk-MK"/>
        </w:rPr>
      </w:pPr>
    </w:p>
    <w:p w:rsidR="00F21862" w:rsidRPr="002968EC" w:rsidRDefault="00886C0C" w:rsidP="00962835">
      <w:pPr>
        <w:pStyle w:val="Default"/>
        <w:numPr>
          <w:ilvl w:val="0"/>
          <w:numId w:val="2"/>
        </w:numPr>
        <w:spacing w:line="276" w:lineRule="auto"/>
        <w:jc w:val="both"/>
        <w:rPr>
          <w:rFonts w:asciiTheme="minorHAnsi" w:hAnsiTheme="minorHAnsi" w:cs="Calibri"/>
          <w:sz w:val="22"/>
          <w:szCs w:val="22"/>
          <w:lang w:val="mk-MK"/>
        </w:rPr>
      </w:pPr>
      <w:r w:rsidRPr="002968EC">
        <w:rPr>
          <w:rFonts w:asciiTheme="minorHAnsi" w:hAnsiTheme="minorHAnsi" w:cs="Calibri"/>
          <w:sz w:val="22"/>
          <w:szCs w:val="22"/>
        </w:rPr>
        <w:t>“</w:t>
      </w:r>
      <w:r w:rsidR="00F21862" w:rsidRPr="002968EC">
        <w:rPr>
          <w:rFonts w:asciiTheme="minorHAnsi" w:hAnsiTheme="minorHAnsi" w:cs="Calibri"/>
          <w:sz w:val="22"/>
          <w:szCs w:val="22"/>
          <w:lang w:val="mk-MK"/>
        </w:rPr>
        <w:t>Дефиницијата на географските под-пазари треба да биде базирана на темелна анализа на структурните и факторите на одне</w:t>
      </w:r>
      <w:r w:rsidRPr="002968EC">
        <w:rPr>
          <w:rFonts w:asciiTheme="minorHAnsi" w:hAnsiTheme="minorHAnsi" w:cs="Calibri"/>
          <w:sz w:val="22"/>
          <w:szCs w:val="22"/>
          <w:lang w:val="mk-MK"/>
        </w:rPr>
        <w:t>сување на конкретниот под-пазар</w:t>
      </w:r>
      <w:r w:rsidRPr="002968EC">
        <w:rPr>
          <w:rFonts w:asciiTheme="minorHAnsi" w:hAnsiTheme="minorHAnsi" w:cs="Calibri"/>
          <w:sz w:val="22"/>
          <w:szCs w:val="22"/>
        </w:rPr>
        <w:t>”</w:t>
      </w:r>
    </w:p>
    <w:p w:rsidR="00F21862" w:rsidRPr="002968EC" w:rsidRDefault="00F21862" w:rsidP="00781AEE">
      <w:pPr>
        <w:pStyle w:val="Default"/>
        <w:spacing w:line="276" w:lineRule="auto"/>
        <w:jc w:val="both"/>
        <w:rPr>
          <w:rFonts w:asciiTheme="minorHAnsi" w:hAnsiTheme="minorHAnsi" w:cs="Calibri"/>
          <w:sz w:val="22"/>
          <w:szCs w:val="22"/>
          <w:lang w:val="mk-MK"/>
        </w:rPr>
      </w:pPr>
    </w:p>
    <w:p w:rsidR="00F21862" w:rsidRPr="002968EC" w:rsidRDefault="00F21862" w:rsidP="00781AEE">
      <w:pPr>
        <w:pStyle w:val="Default"/>
        <w:spacing w:line="276" w:lineRule="auto"/>
        <w:jc w:val="both"/>
        <w:rPr>
          <w:rFonts w:asciiTheme="minorHAnsi" w:hAnsiTheme="minorHAnsi" w:cs="Calibri"/>
          <w:sz w:val="22"/>
          <w:szCs w:val="22"/>
          <w:lang w:val="mk-MK"/>
        </w:rPr>
      </w:pPr>
      <w:r w:rsidRPr="002968EC">
        <w:rPr>
          <w:rFonts w:asciiTheme="minorHAnsi" w:hAnsiTheme="minorHAnsi" w:cs="Calibri"/>
          <w:sz w:val="22"/>
          <w:szCs w:val="22"/>
          <w:lang w:val="mk-MK"/>
        </w:rPr>
        <w:t xml:space="preserve">Во согласност со Упатството издадено од Европската комисија, географските димензии на релевантниот пазар за пристап до </w:t>
      </w:r>
      <w:r w:rsidR="008A38F9" w:rsidRPr="002968EC">
        <w:rPr>
          <w:rFonts w:asciiTheme="minorHAnsi" w:hAnsiTheme="minorHAnsi" w:cs="Calibri"/>
          <w:sz w:val="22"/>
          <w:szCs w:val="22"/>
          <w:lang w:val="mk-MK"/>
        </w:rPr>
        <w:t>јавна електронска комуникациска мрежа на фиксна локација</w:t>
      </w:r>
      <w:r w:rsidR="00F51CD5" w:rsidRPr="002968EC">
        <w:rPr>
          <w:rFonts w:asciiTheme="minorHAnsi" w:hAnsiTheme="minorHAnsi" w:cs="Calibri"/>
          <w:sz w:val="22"/>
          <w:szCs w:val="22"/>
          <w:lang w:val="mk-MK"/>
        </w:rPr>
        <w:t xml:space="preserve"> </w:t>
      </w:r>
      <w:r w:rsidRPr="002968EC">
        <w:rPr>
          <w:rFonts w:asciiTheme="minorHAnsi" w:hAnsiTheme="minorHAnsi" w:cs="Calibri"/>
          <w:sz w:val="22"/>
          <w:szCs w:val="22"/>
          <w:lang w:val="mk-MK"/>
        </w:rPr>
        <w:t xml:space="preserve">се разгледуваат во поголеми детали на база на широка и детална проценка на двете структурни и критериуми на однесување, вклучувајќи ги условите за влез на пазарот и развојот на операторите, пазарниот удел во определни региони, малопродажните цени и начинот на маркетинг во истите, размислувањето за некои географски различности во карактеристиките на малопродажните услуги. </w:t>
      </w:r>
    </w:p>
    <w:p w:rsidR="00AF70AB" w:rsidRPr="002968EC" w:rsidRDefault="00AF70AB" w:rsidP="00781AEE">
      <w:pPr>
        <w:pStyle w:val="Default"/>
        <w:spacing w:line="276" w:lineRule="auto"/>
        <w:jc w:val="both"/>
        <w:rPr>
          <w:rFonts w:asciiTheme="minorHAnsi" w:hAnsiTheme="minorHAnsi" w:cs="Calibri"/>
          <w:sz w:val="22"/>
          <w:szCs w:val="22"/>
          <w:lang w:val="mk-MK"/>
        </w:rPr>
      </w:pPr>
    </w:p>
    <w:p w:rsidR="00AF70AB" w:rsidRPr="002968EC" w:rsidRDefault="00AF70AB" w:rsidP="00411D2A">
      <w:pPr>
        <w:spacing w:after="120"/>
        <w:rPr>
          <w:rFonts w:asciiTheme="minorHAnsi" w:hAnsiTheme="minorHAnsi" w:cs="Calibri"/>
          <w:lang w:val="mk-MK"/>
        </w:rPr>
      </w:pPr>
      <w:r w:rsidRPr="002968EC">
        <w:rPr>
          <w:rFonts w:asciiTheme="minorHAnsi" w:hAnsiTheme="minorHAnsi" w:cs="Calibri"/>
          <w:lang w:val="mk-MK"/>
        </w:rPr>
        <w:t xml:space="preserve">Согласно со Методологијата за анализа на релевантни пазари  на </w:t>
      </w:r>
      <w:r w:rsidR="00DA4EB6" w:rsidRPr="002968EC">
        <w:rPr>
          <w:rFonts w:asciiTheme="minorHAnsi" w:hAnsiTheme="minorHAnsi" w:cs="Calibri"/>
          <w:lang w:val="mk-MK"/>
        </w:rPr>
        <w:t>АЕК</w:t>
      </w:r>
      <w:r w:rsidRPr="002968EC">
        <w:rPr>
          <w:rFonts w:asciiTheme="minorHAnsi" w:hAnsiTheme="minorHAnsi" w:cs="Calibri"/>
          <w:lang w:val="mk-MK"/>
        </w:rPr>
        <w:t xml:space="preserve"> објавена на </w:t>
      </w:r>
      <w:hyperlink r:id="rId15" w:history="1">
        <w:r w:rsidRPr="002968EC">
          <w:rPr>
            <w:rFonts w:asciiTheme="minorHAnsi" w:hAnsiTheme="minorHAnsi" w:cs="Calibri"/>
            <w:color w:val="0000FF"/>
            <w:u w:val="single"/>
          </w:rPr>
          <w:t>www</w:t>
        </w:r>
        <w:r w:rsidRPr="002968EC">
          <w:rPr>
            <w:rFonts w:asciiTheme="minorHAnsi" w:hAnsiTheme="minorHAnsi" w:cs="Calibri"/>
            <w:color w:val="0000FF"/>
            <w:u w:val="single"/>
            <w:lang w:val="ru-RU"/>
          </w:rPr>
          <w:t>.</w:t>
        </w:r>
        <w:r w:rsidRPr="002968EC">
          <w:rPr>
            <w:rFonts w:asciiTheme="minorHAnsi" w:hAnsiTheme="minorHAnsi" w:cs="Calibri"/>
            <w:color w:val="0000FF"/>
            <w:u w:val="single"/>
          </w:rPr>
          <w:t>aec</w:t>
        </w:r>
        <w:r w:rsidRPr="002968EC">
          <w:rPr>
            <w:rFonts w:asciiTheme="minorHAnsi" w:hAnsiTheme="minorHAnsi" w:cs="Calibri"/>
            <w:color w:val="0000FF"/>
            <w:u w:val="single"/>
            <w:lang w:val="ru-RU"/>
          </w:rPr>
          <w:t>.</w:t>
        </w:r>
        <w:r w:rsidRPr="002968EC">
          <w:rPr>
            <w:rFonts w:asciiTheme="minorHAnsi" w:hAnsiTheme="minorHAnsi" w:cs="Calibri"/>
            <w:color w:val="0000FF"/>
            <w:u w:val="single"/>
          </w:rPr>
          <w:t>mk</w:t>
        </w:r>
      </w:hyperlink>
      <w:r w:rsidRPr="002968EC">
        <w:rPr>
          <w:rFonts w:asciiTheme="minorHAnsi" w:hAnsiTheme="minorHAnsi" w:cs="Calibri"/>
          <w:lang w:val="mk-MK"/>
        </w:rPr>
        <w:t>, географската димензија на релевантните пазари најчесто се определува имајќи ги предвид следните два критериуми:</w:t>
      </w:r>
    </w:p>
    <w:p w:rsidR="00032CF5" w:rsidRDefault="00AF70AB">
      <w:pPr>
        <w:numPr>
          <w:ilvl w:val="0"/>
          <w:numId w:val="9"/>
        </w:numPr>
        <w:spacing w:after="120"/>
        <w:contextualSpacing/>
        <w:rPr>
          <w:rFonts w:asciiTheme="minorHAnsi" w:eastAsia="Times New Roman" w:hAnsiTheme="minorHAnsi" w:cs="Calibri"/>
          <w:lang w:val="mk-MK"/>
        </w:rPr>
      </w:pPr>
      <w:r w:rsidRPr="002968EC">
        <w:rPr>
          <w:rFonts w:asciiTheme="minorHAnsi" w:eastAsia="Times New Roman" w:hAnsiTheme="minorHAnsi" w:cs="Calibri"/>
          <w:lang w:val="mk-MK"/>
        </w:rPr>
        <w:t>Подрачје покриено со мрежа</w:t>
      </w:r>
    </w:p>
    <w:p w:rsidR="00032CF5" w:rsidRDefault="00AF70AB">
      <w:pPr>
        <w:numPr>
          <w:ilvl w:val="0"/>
          <w:numId w:val="9"/>
        </w:numPr>
        <w:spacing w:after="120"/>
        <w:contextualSpacing/>
        <w:rPr>
          <w:rFonts w:asciiTheme="minorHAnsi" w:eastAsia="Times New Roman" w:hAnsiTheme="minorHAnsi" w:cs="Calibri"/>
          <w:lang w:val="mk-MK"/>
        </w:rPr>
      </w:pPr>
      <w:r w:rsidRPr="002968EC">
        <w:rPr>
          <w:rFonts w:asciiTheme="minorHAnsi" w:eastAsia="Times New Roman" w:hAnsiTheme="minorHAnsi" w:cs="Calibri"/>
          <w:lang w:val="mk-MK"/>
        </w:rPr>
        <w:t>Постоење на легални или други регулаторни инструменти</w:t>
      </w:r>
    </w:p>
    <w:p w:rsidR="00AF70AB" w:rsidRPr="002968EC" w:rsidRDefault="00AF70AB" w:rsidP="00411D2A">
      <w:pPr>
        <w:spacing w:after="120"/>
        <w:rPr>
          <w:rFonts w:asciiTheme="minorHAnsi" w:hAnsiTheme="minorHAnsi" w:cs="Calibri"/>
          <w:lang w:val="mk-MK"/>
        </w:rPr>
      </w:pPr>
      <w:r w:rsidRPr="002968EC">
        <w:rPr>
          <w:rFonts w:asciiTheme="minorHAnsi" w:hAnsiTheme="minorHAnsi" w:cs="Calibri"/>
          <w:lang w:val="mk-MK"/>
        </w:rPr>
        <w:t>Врз оваа основа, географските пазари можат да бидат дефинирани како локални, национални или пак пазари кои покриваат територија на две  или повеќе држави</w:t>
      </w:r>
      <w:r w:rsidRPr="002968EC">
        <w:rPr>
          <w:rFonts w:asciiTheme="minorHAnsi" w:hAnsiTheme="minorHAnsi" w:cs="Calibri"/>
        </w:rPr>
        <w:t>.</w:t>
      </w:r>
      <w:r w:rsidRPr="002968EC">
        <w:rPr>
          <w:rFonts w:asciiTheme="minorHAnsi" w:hAnsiTheme="minorHAnsi" w:cs="Calibri"/>
          <w:lang w:val="mk-MK"/>
        </w:rPr>
        <w:t xml:space="preserve"> </w:t>
      </w:r>
    </w:p>
    <w:p w:rsidR="00AF70AB" w:rsidRPr="002968EC" w:rsidRDefault="00AF70AB" w:rsidP="00411D2A">
      <w:pPr>
        <w:spacing w:after="120"/>
        <w:rPr>
          <w:rFonts w:asciiTheme="minorHAnsi" w:hAnsiTheme="minorHAnsi" w:cs="Calibri"/>
          <w:lang w:val="mk-MK"/>
        </w:rPr>
      </w:pPr>
      <w:r w:rsidRPr="002968EC">
        <w:rPr>
          <w:rFonts w:asciiTheme="minorHAnsi" w:hAnsiTheme="minorHAnsi" w:cs="Calibri"/>
          <w:lang w:val="mk-MK"/>
        </w:rPr>
        <w:t>Географскиот пазар вклучува одредена територија во која се нудат соодветните меѓусебно заменливи јавни електронски комуникациски мрежи и/или услуги и во која конкурен</w:t>
      </w:r>
      <w:r w:rsidR="002A23EB">
        <w:rPr>
          <w:rFonts w:asciiTheme="minorHAnsi" w:hAnsiTheme="minorHAnsi" w:cs="Calibri"/>
          <w:lang w:val="mk-MK"/>
        </w:rPr>
        <w:t>т</w:t>
      </w:r>
      <w:r w:rsidRPr="002968EC">
        <w:rPr>
          <w:rFonts w:asciiTheme="minorHAnsi" w:hAnsiTheme="minorHAnsi" w:cs="Calibri"/>
          <w:lang w:val="mk-MK"/>
        </w:rPr>
        <w:t>ните услови се исти и се разликуваат од оние во соседните области.</w:t>
      </w:r>
    </w:p>
    <w:p w:rsidR="000D5333" w:rsidRPr="000D5333" w:rsidRDefault="000D5333" w:rsidP="000D5333">
      <w:pPr>
        <w:spacing w:after="120"/>
        <w:contextualSpacing/>
        <w:rPr>
          <w:rFonts w:asciiTheme="minorHAnsi" w:eastAsia="Times New Roman" w:hAnsiTheme="minorHAnsi" w:cs="Calibri"/>
          <w:lang w:val="mk-MK"/>
        </w:rPr>
      </w:pPr>
    </w:p>
    <w:p w:rsidR="00032CF5" w:rsidRDefault="00AF70AB">
      <w:pPr>
        <w:numPr>
          <w:ilvl w:val="0"/>
          <w:numId w:val="9"/>
        </w:numPr>
        <w:spacing w:after="120"/>
        <w:contextualSpacing/>
        <w:rPr>
          <w:rFonts w:asciiTheme="minorHAnsi" w:eastAsia="Times New Roman" w:hAnsiTheme="minorHAnsi" w:cs="Calibri"/>
          <w:lang w:val="mk-MK"/>
        </w:rPr>
      </w:pPr>
      <w:r w:rsidRPr="002968EC">
        <w:rPr>
          <w:rFonts w:asciiTheme="minorHAnsi" w:eastAsia="Times New Roman" w:hAnsiTheme="minorHAnsi" w:cs="Calibri"/>
          <w:lang w:val="mk-MK"/>
        </w:rPr>
        <w:lastRenderedPageBreak/>
        <w:t>Подрачје покриено со мрежа</w:t>
      </w:r>
    </w:p>
    <w:p w:rsidR="00AF70AB" w:rsidRPr="002968EC" w:rsidRDefault="00AF70AB" w:rsidP="00411D2A">
      <w:pPr>
        <w:spacing w:after="120"/>
        <w:rPr>
          <w:rFonts w:asciiTheme="minorHAnsi" w:hAnsiTheme="minorHAnsi" w:cs="Calibri"/>
          <w:lang w:val="mk-MK"/>
        </w:rPr>
      </w:pPr>
      <w:r w:rsidRPr="002968EC">
        <w:rPr>
          <w:rFonts w:asciiTheme="minorHAnsi" w:eastAsia="Times New Roman" w:hAnsiTheme="minorHAnsi" w:cs="Calibri"/>
          <w:lang w:val="mk-MK"/>
        </w:rPr>
        <w:t xml:space="preserve">Поради присуството на врска помеѓу пазарниот удел и покриеноста на мрежата и фактот дека операторите кои обезбедуваат јавни електронски услуги обично применуваат еднакви цени на територијата која е покриена од нивните мрежи, првата фаза на испитување на присуство на географски подпазари </w:t>
      </w:r>
      <w:r w:rsidRPr="002968EC">
        <w:rPr>
          <w:rFonts w:asciiTheme="minorHAnsi" w:hAnsiTheme="minorHAnsi" w:cs="Calibri"/>
          <w:lang w:val="mk-MK"/>
        </w:rPr>
        <w:t xml:space="preserve">зависи од покриеноста на мрежата на операторот со поголем пазарен удел на релевантниот пазар на услуги. </w:t>
      </w:r>
    </w:p>
    <w:p w:rsidR="00AF70AB" w:rsidRDefault="00CE3626" w:rsidP="00411D2A">
      <w:pPr>
        <w:spacing w:after="120"/>
        <w:rPr>
          <w:rFonts w:asciiTheme="minorHAnsi" w:hAnsiTheme="minorHAnsi" w:cs="Calibri"/>
          <w:lang w:val="mk-MK"/>
        </w:rPr>
      </w:pPr>
      <w:r w:rsidRPr="002968EC">
        <w:rPr>
          <w:rFonts w:asciiTheme="minorHAnsi" w:hAnsiTheme="minorHAnsi" w:cs="Calibri"/>
          <w:lang w:val="mk-MK"/>
        </w:rPr>
        <w:t>МКТ</w:t>
      </w:r>
      <w:r w:rsidR="00AF70AB" w:rsidRPr="002968EC">
        <w:rPr>
          <w:rFonts w:asciiTheme="minorHAnsi" w:hAnsiTheme="minorHAnsi" w:cs="Calibri"/>
          <w:lang w:val="mk-MK"/>
        </w:rPr>
        <w:t xml:space="preserve"> е оператор со најголем пазарен </w:t>
      </w:r>
      <w:r w:rsidR="00AF70AB" w:rsidRPr="00AE004B">
        <w:rPr>
          <w:rFonts w:asciiTheme="minorHAnsi" w:hAnsiTheme="minorHAnsi" w:cs="Calibri"/>
          <w:lang w:val="mk-MK"/>
        </w:rPr>
        <w:t xml:space="preserve">удел </w:t>
      </w:r>
      <w:r w:rsidR="00673C48" w:rsidRPr="00AE004B">
        <w:rPr>
          <w:rFonts w:asciiTheme="minorHAnsi" w:hAnsiTheme="minorHAnsi" w:cs="Calibri"/>
          <w:lang w:val="mk-MK"/>
        </w:rPr>
        <w:t>(</w:t>
      </w:r>
      <w:r w:rsidR="002356A9" w:rsidRPr="00AE004B">
        <w:rPr>
          <w:rFonts w:asciiTheme="minorHAnsi" w:hAnsiTheme="minorHAnsi" w:cs="Calibri"/>
          <w:lang w:val="mk-MK"/>
        </w:rPr>
        <w:t>60.59</w:t>
      </w:r>
      <w:r w:rsidR="00337EEE" w:rsidRPr="00AE004B">
        <w:rPr>
          <w:rFonts w:asciiTheme="minorHAnsi" w:hAnsiTheme="minorHAnsi" w:cs="Calibri"/>
          <w:lang w:val="mk-MK"/>
        </w:rPr>
        <w:t>%</w:t>
      </w:r>
      <w:r w:rsidR="00673C48" w:rsidRPr="00AE004B">
        <w:rPr>
          <w:rFonts w:asciiTheme="minorHAnsi" w:hAnsiTheme="minorHAnsi" w:cs="Calibri"/>
          <w:lang w:val="mk-MK"/>
        </w:rPr>
        <w:t>)</w:t>
      </w:r>
      <w:r w:rsidR="00AF70AB" w:rsidRPr="00AE004B">
        <w:rPr>
          <w:rFonts w:asciiTheme="minorHAnsi" w:hAnsiTheme="minorHAnsi" w:cs="Calibri"/>
          <w:lang w:val="mk-MK"/>
        </w:rPr>
        <w:t xml:space="preserve"> на</w:t>
      </w:r>
      <w:r w:rsidR="00AF70AB" w:rsidRPr="002968EC">
        <w:rPr>
          <w:rFonts w:asciiTheme="minorHAnsi" w:hAnsiTheme="minorHAnsi" w:cs="Calibri"/>
          <w:lang w:val="mk-MK"/>
        </w:rPr>
        <w:t xml:space="preserve"> дефинираниот малопродажен пазар за </w:t>
      </w:r>
      <w:r w:rsidR="00467FA6" w:rsidRPr="002968EC">
        <w:rPr>
          <w:rFonts w:asciiTheme="minorHAnsi" w:hAnsiTheme="minorHAnsi" w:cs="Calibri"/>
          <w:lang w:val="mk-MK"/>
        </w:rPr>
        <w:t xml:space="preserve">фиксна телефонија според податоците од </w:t>
      </w:r>
      <w:r w:rsidRPr="002968EC">
        <w:rPr>
          <w:rFonts w:asciiTheme="minorHAnsi" w:hAnsiTheme="minorHAnsi" w:cs="Calibri"/>
          <w:lang w:val="mk-MK"/>
        </w:rPr>
        <w:t>четврт</w:t>
      </w:r>
      <w:r w:rsidR="00E130EA" w:rsidRPr="002968EC">
        <w:rPr>
          <w:rFonts w:asciiTheme="minorHAnsi" w:hAnsiTheme="minorHAnsi" w:cs="Calibri"/>
          <w:lang w:val="mk-MK"/>
        </w:rPr>
        <w:t xml:space="preserve">иот </w:t>
      </w:r>
      <w:r w:rsidR="00E130EA" w:rsidRPr="00AE004B">
        <w:rPr>
          <w:rFonts w:asciiTheme="minorHAnsi" w:hAnsiTheme="minorHAnsi" w:cs="Calibri"/>
          <w:lang w:val="mk-MK"/>
        </w:rPr>
        <w:t xml:space="preserve">квартал од </w:t>
      </w:r>
      <w:r w:rsidR="00673C48" w:rsidRPr="00AE004B">
        <w:rPr>
          <w:rFonts w:asciiTheme="minorHAnsi" w:hAnsiTheme="minorHAnsi" w:cs="Calibri"/>
          <w:lang w:val="mk-MK"/>
        </w:rPr>
        <w:t>201</w:t>
      </w:r>
      <w:r w:rsidR="00337EEE" w:rsidRPr="00AE004B">
        <w:rPr>
          <w:rFonts w:asciiTheme="minorHAnsi" w:hAnsiTheme="minorHAnsi" w:cs="Calibri"/>
          <w:lang w:val="mk-MK"/>
        </w:rPr>
        <w:t>5</w:t>
      </w:r>
      <w:r w:rsidR="00673C48" w:rsidRPr="00AE004B">
        <w:rPr>
          <w:rFonts w:asciiTheme="minorHAnsi" w:hAnsiTheme="minorHAnsi" w:cs="Calibri"/>
          <w:lang w:val="mk-MK"/>
        </w:rPr>
        <w:t xml:space="preserve"> год.</w:t>
      </w:r>
      <w:r w:rsidR="00AF70AB" w:rsidRPr="002968EC">
        <w:rPr>
          <w:rFonts w:asciiTheme="minorHAnsi" w:hAnsiTheme="minorHAnsi" w:cs="Calibri"/>
          <w:lang w:val="mk-MK"/>
        </w:rPr>
        <w:t xml:space="preserve"> Тука треба да биде </w:t>
      </w:r>
      <w:r w:rsidRPr="002968EC">
        <w:rPr>
          <w:rFonts w:asciiTheme="minorHAnsi" w:hAnsiTheme="minorHAnsi" w:cs="Calibri"/>
          <w:lang w:val="mk-MK"/>
        </w:rPr>
        <w:t>земено во предвид</w:t>
      </w:r>
      <w:r w:rsidR="00AF70AB" w:rsidRPr="002968EC">
        <w:rPr>
          <w:rFonts w:asciiTheme="minorHAnsi" w:hAnsiTheme="minorHAnsi" w:cs="Calibri"/>
          <w:lang w:val="mk-MK"/>
        </w:rPr>
        <w:t xml:space="preserve"> дека М</w:t>
      </w:r>
      <w:r w:rsidR="00467FA6" w:rsidRPr="002968EC">
        <w:rPr>
          <w:rFonts w:asciiTheme="minorHAnsi" w:hAnsiTheme="minorHAnsi" w:cs="Calibri"/>
          <w:lang w:val="mk-MK"/>
        </w:rPr>
        <w:t>КТ</w:t>
      </w:r>
      <w:r w:rsidR="00AF70AB" w:rsidRPr="002968EC">
        <w:rPr>
          <w:rFonts w:asciiTheme="minorHAnsi" w:hAnsiTheme="minorHAnsi" w:cs="Calibri"/>
          <w:lang w:val="mk-MK"/>
        </w:rPr>
        <w:t xml:space="preserve"> има изградена мрежа со национално покривање и да се напомене и фактот дека нуди еднакви услуги со еднакви цени и еднакви услови за обезбедување на услугата за целата територија на Република Македонија.</w:t>
      </w:r>
    </w:p>
    <w:p w:rsidR="002A23EB" w:rsidRPr="002968EC" w:rsidRDefault="002A23EB" w:rsidP="00411D2A">
      <w:pPr>
        <w:spacing w:after="120"/>
        <w:rPr>
          <w:rFonts w:asciiTheme="minorHAnsi" w:hAnsiTheme="minorHAnsi" w:cs="Calibri"/>
          <w:lang w:val="mk-MK"/>
        </w:rPr>
      </w:pPr>
    </w:p>
    <w:p w:rsidR="00032CF5" w:rsidRDefault="00AF70AB">
      <w:pPr>
        <w:numPr>
          <w:ilvl w:val="0"/>
          <w:numId w:val="9"/>
        </w:numPr>
        <w:spacing w:after="120"/>
        <w:contextualSpacing/>
        <w:rPr>
          <w:rFonts w:asciiTheme="minorHAnsi" w:eastAsia="Times New Roman" w:hAnsiTheme="minorHAnsi" w:cs="Calibri"/>
          <w:lang w:val="mk-MK"/>
        </w:rPr>
      </w:pPr>
      <w:r w:rsidRPr="002968EC">
        <w:rPr>
          <w:rFonts w:asciiTheme="minorHAnsi" w:eastAsia="Times New Roman" w:hAnsiTheme="minorHAnsi" w:cs="Calibri"/>
          <w:lang w:val="mk-MK"/>
        </w:rPr>
        <w:t>Постоење на легални или други регулаторни инструменти</w:t>
      </w:r>
    </w:p>
    <w:p w:rsidR="00AF70AB" w:rsidRPr="002968EC" w:rsidRDefault="00AF70AB" w:rsidP="00411D2A">
      <w:pPr>
        <w:spacing w:after="120"/>
        <w:rPr>
          <w:rFonts w:asciiTheme="minorHAnsi" w:hAnsiTheme="minorHAnsi" w:cs="Calibri"/>
          <w:lang w:val="mk-MK"/>
        </w:rPr>
      </w:pPr>
      <w:r w:rsidRPr="002968EC">
        <w:rPr>
          <w:rFonts w:asciiTheme="minorHAnsi" w:eastAsia="Times New Roman" w:hAnsiTheme="minorHAnsi" w:cs="Calibri"/>
          <w:lang w:val="mk-MK"/>
        </w:rPr>
        <w:t xml:space="preserve">Според член </w:t>
      </w:r>
      <w:r w:rsidRPr="002968EC">
        <w:rPr>
          <w:rFonts w:asciiTheme="minorHAnsi" w:eastAsia="Times New Roman" w:hAnsiTheme="minorHAnsi" w:cs="Calibri"/>
        </w:rPr>
        <w:t>60</w:t>
      </w:r>
      <w:r w:rsidRPr="002968EC">
        <w:rPr>
          <w:rFonts w:asciiTheme="minorHAnsi" w:eastAsia="Times New Roman" w:hAnsiTheme="minorHAnsi" w:cs="Calibri"/>
          <w:lang w:val="mk-MK"/>
        </w:rPr>
        <w:t xml:space="preserve"> </w:t>
      </w:r>
      <w:r w:rsidR="00CE3626" w:rsidRPr="002968EC">
        <w:rPr>
          <w:rFonts w:asciiTheme="minorHAnsi" w:eastAsia="Times New Roman" w:hAnsiTheme="minorHAnsi" w:cs="Calibri"/>
          <w:lang w:val="mk-MK"/>
        </w:rPr>
        <w:t xml:space="preserve">став 1 - </w:t>
      </w:r>
      <w:r w:rsidRPr="002968EC">
        <w:rPr>
          <w:rFonts w:asciiTheme="minorHAnsi" w:eastAsia="Times New Roman" w:hAnsiTheme="minorHAnsi" w:cs="Calibri"/>
          <w:lang w:val="mk-MK"/>
        </w:rPr>
        <w:t>Постапка за нотификација</w:t>
      </w:r>
      <w:r w:rsidR="00467FA6" w:rsidRPr="002968EC">
        <w:rPr>
          <w:rFonts w:asciiTheme="minorHAnsi" w:eastAsia="Times New Roman" w:hAnsiTheme="minorHAnsi" w:cs="Calibri"/>
          <w:lang w:val="mk-MK"/>
        </w:rPr>
        <w:t xml:space="preserve"> </w:t>
      </w:r>
      <w:r w:rsidR="00CE3626" w:rsidRPr="002968EC">
        <w:rPr>
          <w:rFonts w:asciiTheme="minorHAnsi" w:eastAsia="Times New Roman" w:hAnsiTheme="minorHAnsi" w:cs="Calibri"/>
        </w:rPr>
        <w:t>“</w:t>
      </w:r>
      <w:r w:rsidRPr="002968EC">
        <w:rPr>
          <w:rFonts w:asciiTheme="minorHAnsi" w:eastAsia="Times New Roman" w:hAnsiTheme="minorHAnsi" w:cs="Calibri"/>
        </w:rPr>
        <w:t xml:space="preserve">Пред започнување со обезбедување на јавни електронски комуникациски мрежи и/или услуги се доставува нотификација до </w:t>
      </w:r>
      <w:r w:rsidRPr="002968EC">
        <w:rPr>
          <w:rFonts w:asciiTheme="minorHAnsi" w:eastAsia="Times New Roman" w:hAnsiTheme="minorHAnsi" w:cs="Calibri"/>
          <w:lang w:val="mk-MK"/>
        </w:rPr>
        <w:t>АЕК.</w:t>
      </w:r>
      <w:r w:rsidR="00CE3626" w:rsidRPr="002968EC">
        <w:rPr>
          <w:rFonts w:asciiTheme="minorHAnsi" w:eastAsia="Times New Roman" w:hAnsiTheme="minorHAnsi" w:cs="Calibri"/>
        </w:rPr>
        <w:t>”</w:t>
      </w:r>
      <w:r w:rsidR="002A23EB">
        <w:rPr>
          <w:rFonts w:asciiTheme="minorHAnsi" w:eastAsia="Times New Roman" w:hAnsiTheme="minorHAnsi" w:cs="Calibri"/>
          <w:lang w:val="mk-MK"/>
        </w:rPr>
        <w:t xml:space="preserve"> Операторите</w:t>
      </w:r>
      <w:r w:rsidRPr="002968EC">
        <w:rPr>
          <w:rFonts w:asciiTheme="minorHAnsi" w:eastAsia="Times New Roman" w:hAnsiTheme="minorHAnsi" w:cs="Calibri"/>
          <w:lang w:val="mk-MK"/>
        </w:rPr>
        <w:t xml:space="preserve"> кои за овозможување на своите услуги е потребно да користат ограничени ресурси треба да поднесат барање за нивно користење за потоа АЕК да им издаде одобрение за користење на истите. </w:t>
      </w:r>
      <w:r w:rsidRPr="002968EC">
        <w:rPr>
          <w:rFonts w:asciiTheme="minorHAnsi" w:hAnsiTheme="minorHAnsi" w:cs="Calibri"/>
          <w:lang w:val="mk-MK"/>
        </w:rPr>
        <w:t xml:space="preserve">Поради тоа АЕК смета дека не постојат разлики во однос на бариерите за влез на малопродажниот пазар на </w:t>
      </w:r>
      <w:r w:rsidR="00BC7D04" w:rsidRPr="002968EC">
        <w:rPr>
          <w:rFonts w:asciiTheme="minorHAnsi" w:hAnsiTheme="minorHAnsi" w:cs="Calibri"/>
          <w:lang w:val="mk-MK"/>
        </w:rPr>
        <w:t xml:space="preserve">пристап до </w:t>
      </w:r>
      <w:r w:rsidR="008A38F9" w:rsidRPr="002968EC">
        <w:rPr>
          <w:rFonts w:asciiTheme="minorHAnsi" w:hAnsiTheme="minorHAnsi"/>
          <w:lang w:val="mk-MK"/>
        </w:rPr>
        <w:t>јавна електронска комуникациска мрежа на фиксна локација</w:t>
      </w:r>
      <w:r w:rsidRPr="002968EC">
        <w:rPr>
          <w:rFonts w:asciiTheme="minorHAnsi" w:hAnsiTheme="minorHAnsi" w:cs="Calibri"/>
          <w:lang w:val="mk-MK"/>
        </w:rPr>
        <w:t xml:space="preserve"> на одредени географски пазари. </w:t>
      </w:r>
    </w:p>
    <w:p w:rsidR="00AF70AB" w:rsidRPr="002968EC" w:rsidRDefault="00AF70AB" w:rsidP="00411D2A">
      <w:pPr>
        <w:spacing w:after="120"/>
        <w:rPr>
          <w:rFonts w:asciiTheme="minorHAnsi" w:hAnsiTheme="minorHAnsi" w:cs="Calibri"/>
          <w:lang w:val="mk-MK"/>
        </w:rPr>
      </w:pPr>
      <w:r w:rsidRPr="002968EC">
        <w:rPr>
          <w:rFonts w:asciiTheme="minorHAnsi" w:hAnsiTheme="minorHAnsi" w:cs="Calibri"/>
          <w:lang w:val="mk-MK"/>
        </w:rPr>
        <w:t xml:space="preserve">Прв чекор на националното регулаторно тело  треба да биде утврдувањето дали постои доказ за географската сегментација или </w:t>
      </w:r>
      <w:r w:rsidR="00CE3626" w:rsidRPr="002968EC">
        <w:rPr>
          <w:rFonts w:asciiTheme="minorHAnsi" w:hAnsiTheme="minorHAnsi" w:cs="Calibri"/>
          <w:lang w:val="mk-MK"/>
        </w:rPr>
        <w:t>пак</w:t>
      </w:r>
      <w:r w:rsidRPr="002968EC">
        <w:rPr>
          <w:rFonts w:asciiTheme="minorHAnsi" w:hAnsiTheme="minorHAnsi" w:cs="Calibri"/>
          <w:lang w:val="mk-MK"/>
        </w:rPr>
        <w:t xml:space="preserve"> има докази кои укажуваат на постоењето на еден национален пазар.</w:t>
      </w:r>
    </w:p>
    <w:p w:rsidR="00AF70AB" w:rsidRPr="002968EC" w:rsidRDefault="00AF70AB" w:rsidP="00411D2A">
      <w:pPr>
        <w:spacing w:after="120"/>
        <w:rPr>
          <w:rFonts w:asciiTheme="minorHAnsi" w:hAnsiTheme="minorHAnsi" w:cs="Calibri"/>
          <w:lang w:val="mk-MK"/>
        </w:rPr>
      </w:pPr>
      <w:r w:rsidRPr="002968EC">
        <w:rPr>
          <w:rFonts w:asciiTheme="minorHAnsi" w:hAnsiTheme="minorHAnsi" w:cs="Calibri"/>
          <w:lang w:val="mk-MK"/>
        </w:rPr>
        <w:t>Географска сегментација на конкретен пазар е соодветно да се направи откако ќе се докаже дека конкурентните услови во даден регион се разликува од оние во соседните региони. Спроведувањето на детална географска анализа е оправдано во случај да се исполнети следниве услови:</w:t>
      </w:r>
    </w:p>
    <w:p w:rsidR="00D02319" w:rsidRPr="0079552E" w:rsidRDefault="00AF70AB" w:rsidP="0079552E">
      <w:pPr>
        <w:numPr>
          <w:ilvl w:val="0"/>
          <w:numId w:val="2"/>
        </w:numPr>
        <w:spacing w:after="120"/>
        <w:rPr>
          <w:rFonts w:asciiTheme="minorHAnsi" w:eastAsia="Times New Roman" w:hAnsiTheme="minorHAnsi" w:cs="Calibri"/>
        </w:rPr>
      </w:pPr>
      <w:r w:rsidRPr="002968EC">
        <w:rPr>
          <w:rFonts w:asciiTheme="minorHAnsi" w:eastAsia="Times New Roman" w:hAnsiTheme="minorHAnsi" w:cs="Calibri"/>
          <w:lang w:val="mk-MK"/>
        </w:rPr>
        <w:t>еден или неколку од алтернативните оператори имаат значителна, но помалку од национална покриеност на мрежите на територијата на земјата и вршат значителен конкурентен притисок во областите во кои спроведуваат активности</w:t>
      </w:r>
      <w:r w:rsidRPr="002968EC">
        <w:rPr>
          <w:rFonts w:asciiTheme="minorHAnsi" w:eastAsia="Times New Roman" w:hAnsiTheme="minorHAnsi" w:cs="Calibri"/>
        </w:rPr>
        <w:t>;</w:t>
      </w:r>
    </w:p>
    <w:p w:rsidR="00C710F8" w:rsidRDefault="00E0707D" w:rsidP="00C710F8">
      <w:pPr>
        <w:rPr>
          <w:noProof/>
          <w:lang w:val="mk-MK"/>
        </w:rPr>
      </w:pPr>
      <w:r>
        <w:rPr>
          <w:noProof/>
        </w:rPr>
        <w:lastRenderedPageBreak/>
        <w:drawing>
          <wp:inline distT="0" distB="0" distL="0" distR="0">
            <wp:extent cx="5734050" cy="3594100"/>
            <wp:effectExtent l="0" t="0" r="0" b="0"/>
            <wp:docPr id="6" name="Objec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8550F" w:rsidRPr="003E409F" w:rsidRDefault="003E409F" w:rsidP="00C710F8">
      <w:pPr>
        <w:pStyle w:val="Caption"/>
      </w:pPr>
      <w:r w:rsidRPr="003E409F">
        <w:t xml:space="preserve"> </w:t>
      </w:r>
      <w:bookmarkStart w:id="25" w:name="_Toc461546198"/>
      <w:r w:rsidR="000E4710" w:rsidRPr="000E4710">
        <w:t xml:space="preserve">Графикон </w:t>
      </w:r>
      <w:fldSimple w:instr=" SEQ Графикон \* ARABIC ">
        <w:r w:rsidR="00870C45">
          <w:rPr>
            <w:noProof/>
          </w:rPr>
          <w:t>5</w:t>
        </w:r>
      </w:fldSimple>
      <w:r w:rsidR="000E4710" w:rsidRPr="000E4710">
        <w:t xml:space="preserve"> </w:t>
      </w:r>
      <w:r w:rsidRPr="000E4710">
        <w:t>Мрежи на АО според подрачје на покриеност</w:t>
      </w:r>
      <w:bookmarkEnd w:id="25"/>
    </w:p>
    <w:p w:rsidR="00BC7D04" w:rsidRPr="002968EC" w:rsidRDefault="008E6977" w:rsidP="00781AEE">
      <w:pPr>
        <w:pStyle w:val="Default"/>
        <w:spacing w:line="276" w:lineRule="auto"/>
        <w:jc w:val="both"/>
        <w:rPr>
          <w:rFonts w:asciiTheme="minorHAnsi" w:hAnsiTheme="minorHAnsi" w:cs="Calibri"/>
          <w:sz w:val="22"/>
          <w:szCs w:val="22"/>
          <w:lang w:val="mk-MK"/>
        </w:rPr>
      </w:pPr>
      <w:r w:rsidRPr="002968EC">
        <w:rPr>
          <w:rFonts w:asciiTheme="minorHAnsi" w:hAnsiTheme="minorHAnsi" w:cs="Calibri"/>
          <w:sz w:val="22"/>
          <w:szCs w:val="22"/>
          <w:lang w:val="mk-MK"/>
        </w:rPr>
        <w:t xml:space="preserve">Во графиконот 6 е даден приказ на мрежната покриеност на алтернативни оператори кои можат да ја обезбедат услугата широкопојасен пристап и со тоа да обезбедуваат ВОИП телефонија. Меѓутоа, сепак треба да се има во предвид дека тука се наведени сите оператори без разлика дали се активни на пазарот на фиксна телефонија или не учествуваат на истиот. Во Р Македонија постојат кабелски оператори кои обезбедуваат услуги на малопродажните пазари на фиксна телефонија односно ја обезбедуваат услугата пристап. Како поголеми кабелски оператори кои преку </w:t>
      </w:r>
      <w:r w:rsidRPr="002968EC">
        <w:rPr>
          <w:rFonts w:asciiTheme="minorHAnsi" w:hAnsiTheme="minorHAnsi" w:cs="Calibri"/>
          <w:sz w:val="22"/>
          <w:szCs w:val="22"/>
        </w:rPr>
        <w:t xml:space="preserve">CaTV </w:t>
      </w:r>
      <w:r w:rsidRPr="002968EC">
        <w:rPr>
          <w:rFonts w:asciiTheme="minorHAnsi" w:hAnsiTheme="minorHAnsi" w:cs="Calibri"/>
          <w:sz w:val="22"/>
          <w:szCs w:val="22"/>
          <w:lang w:val="mk-MK"/>
        </w:rPr>
        <w:t xml:space="preserve">и </w:t>
      </w:r>
      <w:r w:rsidRPr="002968EC">
        <w:rPr>
          <w:rFonts w:asciiTheme="minorHAnsi" w:hAnsiTheme="minorHAnsi" w:cs="Calibri"/>
          <w:sz w:val="22"/>
          <w:szCs w:val="22"/>
        </w:rPr>
        <w:t>LAN</w:t>
      </w:r>
      <w:r w:rsidRPr="002968EC">
        <w:rPr>
          <w:rFonts w:asciiTheme="minorHAnsi" w:hAnsiTheme="minorHAnsi" w:cs="Calibri"/>
          <w:sz w:val="22"/>
          <w:szCs w:val="22"/>
          <w:lang w:val="mk-MK"/>
        </w:rPr>
        <w:t xml:space="preserve"> технологии обезбедуваат пристап до </w:t>
      </w:r>
      <w:r w:rsidR="008A38F9" w:rsidRPr="002968EC">
        <w:rPr>
          <w:rFonts w:asciiTheme="minorHAnsi" w:hAnsiTheme="minorHAnsi" w:cs="Calibri"/>
          <w:sz w:val="22"/>
          <w:szCs w:val="22"/>
          <w:lang w:val="mk-MK"/>
        </w:rPr>
        <w:t>јавна електронска комуникациска мрежа на фиксна локација</w:t>
      </w:r>
      <w:r w:rsidRPr="002968EC">
        <w:rPr>
          <w:rFonts w:asciiTheme="minorHAnsi" w:hAnsiTheme="minorHAnsi" w:cs="Calibri"/>
          <w:sz w:val="22"/>
          <w:szCs w:val="22"/>
          <w:lang w:val="mk-MK"/>
        </w:rPr>
        <w:t xml:space="preserve"> се Роби (Аикол) и Близу. Меѓутоа овие оператори немаат национална покриеност. Постојат и други помали оператори како на пример Инфелнет плус од Охрид, Гив од Гостивар кои што обезбедуваат услуги во фиксна телефонија меѓутоа истите работат само локално на подарачје на еден град или општина. </w:t>
      </w:r>
    </w:p>
    <w:p w:rsidR="008E6977" w:rsidRPr="002968EC" w:rsidRDefault="008E6977" w:rsidP="00781AEE">
      <w:pPr>
        <w:pStyle w:val="Default"/>
        <w:spacing w:line="276" w:lineRule="auto"/>
        <w:jc w:val="both"/>
        <w:rPr>
          <w:rFonts w:asciiTheme="minorHAnsi" w:hAnsiTheme="minorHAnsi" w:cs="Calibri"/>
          <w:sz w:val="22"/>
          <w:szCs w:val="22"/>
          <w:lang w:val="mk-MK"/>
        </w:rPr>
      </w:pPr>
    </w:p>
    <w:p w:rsidR="008E6977" w:rsidRPr="002968EC" w:rsidRDefault="008E6977" w:rsidP="00781AEE">
      <w:pPr>
        <w:pStyle w:val="Default"/>
        <w:spacing w:line="276" w:lineRule="auto"/>
        <w:jc w:val="both"/>
        <w:rPr>
          <w:rFonts w:asciiTheme="minorHAnsi" w:hAnsiTheme="minorHAnsi" w:cs="Calibri"/>
          <w:sz w:val="22"/>
          <w:szCs w:val="22"/>
          <w:lang w:val="mk-MK"/>
        </w:rPr>
      </w:pPr>
      <w:r w:rsidRPr="002968EC">
        <w:rPr>
          <w:rFonts w:asciiTheme="minorHAnsi" w:hAnsiTheme="minorHAnsi" w:cs="Calibri"/>
          <w:sz w:val="22"/>
          <w:szCs w:val="22"/>
          <w:lang w:val="mk-MK"/>
        </w:rPr>
        <w:t>Важно е да се напомене дека единствените оператори кои обезбедуваат услуги на пазарот на фиксна телефонија и имаат национална покриеност е операторот МКТ (кој поседува сопствена мрежна инфраструктура) како и оператор</w:t>
      </w:r>
      <w:r w:rsidR="002356A9" w:rsidRPr="002968EC">
        <w:rPr>
          <w:rFonts w:asciiTheme="minorHAnsi" w:hAnsiTheme="minorHAnsi" w:cs="Calibri"/>
          <w:sz w:val="22"/>
          <w:szCs w:val="22"/>
          <w:lang w:val="mk-MK"/>
        </w:rPr>
        <w:t>от</w:t>
      </w:r>
      <w:r w:rsidR="00BB3478">
        <w:rPr>
          <w:rFonts w:asciiTheme="minorHAnsi" w:hAnsiTheme="minorHAnsi" w:cs="Calibri"/>
          <w:sz w:val="22"/>
          <w:szCs w:val="22"/>
          <w:lang w:val="mk-MK"/>
        </w:rPr>
        <w:t xml:space="preserve"> </w:t>
      </w:r>
      <w:r w:rsidR="002356A9" w:rsidRPr="002968EC">
        <w:rPr>
          <w:rFonts w:asciiTheme="minorHAnsi" w:hAnsiTheme="minorHAnsi" w:cs="Calibri"/>
          <w:sz w:val="22"/>
          <w:szCs w:val="22"/>
          <w:lang w:val="mk-MK"/>
        </w:rPr>
        <w:t>оне.ВИП</w:t>
      </w:r>
      <w:r w:rsidRPr="002968EC">
        <w:rPr>
          <w:rFonts w:asciiTheme="minorHAnsi" w:hAnsiTheme="minorHAnsi" w:cs="Calibri"/>
          <w:sz w:val="22"/>
          <w:szCs w:val="22"/>
          <w:lang w:val="mk-MK"/>
        </w:rPr>
        <w:t xml:space="preserve"> како оператор ко</w:t>
      </w:r>
      <w:r w:rsidR="002356A9" w:rsidRPr="002968EC">
        <w:rPr>
          <w:rFonts w:asciiTheme="minorHAnsi" w:hAnsiTheme="minorHAnsi" w:cs="Calibri"/>
          <w:sz w:val="22"/>
          <w:szCs w:val="22"/>
          <w:lang w:val="mk-MK"/>
        </w:rPr>
        <w:t>ј</w:t>
      </w:r>
      <w:r w:rsidRPr="002968EC">
        <w:rPr>
          <w:rFonts w:asciiTheme="minorHAnsi" w:hAnsiTheme="minorHAnsi" w:cs="Calibri"/>
          <w:sz w:val="22"/>
          <w:szCs w:val="22"/>
          <w:lang w:val="mk-MK"/>
        </w:rPr>
        <w:t xml:space="preserve"> преку мрежата на МКТ обезбедува услуги. Операторот Неотел е исто така важен учесник на овој малопродажен пазар меѓутоа истиот нема националан покриеност и најчесто ги користи мрежите на локалните кабелски оператори за да обезбедува услуги на пазарот на фиксна телефонија.</w:t>
      </w:r>
    </w:p>
    <w:p w:rsidR="008E6977" w:rsidRPr="002968EC" w:rsidRDefault="008E6977" w:rsidP="00781AEE">
      <w:pPr>
        <w:pStyle w:val="Default"/>
        <w:spacing w:line="276" w:lineRule="auto"/>
        <w:jc w:val="both"/>
        <w:rPr>
          <w:rFonts w:asciiTheme="minorHAnsi" w:hAnsiTheme="minorHAnsi" w:cs="Calibri"/>
          <w:sz w:val="22"/>
          <w:szCs w:val="22"/>
          <w:lang w:val="mk-MK"/>
        </w:rPr>
      </w:pPr>
    </w:p>
    <w:p w:rsidR="00D02319" w:rsidRPr="002968EC" w:rsidRDefault="008E6977" w:rsidP="00781AEE">
      <w:pPr>
        <w:pStyle w:val="Default"/>
        <w:spacing w:line="276" w:lineRule="auto"/>
        <w:jc w:val="both"/>
        <w:rPr>
          <w:rFonts w:asciiTheme="minorHAnsi" w:hAnsiTheme="minorHAnsi" w:cs="Calibri"/>
          <w:sz w:val="22"/>
          <w:szCs w:val="22"/>
          <w:lang w:val="mk-MK"/>
        </w:rPr>
      </w:pPr>
      <w:r w:rsidRPr="002968EC">
        <w:rPr>
          <w:rFonts w:asciiTheme="minorHAnsi" w:hAnsiTheme="minorHAnsi" w:cs="Calibri"/>
          <w:sz w:val="22"/>
          <w:szCs w:val="22"/>
          <w:lang w:val="mk-MK"/>
        </w:rPr>
        <w:t xml:space="preserve">Според тоа може да се заклучи дека операторот со значителна пазарна моќ МКТ, е единствениот оператор </w:t>
      </w:r>
      <w:r w:rsidR="00473FBB" w:rsidRPr="002968EC">
        <w:rPr>
          <w:rFonts w:asciiTheme="minorHAnsi" w:hAnsiTheme="minorHAnsi" w:cs="Calibri"/>
          <w:sz w:val="22"/>
          <w:szCs w:val="22"/>
          <w:lang w:val="mk-MK"/>
        </w:rPr>
        <w:t xml:space="preserve">кој поседува мрежна инфраструктура </w:t>
      </w:r>
      <w:r w:rsidRPr="002968EC">
        <w:rPr>
          <w:rFonts w:asciiTheme="minorHAnsi" w:hAnsiTheme="minorHAnsi" w:cs="Calibri"/>
          <w:sz w:val="22"/>
          <w:szCs w:val="22"/>
          <w:lang w:val="mk-MK"/>
        </w:rPr>
        <w:t xml:space="preserve">со целосна национална покриеност </w:t>
      </w:r>
      <w:r w:rsidR="00473FBB" w:rsidRPr="002968EC">
        <w:rPr>
          <w:rFonts w:asciiTheme="minorHAnsi" w:hAnsiTheme="minorHAnsi" w:cs="Calibri"/>
          <w:sz w:val="22"/>
          <w:szCs w:val="22"/>
          <w:lang w:val="mk-MK"/>
        </w:rPr>
        <w:t xml:space="preserve">.  Операторот МКТ е во состојба да ја обезбедува услугата пристап до </w:t>
      </w:r>
      <w:r w:rsidR="008A38F9" w:rsidRPr="002968EC">
        <w:rPr>
          <w:rFonts w:asciiTheme="minorHAnsi" w:hAnsiTheme="minorHAnsi" w:cs="Calibri"/>
          <w:sz w:val="22"/>
          <w:szCs w:val="22"/>
          <w:lang w:val="mk-MK"/>
        </w:rPr>
        <w:t>јавна електронска комуникациска мрежа на фиксна локација</w:t>
      </w:r>
      <w:r w:rsidR="00473FBB" w:rsidRPr="002968EC">
        <w:rPr>
          <w:rFonts w:asciiTheme="minorHAnsi" w:hAnsiTheme="minorHAnsi" w:cs="Calibri"/>
          <w:sz w:val="22"/>
          <w:szCs w:val="22"/>
          <w:lang w:val="mk-MK"/>
        </w:rPr>
        <w:t xml:space="preserve"> на територија на целата држава. </w:t>
      </w:r>
    </w:p>
    <w:p w:rsidR="00D02319" w:rsidRPr="002968EC" w:rsidRDefault="00D02319" w:rsidP="00781AEE">
      <w:pPr>
        <w:pStyle w:val="Default"/>
        <w:spacing w:line="276" w:lineRule="auto"/>
        <w:jc w:val="both"/>
        <w:rPr>
          <w:rFonts w:asciiTheme="minorHAnsi" w:hAnsiTheme="minorHAnsi" w:cs="Calibri"/>
          <w:sz w:val="22"/>
          <w:szCs w:val="22"/>
          <w:lang w:val="mk-MK"/>
        </w:rPr>
      </w:pPr>
    </w:p>
    <w:p w:rsidR="00702C9E" w:rsidRPr="002968EC" w:rsidRDefault="00702C9E" w:rsidP="00702C9E">
      <w:pPr>
        <w:numPr>
          <w:ilvl w:val="0"/>
          <w:numId w:val="2"/>
        </w:numPr>
        <w:spacing w:after="120" w:line="240" w:lineRule="auto"/>
        <w:rPr>
          <w:rFonts w:asciiTheme="minorHAnsi" w:eastAsia="Times New Roman" w:hAnsiTheme="minorHAnsi" w:cs="Calibri"/>
        </w:rPr>
      </w:pPr>
      <w:r w:rsidRPr="002968EC">
        <w:rPr>
          <w:rFonts w:asciiTheme="minorHAnsi" w:eastAsia="Times New Roman" w:hAnsiTheme="minorHAnsi" w:cs="Calibri"/>
          <w:lang w:val="mk-MK"/>
        </w:rPr>
        <w:lastRenderedPageBreak/>
        <w:t>операторот со значителна пазарна моќ дава услуги со различни цени во различни региони на земјата или применува единствени национални цени кои се разликуваат значително од цените на алтернативните оператори</w:t>
      </w:r>
      <w:r w:rsidRPr="002968EC">
        <w:rPr>
          <w:rFonts w:asciiTheme="minorHAnsi" w:eastAsia="Times New Roman" w:hAnsiTheme="minorHAnsi" w:cs="Calibri"/>
        </w:rPr>
        <w:t>;</w:t>
      </w:r>
    </w:p>
    <w:p w:rsidR="00702C9E" w:rsidRPr="002968EC" w:rsidRDefault="00702C9E" w:rsidP="00781AEE">
      <w:pPr>
        <w:pStyle w:val="Default"/>
        <w:spacing w:line="276" w:lineRule="auto"/>
        <w:jc w:val="both"/>
        <w:rPr>
          <w:rFonts w:asciiTheme="minorHAnsi" w:hAnsiTheme="minorHAnsi" w:cs="Calibri"/>
          <w:sz w:val="22"/>
          <w:szCs w:val="22"/>
          <w:lang w:val="mk-MK"/>
        </w:rPr>
      </w:pPr>
      <w:r w:rsidRPr="002968EC">
        <w:rPr>
          <w:rFonts w:asciiTheme="minorHAnsi" w:hAnsiTheme="minorHAnsi" w:cs="Calibri"/>
          <w:sz w:val="22"/>
          <w:szCs w:val="22"/>
          <w:lang w:val="mk-MK"/>
        </w:rPr>
        <w:t>О</w:t>
      </w:r>
      <w:r w:rsidR="00D02319" w:rsidRPr="002968EC">
        <w:rPr>
          <w:rFonts w:asciiTheme="minorHAnsi" w:hAnsiTheme="minorHAnsi" w:cs="Calibri"/>
          <w:sz w:val="22"/>
          <w:szCs w:val="22"/>
          <w:lang w:val="mk-MK"/>
        </w:rPr>
        <w:t xml:space="preserve">ператорот со значителна пазарна моќ </w:t>
      </w:r>
      <w:r w:rsidRPr="002968EC">
        <w:rPr>
          <w:rFonts w:asciiTheme="minorHAnsi" w:hAnsiTheme="minorHAnsi" w:cs="Calibri"/>
          <w:sz w:val="22"/>
          <w:szCs w:val="22"/>
          <w:lang w:val="mk-MK"/>
        </w:rPr>
        <w:t>МКТ за овој вид на услуга обезбедува исти цени и еднакви услови</w:t>
      </w:r>
      <w:r w:rsidR="00D02319" w:rsidRPr="002968EC">
        <w:rPr>
          <w:rFonts w:asciiTheme="minorHAnsi" w:hAnsiTheme="minorHAnsi" w:cs="Calibri"/>
          <w:sz w:val="22"/>
          <w:szCs w:val="22"/>
          <w:lang w:val="mk-MK"/>
        </w:rPr>
        <w:t xml:space="preserve"> во различни региони на земјата </w:t>
      </w:r>
      <w:r w:rsidRPr="002968EC">
        <w:rPr>
          <w:rFonts w:asciiTheme="minorHAnsi" w:hAnsiTheme="minorHAnsi" w:cs="Calibri"/>
          <w:sz w:val="22"/>
          <w:szCs w:val="22"/>
          <w:lang w:val="mk-MK"/>
        </w:rPr>
        <w:t>односно</w:t>
      </w:r>
      <w:r w:rsidR="00D02319" w:rsidRPr="002968EC">
        <w:rPr>
          <w:rFonts w:asciiTheme="minorHAnsi" w:hAnsiTheme="minorHAnsi" w:cs="Calibri"/>
          <w:sz w:val="22"/>
          <w:szCs w:val="22"/>
          <w:lang w:val="mk-MK"/>
        </w:rPr>
        <w:t xml:space="preserve"> применува единствени национални цени</w:t>
      </w:r>
      <w:r w:rsidRPr="002968EC">
        <w:rPr>
          <w:rFonts w:asciiTheme="minorHAnsi" w:hAnsiTheme="minorHAnsi" w:cs="Calibri"/>
          <w:sz w:val="22"/>
          <w:szCs w:val="22"/>
          <w:lang w:val="mk-MK"/>
        </w:rPr>
        <w:t xml:space="preserve">. Според заклучоците од претходната анализа на овој пазар, на операторот со значителна пазарна моќ е наметната обврска за регулирање на малопродажните цени како и обврска за обезбедување единствен ценовник и негова достава на одобрување во АЕК. </w:t>
      </w:r>
      <w:r w:rsidR="00527EE0" w:rsidRPr="002968EC">
        <w:rPr>
          <w:rFonts w:asciiTheme="minorHAnsi" w:hAnsiTheme="minorHAnsi" w:cs="Calibri"/>
          <w:sz w:val="22"/>
          <w:szCs w:val="22"/>
          <w:lang w:val="mk-MK"/>
        </w:rPr>
        <w:t xml:space="preserve">Алтернативните оператори кои ја обезбедуват услугата користејќи ги големопродажните услуги на операторот МКТ, на малопродажно ниво ги реплицираат цените на услугите. Според тоа не постои и некоја значителна разлика во цените. </w:t>
      </w:r>
      <w:r w:rsidR="00BB3180" w:rsidRPr="002968EC">
        <w:rPr>
          <w:rFonts w:asciiTheme="minorHAnsi" w:hAnsiTheme="minorHAnsi" w:cs="Calibri"/>
          <w:sz w:val="22"/>
          <w:szCs w:val="22"/>
          <w:lang w:val="mk-MK"/>
        </w:rPr>
        <w:t>Мала разлика во цените за услугата пристап постои кога се разгледува истата кај кабелските оператори кои се активни на пазарот на фиксна телефонија. Меѓутоа треба да се напомене дека кабелскиот оператор трошокот за одржување на пристапната инфраструктура го надополнува со месечна претплата за телевиз</w:t>
      </w:r>
      <w:r w:rsidR="002A23EB">
        <w:rPr>
          <w:rFonts w:asciiTheme="minorHAnsi" w:hAnsiTheme="minorHAnsi" w:cs="Calibri"/>
          <w:sz w:val="22"/>
          <w:szCs w:val="22"/>
          <w:lang w:val="mk-MK"/>
        </w:rPr>
        <w:t>и</w:t>
      </w:r>
      <w:r w:rsidR="00BB3180" w:rsidRPr="002968EC">
        <w:rPr>
          <w:rFonts w:asciiTheme="minorHAnsi" w:hAnsiTheme="minorHAnsi" w:cs="Calibri"/>
          <w:sz w:val="22"/>
          <w:szCs w:val="22"/>
          <w:lang w:val="mk-MK"/>
        </w:rPr>
        <w:t xml:space="preserve">ски приклучок и оттука истиот не наплаќа дополнително за пристап (поради тоа што пристапот е веќе обезбеден). </w:t>
      </w:r>
    </w:p>
    <w:p w:rsidR="00702C9E" w:rsidRPr="002968EC" w:rsidRDefault="00702C9E" w:rsidP="00411D2A">
      <w:pPr>
        <w:pStyle w:val="Default"/>
        <w:spacing w:line="276" w:lineRule="auto"/>
        <w:jc w:val="both"/>
        <w:rPr>
          <w:rFonts w:asciiTheme="minorHAnsi" w:hAnsiTheme="minorHAnsi" w:cs="Calibri"/>
          <w:sz w:val="22"/>
          <w:szCs w:val="22"/>
          <w:lang w:val="mk-MK"/>
        </w:rPr>
      </w:pPr>
    </w:p>
    <w:p w:rsidR="00702C9E" w:rsidRPr="002968EC" w:rsidRDefault="00702C9E" w:rsidP="00411D2A">
      <w:pPr>
        <w:numPr>
          <w:ilvl w:val="0"/>
          <w:numId w:val="2"/>
        </w:numPr>
        <w:spacing w:after="120"/>
        <w:rPr>
          <w:rFonts w:asciiTheme="minorHAnsi" w:eastAsia="Times New Roman" w:hAnsiTheme="minorHAnsi" w:cs="Calibri"/>
        </w:rPr>
      </w:pPr>
      <w:r w:rsidRPr="002968EC">
        <w:rPr>
          <w:rFonts w:asciiTheme="minorHAnsi" w:hAnsiTheme="minorHAnsi" w:cs="Calibri"/>
          <w:lang w:val="mk-MK"/>
        </w:rPr>
        <w:t>постојат значителни географски разлики во карактеристиките на понудените услуги во однос на брзината, гарантираниот квалитет и др.</w:t>
      </w:r>
    </w:p>
    <w:p w:rsidR="00BB3180" w:rsidRPr="002968EC" w:rsidRDefault="00BB3180" w:rsidP="00411D2A">
      <w:pPr>
        <w:spacing w:after="120"/>
        <w:rPr>
          <w:rFonts w:asciiTheme="minorHAnsi" w:eastAsia="Times New Roman" w:hAnsiTheme="minorHAnsi" w:cs="Calibri"/>
        </w:rPr>
      </w:pPr>
      <w:r w:rsidRPr="002968EC">
        <w:rPr>
          <w:rFonts w:asciiTheme="minorHAnsi" w:hAnsiTheme="minorHAnsi" w:cs="Calibri"/>
          <w:lang w:val="mk-MK"/>
        </w:rPr>
        <w:t xml:space="preserve">Со миграција на ИП платформа на корисниците на МКТ, на пазарот за фиксна телефонија во Р.Македонија речиси сите оператори обезбедуваат ВОИП телефонија. На тој начин може да се каже дека услугата пристап до </w:t>
      </w:r>
      <w:r w:rsidR="008A38F9" w:rsidRPr="002968EC">
        <w:rPr>
          <w:rFonts w:asciiTheme="minorHAnsi" w:hAnsiTheme="minorHAnsi" w:cs="Calibri"/>
          <w:lang w:val="mk-MK"/>
        </w:rPr>
        <w:t>јавна електронска комуникациска мрежа на фиксна локација</w:t>
      </w:r>
      <w:r w:rsidRPr="002968EC">
        <w:rPr>
          <w:rFonts w:asciiTheme="minorHAnsi" w:hAnsiTheme="minorHAnsi" w:cs="Calibri"/>
          <w:lang w:val="mk-MK"/>
        </w:rPr>
        <w:t xml:space="preserve"> како и услугата за јавно достапните тел</w:t>
      </w:r>
      <w:r w:rsidR="00BB3478">
        <w:rPr>
          <w:rFonts w:asciiTheme="minorHAnsi" w:hAnsiTheme="minorHAnsi" w:cs="Calibri"/>
          <w:lang w:val="mk-MK"/>
        </w:rPr>
        <w:t>е</w:t>
      </w:r>
      <w:r w:rsidRPr="002968EC">
        <w:rPr>
          <w:rFonts w:asciiTheme="minorHAnsi" w:hAnsiTheme="minorHAnsi" w:cs="Calibri"/>
          <w:lang w:val="mk-MK"/>
        </w:rPr>
        <w:t xml:space="preserve">фонски повици претставуваат услуги кои имаат слични карактеристики и гарантиран квалитет.  </w:t>
      </w:r>
    </w:p>
    <w:p w:rsidR="008E6977" w:rsidRPr="002968EC" w:rsidRDefault="00BB3180" w:rsidP="00411D2A">
      <w:pPr>
        <w:pStyle w:val="Default"/>
        <w:spacing w:line="276" w:lineRule="auto"/>
        <w:jc w:val="both"/>
        <w:rPr>
          <w:rFonts w:asciiTheme="minorHAnsi" w:hAnsiTheme="minorHAnsi" w:cs="Calibri"/>
          <w:sz w:val="22"/>
          <w:szCs w:val="22"/>
          <w:lang w:val="mk-MK"/>
        </w:rPr>
      </w:pPr>
      <w:r w:rsidRPr="002968EC">
        <w:rPr>
          <w:rFonts w:asciiTheme="minorHAnsi" w:hAnsiTheme="minorHAnsi" w:cs="Calibri"/>
          <w:sz w:val="22"/>
          <w:szCs w:val="22"/>
          <w:lang w:val="mk-MK"/>
        </w:rPr>
        <w:t xml:space="preserve">Според погоре кажаното, </w:t>
      </w:r>
      <w:r w:rsidR="00473FBB" w:rsidRPr="002968EC">
        <w:rPr>
          <w:rFonts w:asciiTheme="minorHAnsi" w:hAnsiTheme="minorHAnsi" w:cs="Calibri"/>
          <w:sz w:val="22"/>
          <w:szCs w:val="22"/>
          <w:lang w:val="mk-MK"/>
        </w:rPr>
        <w:t>АЕК констатира дека географскиот опфат на овој малопродажен пазар</w:t>
      </w:r>
      <w:r w:rsidR="002A23EB">
        <w:rPr>
          <w:rFonts w:asciiTheme="minorHAnsi" w:hAnsiTheme="minorHAnsi" w:cs="Calibri"/>
          <w:sz w:val="22"/>
          <w:szCs w:val="22"/>
          <w:lang w:val="mk-MK"/>
        </w:rPr>
        <w:t xml:space="preserve"> е целата територија на Република македонија</w:t>
      </w:r>
      <w:r w:rsidR="00473FBB" w:rsidRPr="002968EC">
        <w:rPr>
          <w:rFonts w:asciiTheme="minorHAnsi" w:hAnsiTheme="minorHAnsi" w:cs="Calibri"/>
          <w:sz w:val="22"/>
          <w:szCs w:val="22"/>
          <w:lang w:val="mk-MK"/>
        </w:rPr>
        <w:t>.</w:t>
      </w:r>
    </w:p>
    <w:p w:rsidR="008B73F6" w:rsidRPr="002968EC" w:rsidRDefault="008B73F6" w:rsidP="008B674B">
      <w:pPr>
        <w:pStyle w:val="Default"/>
        <w:spacing w:line="276" w:lineRule="auto"/>
        <w:jc w:val="both"/>
        <w:rPr>
          <w:rFonts w:asciiTheme="minorHAnsi" w:hAnsiTheme="minorHAnsi" w:cs="Calibri"/>
          <w:sz w:val="22"/>
          <w:szCs w:val="22"/>
          <w:lang w:val="mk-MK"/>
        </w:rPr>
      </w:pPr>
    </w:p>
    <w:p w:rsidR="001A6AA1" w:rsidRPr="006E317C" w:rsidRDefault="006E317C" w:rsidP="006E317C">
      <w:pPr>
        <w:pStyle w:val="Heading2"/>
      </w:pPr>
      <w:bookmarkStart w:id="26" w:name="_Toc461617746"/>
      <w:r>
        <w:rPr>
          <w:lang w:val="mk-MK"/>
        </w:rPr>
        <w:t>8</w:t>
      </w:r>
      <w:r w:rsidR="00302B6D" w:rsidRPr="006E317C">
        <w:t>.</w:t>
      </w:r>
      <w:r w:rsidR="00540BF6">
        <w:t>4</w:t>
      </w:r>
      <w:r w:rsidR="00302B6D" w:rsidRPr="006E317C">
        <w:t xml:space="preserve"> </w:t>
      </w:r>
      <w:r w:rsidR="001A6AA1" w:rsidRPr="006E317C">
        <w:t xml:space="preserve">Заклучок од проценката на пазар 1- Пристап до </w:t>
      </w:r>
      <w:r w:rsidR="008A38F9" w:rsidRPr="006E317C">
        <w:t>јавна електронска комуникациска мрежа на фиксна локација</w:t>
      </w:r>
      <w:r w:rsidR="00AB4498" w:rsidRPr="006E317C">
        <w:t xml:space="preserve"> </w:t>
      </w:r>
      <w:r w:rsidR="001A6AA1" w:rsidRPr="006E317C">
        <w:t xml:space="preserve">за резиденцијални </w:t>
      </w:r>
      <w:r w:rsidR="00BF4E5F" w:rsidRPr="006E317C">
        <w:t>и</w:t>
      </w:r>
      <w:r w:rsidR="001A6AA1" w:rsidRPr="006E317C">
        <w:t xml:space="preserve"> деловни крајни корисници</w:t>
      </w:r>
      <w:bookmarkEnd w:id="26"/>
    </w:p>
    <w:p w:rsidR="00A377D4" w:rsidRPr="002968EC" w:rsidRDefault="00A377D4" w:rsidP="00781AEE">
      <w:pPr>
        <w:rPr>
          <w:rFonts w:asciiTheme="minorHAnsi" w:hAnsiTheme="minorHAnsi" w:cs="Calibri"/>
          <w:lang w:val="mk-MK"/>
        </w:rPr>
      </w:pPr>
    </w:p>
    <w:p w:rsidR="00E7623D" w:rsidRPr="002968EC" w:rsidRDefault="00E7623D" w:rsidP="00781AEE">
      <w:pPr>
        <w:rPr>
          <w:rFonts w:asciiTheme="minorHAnsi" w:hAnsiTheme="minorHAnsi" w:cs="Calibri"/>
          <w:lang w:val="mk-MK"/>
        </w:rPr>
      </w:pPr>
      <w:r w:rsidRPr="002968EC">
        <w:rPr>
          <w:rFonts w:asciiTheme="minorHAnsi" w:hAnsiTheme="minorHAnsi" w:cs="Calibri"/>
          <w:lang w:val="mk-MK"/>
        </w:rPr>
        <w:t xml:space="preserve">Врз основа на проценката на супституцијата помеѓу услугата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B0698A" w:rsidRPr="002968EC">
        <w:rPr>
          <w:rFonts w:asciiTheme="minorHAnsi" w:hAnsiTheme="minorHAnsi" w:cs="Calibri"/>
          <w:lang w:val="mk-MK"/>
        </w:rPr>
        <w:t xml:space="preserve"> </w:t>
      </w:r>
      <w:r w:rsidR="002A23EB">
        <w:rPr>
          <w:rFonts w:asciiTheme="minorHAnsi" w:hAnsiTheme="minorHAnsi" w:cs="Calibri"/>
          <w:lang w:val="mk-MK"/>
        </w:rPr>
        <w:t>анализирана на</w:t>
      </w:r>
      <w:r w:rsidRPr="002968EC">
        <w:rPr>
          <w:rFonts w:asciiTheme="minorHAnsi" w:hAnsiTheme="minorHAnsi" w:cs="Calibri"/>
          <w:lang w:val="mk-MK"/>
        </w:rPr>
        <w:t xml:space="preserve"> самостојна основа</w:t>
      </w:r>
      <w:r w:rsidR="00C30062" w:rsidRPr="002968EC">
        <w:rPr>
          <w:rFonts w:asciiTheme="minorHAnsi" w:hAnsiTheme="minorHAnsi" w:cs="Calibri"/>
          <w:lang w:val="mk-MK"/>
        </w:rPr>
        <w:t xml:space="preserve"> или пак поврзана со други услуги во пакет, </w:t>
      </w:r>
      <w:r w:rsidR="007967C2" w:rsidRPr="002968EC">
        <w:rPr>
          <w:rFonts w:asciiTheme="minorHAnsi" w:hAnsiTheme="minorHAnsi" w:cs="Calibri"/>
          <w:lang w:val="mk-MK"/>
        </w:rPr>
        <w:t>АЕК</w:t>
      </w:r>
      <w:r w:rsidR="00C30062" w:rsidRPr="002968EC">
        <w:rPr>
          <w:rFonts w:asciiTheme="minorHAnsi" w:hAnsiTheme="minorHAnsi" w:cs="Calibri"/>
          <w:lang w:val="mk-MK"/>
        </w:rPr>
        <w:t xml:space="preserve"> заклучи дека значителен процент од крајните корисници </w:t>
      </w:r>
      <w:r w:rsidR="00272408" w:rsidRPr="002968EC">
        <w:rPr>
          <w:rFonts w:asciiTheme="minorHAnsi" w:hAnsiTheme="minorHAnsi" w:cs="Calibri"/>
          <w:lang w:val="mk-MK"/>
        </w:rPr>
        <w:t xml:space="preserve">на операторот со значителна пазарна моќ или 40.04% </w:t>
      </w:r>
      <w:r w:rsidR="00C30062" w:rsidRPr="002968EC">
        <w:rPr>
          <w:rFonts w:asciiTheme="minorHAnsi" w:hAnsiTheme="minorHAnsi" w:cs="Calibri"/>
          <w:lang w:val="mk-MK"/>
        </w:rPr>
        <w:t xml:space="preserve">сеуште ја користат услугата пристап на самостојна основа. Според тоа, услугата пристап до </w:t>
      </w:r>
      <w:r w:rsidR="008A38F9" w:rsidRPr="002968EC">
        <w:rPr>
          <w:rFonts w:asciiTheme="minorHAnsi" w:hAnsiTheme="minorHAnsi" w:cs="Calibri"/>
          <w:lang w:val="mk-MK"/>
        </w:rPr>
        <w:t>јавна електронска комуникациска мрежа на фиксна локација</w:t>
      </w:r>
      <w:r w:rsidR="00B0698A" w:rsidRPr="002968EC">
        <w:rPr>
          <w:rFonts w:asciiTheme="minorHAnsi" w:hAnsiTheme="minorHAnsi" w:cs="Calibri"/>
          <w:lang w:val="mk-MK"/>
        </w:rPr>
        <w:t xml:space="preserve"> </w:t>
      </w:r>
      <w:r w:rsidR="00EC732C" w:rsidRPr="002968EC">
        <w:rPr>
          <w:rFonts w:asciiTheme="minorHAnsi" w:hAnsiTheme="minorHAnsi" w:cs="Calibri"/>
          <w:lang w:val="mk-MK"/>
        </w:rPr>
        <w:t xml:space="preserve">на самостојна основа </w:t>
      </w:r>
      <w:r w:rsidR="00A52638" w:rsidRPr="002968EC">
        <w:rPr>
          <w:rFonts w:asciiTheme="minorHAnsi" w:hAnsiTheme="minorHAnsi" w:cs="Calibri"/>
          <w:lang w:val="mk-MK"/>
        </w:rPr>
        <w:t xml:space="preserve">за обезбедување на фиксни говорни услуги е дел од дефиницијата на овој пазар, додека дополнителните услуги кои што можат да се обезбедат преку услугата за пристап не претставуваат дел од овој релевантен пазар. </w:t>
      </w:r>
    </w:p>
    <w:p w:rsidR="001A6AA1" w:rsidRPr="002968EC" w:rsidRDefault="001A6AA1" w:rsidP="00781AEE">
      <w:pPr>
        <w:rPr>
          <w:rFonts w:asciiTheme="minorHAnsi" w:hAnsiTheme="minorHAnsi" w:cs="Calibri"/>
          <w:lang w:val="mk-MK"/>
        </w:rPr>
      </w:pPr>
      <w:r w:rsidRPr="002968EC">
        <w:rPr>
          <w:rFonts w:asciiTheme="minorHAnsi" w:hAnsiTheme="minorHAnsi" w:cs="Calibri"/>
          <w:lang w:val="mk-MK"/>
        </w:rPr>
        <w:t xml:space="preserve">Врз основа на направените проценки, </w:t>
      </w:r>
      <w:r w:rsidR="007967C2" w:rsidRPr="002968EC">
        <w:rPr>
          <w:rFonts w:asciiTheme="minorHAnsi" w:hAnsiTheme="minorHAnsi" w:cs="Calibri"/>
          <w:lang w:val="mk-MK"/>
        </w:rPr>
        <w:t>АЕК</w:t>
      </w:r>
      <w:r w:rsidRPr="002968EC">
        <w:rPr>
          <w:rFonts w:asciiTheme="minorHAnsi" w:hAnsiTheme="minorHAnsi" w:cs="Calibri"/>
          <w:lang w:val="mk-MK"/>
        </w:rPr>
        <w:t xml:space="preserve"> заклучи дека услугите за пристап до </w:t>
      </w:r>
      <w:r w:rsidR="008A38F9" w:rsidRPr="002968EC">
        <w:rPr>
          <w:rFonts w:asciiTheme="minorHAnsi" w:hAnsiTheme="minorHAnsi" w:cs="Calibri"/>
          <w:lang w:val="mk-MK"/>
        </w:rPr>
        <w:t>јавна електронска комуникациска мрежа на фиксна локација</w:t>
      </w:r>
      <w:r w:rsidR="00834616" w:rsidRPr="002968EC">
        <w:rPr>
          <w:rFonts w:asciiTheme="minorHAnsi" w:hAnsiTheme="minorHAnsi" w:cs="Calibri"/>
          <w:lang w:val="mk-MK"/>
        </w:rPr>
        <w:t xml:space="preserve"> </w:t>
      </w:r>
      <w:r w:rsidRPr="002968EC">
        <w:rPr>
          <w:rFonts w:asciiTheme="minorHAnsi" w:hAnsiTheme="minorHAnsi" w:cs="Calibri"/>
          <w:lang w:val="mk-MK"/>
        </w:rPr>
        <w:t xml:space="preserve">и услугите за јавно достапни </w:t>
      </w:r>
      <w:r w:rsidRPr="002968EC">
        <w:rPr>
          <w:rFonts w:asciiTheme="minorHAnsi" w:hAnsiTheme="minorHAnsi" w:cs="Calibri"/>
          <w:lang w:val="mk-MK"/>
        </w:rPr>
        <w:lastRenderedPageBreak/>
        <w:t xml:space="preserve">телефонски услуги на фиксна локација не се обезбедуваат во ист релевантен пазар. Тие се меѓусебно комплементарни и не претставуваат супститути. </w:t>
      </w:r>
    </w:p>
    <w:p w:rsidR="00B91283" w:rsidRPr="002968EC" w:rsidRDefault="007967C2" w:rsidP="00781AEE">
      <w:pPr>
        <w:rPr>
          <w:rFonts w:asciiTheme="minorHAnsi" w:hAnsiTheme="minorHAnsi" w:cs="Calibri"/>
          <w:lang w:val="mk-MK"/>
        </w:rPr>
      </w:pPr>
      <w:r w:rsidRPr="002968EC">
        <w:rPr>
          <w:rFonts w:asciiTheme="minorHAnsi" w:hAnsiTheme="minorHAnsi" w:cs="Calibri"/>
          <w:lang w:val="mk-MK"/>
        </w:rPr>
        <w:t>АЕК</w:t>
      </w:r>
      <w:r w:rsidR="008A3D44" w:rsidRPr="002968EC">
        <w:rPr>
          <w:rFonts w:asciiTheme="minorHAnsi" w:hAnsiTheme="minorHAnsi" w:cs="Calibri"/>
          <w:lang w:val="mk-MK"/>
        </w:rPr>
        <w:t xml:space="preserve"> заклучи дека услуга</w:t>
      </w:r>
      <w:r w:rsidR="002A23EB">
        <w:rPr>
          <w:rFonts w:asciiTheme="minorHAnsi" w:hAnsiTheme="minorHAnsi" w:cs="Calibri"/>
          <w:lang w:val="mk-MK"/>
        </w:rPr>
        <w:t>та широкопојасен</w:t>
      </w:r>
      <w:r w:rsidR="001A5ABA" w:rsidRPr="002968EC">
        <w:rPr>
          <w:rFonts w:asciiTheme="minorHAnsi" w:hAnsiTheme="minorHAnsi" w:cs="Calibri"/>
          <w:lang w:val="mk-MK"/>
        </w:rPr>
        <w:t xml:space="preserve"> пристап до мрежа за обезбедување на управуван</w:t>
      </w:r>
      <w:r w:rsidR="00236FBE" w:rsidRPr="002968EC">
        <w:rPr>
          <w:rFonts w:asciiTheme="minorHAnsi" w:hAnsiTheme="minorHAnsi" w:cs="Calibri"/>
          <w:lang w:val="mk-MK"/>
        </w:rPr>
        <w:t>и</w:t>
      </w:r>
      <w:r w:rsidR="001A5ABA" w:rsidRPr="002968EC">
        <w:rPr>
          <w:rFonts w:asciiTheme="minorHAnsi" w:hAnsiTheme="minorHAnsi" w:cs="Calibri"/>
          <w:lang w:val="mk-MK"/>
        </w:rPr>
        <w:t xml:space="preserve"> ВОИП</w:t>
      </w:r>
      <w:r w:rsidR="00236FBE" w:rsidRPr="002968EC">
        <w:rPr>
          <w:rFonts w:asciiTheme="minorHAnsi" w:hAnsiTheme="minorHAnsi" w:cs="Calibri"/>
          <w:lang w:val="mk-MK"/>
        </w:rPr>
        <w:t xml:space="preserve"> услуги</w:t>
      </w:r>
      <w:r w:rsidR="001A5ABA" w:rsidRPr="002968EC">
        <w:rPr>
          <w:rFonts w:asciiTheme="minorHAnsi" w:hAnsiTheme="minorHAnsi" w:cs="Calibri"/>
          <w:lang w:val="mk-MK"/>
        </w:rPr>
        <w:t xml:space="preserve"> е дел од истиот пазар како и </w:t>
      </w:r>
      <w:r w:rsidR="00B91283" w:rsidRPr="002968EC">
        <w:rPr>
          <w:rFonts w:asciiTheme="minorHAnsi" w:hAnsiTheme="minorHAnsi" w:cs="Calibri"/>
          <w:lang w:val="mk-MK"/>
        </w:rPr>
        <w:t xml:space="preserve">услугите кои се обезбедуваат преку </w:t>
      </w:r>
      <w:r w:rsidR="001A5ABA" w:rsidRPr="002968EC">
        <w:rPr>
          <w:rFonts w:asciiTheme="minorHAnsi" w:hAnsiTheme="minorHAnsi" w:cs="Calibri"/>
          <w:lang w:val="mk-MK"/>
        </w:rPr>
        <w:t>теснопојасниот пристап до мрежа</w:t>
      </w:r>
      <w:r w:rsidR="00B91283" w:rsidRPr="002968EC">
        <w:rPr>
          <w:rFonts w:asciiTheme="minorHAnsi" w:hAnsiTheme="minorHAnsi" w:cs="Calibri"/>
          <w:lang w:val="mk-MK"/>
        </w:rPr>
        <w:t>.</w:t>
      </w:r>
    </w:p>
    <w:p w:rsidR="00236FBE" w:rsidRPr="002968EC" w:rsidRDefault="00911833" w:rsidP="00781AEE">
      <w:pPr>
        <w:rPr>
          <w:rFonts w:asciiTheme="minorHAnsi" w:hAnsiTheme="minorHAnsi" w:cs="Calibri"/>
          <w:lang w:val="mk-MK"/>
        </w:rPr>
      </w:pPr>
      <w:r w:rsidRPr="002968EC">
        <w:rPr>
          <w:rFonts w:asciiTheme="minorHAnsi" w:hAnsiTheme="minorHAnsi" w:cs="Calibri"/>
          <w:lang w:val="mk-MK"/>
        </w:rPr>
        <w:t>У</w:t>
      </w:r>
      <w:r w:rsidR="00236FBE" w:rsidRPr="002968EC">
        <w:rPr>
          <w:rFonts w:asciiTheme="minorHAnsi" w:hAnsiTheme="minorHAnsi" w:cs="Calibri"/>
          <w:lang w:val="mk-MK"/>
        </w:rPr>
        <w:t xml:space="preserve">слугите за пристап до јавна мобилна комуникациска мрежа не се дел од </w:t>
      </w:r>
      <w:r w:rsidRPr="002968EC">
        <w:rPr>
          <w:rFonts w:asciiTheme="minorHAnsi" w:hAnsiTheme="minorHAnsi" w:cs="Calibri"/>
          <w:lang w:val="mk-MK"/>
        </w:rPr>
        <w:t xml:space="preserve">овој </w:t>
      </w:r>
      <w:r w:rsidR="00236FBE" w:rsidRPr="002968EC">
        <w:rPr>
          <w:rFonts w:asciiTheme="minorHAnsi" w:hAnsiTheme="minorHAnsi" w:cs="Calibri"/>
          <w:lang w:val="mk-MK"/>
        </w:rPr>
        <w:t>релевантен пазар.</w:t>
      </w:r>
    </w:p>
    <w:p w:rsidR="001A6AA1" w:rsidRPr="002968EC" w:rsidRDefault="001A6AA1" w:rsidP="00781AEE">
      <w:pPr>
        <w:rPr>
          <w:rFonts w:asciiTheme="minorHAnsi" w:hAnsiTheme="minorHAnsi" w:cs="Calibri"/>
          <w:lang w:val="mk-MK"/>
        </w:rPr>
      </w:pPr>
      <w:r w:rsidRPr="002968EC">
        <w:rPr>
          <w:rFonts w:asciiTheme="minorHAnsi" w:hAnsiTheme="minorHAnsi" w:cs="Calibri"/>
          <w:lang w:val="mk-MK"/>
        </w:rPr>
        <w:t xml:space="preserve">Врз основа на направените проценки, </w:t>
      </w:r>
      <w:r w:rsidR="007967C2" w:rsidRPr="002968EC">
        <w:rPr>
          <w:rFonts w:asciiTheme="minorHAnsi" w:hAnsiTheme="minorHAnsi" w:cs="Calibri"/>
          <w:lang w:val="mk-MK"/>
        </w:rPr>
        <w:t>АЕК</w:t>
      </w:r>
      <w:r w:rsidRPr="002968EC">
        <w:rPr>
          <w:rFonts w:asciiTheme="minorHAnsi" w:hAnsiTheme="minorHAnsi" w:cs="Calibri"/>
          <w:lang w:val="mk-MK"/>
        </w:rPr>
        <w:t xml:space="preserve"> заклуч</w:t>
      </w:r>
      <w:r w:rsidR="000262D9" w:rsidRPr="002968EC">
        <w:rPr>
          <w:rFonts w:asciiTheme="minorHAnsi" w:hAnsiTheme="minorHAnsi" w:cs="Calibri"/>
          <w:lang w:val="mk-MK"/>
        </w:rPr>
        <w:t>ува</w:t>
      </w:r>
      <w:r w:rsidRPr="002968EC">
        <w:rPr>
          <w:rFonts w:asciiTheme="minorHAnsi" w:hAnsiTheme="minorHAnsi" w:cs="Calibri"/>
          <w:lang w:val="mk-MK"/>
        </w:rPr>
        <w:t xml:space="preserve"> дека</w:t>
      </w:r>
      <w:r w:rsidR="000262D9" w:rsidRPr="002968EC">
        <w:rPr>
          <w:rFonts w:asciiTheme="minorHAnsi" w:hAnsiTheme="minorHAnsi" w:cs="Calibri"/>
          <w:lang w:val="mk-MK"/>
        </w:rPr>
        <w:t xml:space="preserve"> и понатаму</w:t>
      </w:r>
      <w:r w:rsidRPr="002968EC">
        <w:rPr>
          <w:rFonts w:asciiTheme="minorHAnsi" w:hAnsiTheme="minorHAnsi" w:cs="Calibri"/>
          <w:lang w:val="mk-MK"/>
        </w:rPr>
        <w:t xml:space="preserve"> услугата за пристап за резиденцијални корисници и пристап за деловни крајни корисници се обезбедуваат на ист релевантен пазар.</w:t>
      </w:r>
    </w:p>
    <w:p w:rsidR="00494F2F" w:rsidRPr="002968EC" w:rsidRDefault="001A6AA1" w:rsidP="00781AEE">
      <w:pPr>
        <w:rPr>
          <w:rFonts w:asciiTheme="minorHAnsi" w:hAnsiTheme="minorHAnsi" w:cs="Calibri"/>
          <w:lang w:val="mk-MK"/>
        </w:rPr>
      </w:pPr>
      <w:r w:rsidRPr="002968EC">
        <w:rPr>
          <w:rFonts w:asciiTheme="minorHAnsi" w:hAnsiTheme="minorHAnsi" w:cs="Calibri"/>
          <w:lang w:val="mk-MK"/>
        </w:rPr>
        <w:t>Врз основа на направените проценки</w:t>
      </w:r>
      <w:r w:rsidR="00494F2F" w:rsidRPr="002968EC">
        <w:rPr>
          <w:rFonts w:asciiTheme="minorHAnsi" w:hAnsiTheme="minorHAnsi" w:cs="Calibri"/>
          <w:lang w:val="mk-MK"/>
        </w:rPr>
        <w:t xml:space="preserve"> за супституција помеѓу услугите на малопродажно ниво</w:t>
      </w:r>
      <w:r w:rsidRPr="002968EC">
        <w:rPr>
          <w:rFonts w:asciiTheme="minorHAnsi" w:hAnsiTheme="minorHAnsi" w:cs="Calibri"/>
          <w:lang w:val="mk-MK"/>
        </w:rPr>
        <w:t xml:space="preserve">, </w:t>
      </w:r>
      <w:r w:rsidR="007967C2" w:rsidRPr="002968EC">
        <w:rPr>
          <w:rFonts w:asciiTheme="minorHAnsi" w:hAnsiTheme="minorHAnsi" w:cs="Calibri"/>
          <w:lang w:val="mk-MK"/>
        </w:rPr>
        <w:t>АЕК</w:t>
      </w:r>
      <w:r w:rsidRPr="002968EC">
        <w:rPr>
          <w:rFonts w:asciiTheme="minorHAnsi" w:hAnsiTheme="minorHAnsi" w:cs="Calibri"/>
          <w:lang w:val="mk-MK"/>
        </w:rPr>
        <w:t xml:space="preserve"> </w:t>
      </w:r>
      <w:r w:rsidR="00494F2F" w:rsidRPr="002968EC">
        <w:rPr>
          <w:rFonts w:asciiTheme="minorHAnsi" w:hAnsiTheme="minorHAnsi" w:cs="Calibri"/>
          <w:lang w:val="mk-MK"/>
        </w:rPr>
        <w:t>заклучи дека дефиницијата на овој релевантен пазар за пристап ги содржи следните услуги:</w:t>
      </w:r>
    </w:p>
    <w:p w:rsidR="001E65F7" w:rsidRPr="002968EC" w:rsidRDefault="00FC2229" w:rsidP="00962835">
      <w:pPr>
        <w:pStyle w:val="ListParagraph"/>
        <w:numPr>
          <w:ilvl w:val="0"/>
          <w:numId w:val="4"/>
        </w:numPr>
        <w:rPr>
          <w:rFonts w:asciiTheme="minorHAnsi" w:hAnsiTheme="minorHAnsi" w:cs="Calibri"/>
        </w:rPr>
      </w:pPr>
      <w:r w:rsidRPr="002968EC">
        <w:rPr>
          <w:rFonts w:asciiTheme="minorHAnsi" w:hAnsiTheme="minorHAnsi" w:cs="Calibri"/>
          <w:lang w:val="mk-MK"/>
        </w:rPr>
        <w:t xml:space="preserve">пристап </w:t>
      </w:r>
      <w:r w:rsidR="00147E8B" w:rsidRPr="002968EC">
        <w:rPr>
          <w:rFonts w:asciiTheme="minorHAnsi" w:hAnsiTheme="minorHAnsi" w:cs="Calibri"/>
          <w:lang w:val="mk-MK"/>
        </w:rPr>
        <w:t>до</w:t>
      </w:r>
      <w:r w:rsidRPr="002968EC">
        <w:rPr>
          <w:rFonts w:asciiTheme="minorHAnsi" w:hAnsiTheme="minorHAnsi" w:cs="Calibri"/>
          <w:lang w:val="mk-MK"/>
        </w:rPr>
        <w:t xml:space="preserve"> управувана ВОИП </w:t>
      </w:r>
      <w:r w:rsidR="00147E8B" w:rsidRPr="002968EC">
        <w:rPr>
          <w:rFonts w:asciiTheme="minorHAnsi" w:hAnsiTheme="minorHAnsi" w:cs="Calibri"/>
          <w:lang w:val="mk-MK"/>
        </w:rPr>
        <w:t xml:space="preserve">услуга преку </w:t>
      </w:r>
      <w:r w:rsidRPr="002968EC">
        <w:rPr>
          <w:rFonts w:asciiTheme="minorHAnsi" w:hAnsiTheme="minorHAnsi" w:cs="Calibri"/>
          <w:lang w:val="mk-MK"/>
        </w:rPr>
        <w:t xml:space="preserve">широкопојасна </w:t>
      </w:r>
      <w:r w:rsidR="00A83360" w:rsidRPr="002968EC">
        <w:rPr>
          <w:rFonts w:asciiTheme="minorHAnsi" w:hAnsiTheme="minorHAnsi" w:cs="Calibri"/>
          <w:lang w:val="mk-MK"/>
        </w:rPr>
        <w:t>D</w:t>
      </w:r>
      <w:r w:rsidR="00A83360" w:rsidRPr="002968EC">
        <w:rPr>
          <w:rFonts w:asciiTheme="minorHAnsi" w:hAnsiTheme="minorHAnsi" w:cs="Calibri"/>
        </w:rPr>
        <w:t xml:space="preserve">SL </w:t>
      </w:r>
      <w:r w:rsidRPr="002968EC">
        <w:rPr>
          <w:rFonts w:asciiTheme="minorHAnsi" w:hAnsiTheme="minorHAnsi" w:cs="Calibri"/>
          <w:lang w:val="mk-MK"/>
        </w:rPr>
        <w:t>конекција</w:t>
      </w:r>
      <w:r w:rsidR="00A83360" w:rsidRPr="002968EC">
        <w:rPr>
          <w:rFonts w:asciiTheme="minorHAnsi" w:hAnsiTheme="minorHAnsi" w:cs="Calibri"/>
          <w:lang w:val="mk-MK"/>
        </w:rPr>
        <w:t>,</w:t>
      </w:r>
      <w:r w:rsidR="00147E8B" w:rsidRPr="002968EC">
        <w:rPr>
          <w:rFonts w:asciiTheme="minorHAnsi" w:hAnsiTheme="minorHAnsi" w:cs="Calibri"/>
          <w:lang w:val="mk-MK"/>
        </w:rPr>
        <w:t xml:space="preserve"> </w:t>
      </w:r>
      <w:r w:rsidRPr="002968EC">
        <w:rPr>
          <w:rFonts w:asciiTheme="minorHAnsi" w:hAnsiTheme="minorHAnsi" w:cs="Calibri"/>
          <w:lang w:val="mk-MK"/>
        </w:rPr>
        <w:t>кабел, опти</w:t>
      </w:r>
      <w:r w:rsidR="00147E8B" w:rsidRPr="002968EC">
        <w:rPr>
          <w:rFonts w:asciiTheme="minorHAnsi" w:hAnsiTheme="minorHAnsi" w:cs="Calibri"/>
          <w:lang w:val="mk-MK"/>
        </w:rPr>
        <w:t>ка</w:t>
      </w:r>
      <w:r w:rsidRPr="002968EC">
        <w:rPr>
          <w:rFonts w:asciiTheme="minorHAnsi" w:hAnsiTheme="minorHAnsi" w:cs="Calibri"/>
          <w:lang w:val="mk-MK"/>
        </w:rPr>
        <w:t xml:space="preserve">, </w:t>
      </w:r>
    </w:p>
    <w:p w:rsidR="001E65F7" w:rsidRPr="002968EC" w:rsidRDefault="00E967AD" w:rsidP="00962835">
      <w:pPr>
        <w:pStyle w:val="ListParagraph"/>
        <w:numPr>
          <w:ilvl w:val="0"/>
          <w:numId w:val="4"/>
        </w:numPr>
        <w:rPr>
          <w:rFonts w:asciiTheme="minorHAnsi" w:hAnsiTheme="minorHAnsi" w:cs="Calibri"/>
        </w:rPr>
      </w:pPr>
      <w:r w:rsidRPr="002968EC">
        <w:rPr>
          <w:rFonts w:asciiTheme="minorHAnsi" w:hAnsiTheme="minorHAnsi" w:cs="Calibri"/>
          <w:lang w:val="mk-MK"/>
        </w:rPr>
        <w:t>ф</w:t>
      </w:r>
      <w:r w:rsidRPr="002968EC">
        <w:rPr>
          <w:rFonts w:asciiTheme="minorHAnsi" w:hAnsiTheme="minorHAnsi" w:cs="Calibri"/>
        </w:rPr>
        <w:t>иксен безжичен пристап (FWA</w:t>
      </w:r>
      <w:r w:rsidR="000F45C0" w:rsidRPr="002968EC">
        <w:rPr>
          <w:rFonts w:asciiTheme="minorHAnsi" w:hAnsiTheme="minorHAnsi" w:cs="Calibri"/>
          <w:lang w:val="mk-MK"/>
        </w:rPr>
        <w:t xml:space="preserve"> – со користење на </w:t>
      </w:r>
      <w:r w:rsidR="000F45C0" w:rsidRPr="002968EC">
        <w:rPr>
          <w:rFonts w:asciiTheme="minorHAnsi" w:hAnsiTheme="minorHAnsi" w:cs="Calibri"/>
        </w:rPr>
        <w:t>Wi Fi</w:t>
      </w:r>
      <w:r w:rsidR="000F45C0" w:rsidRPr="002968EC">
        <w:rPr>
          <w:rFonts w:asciiTheme="minorHAnsi" w:hAnsiTheme="minorHAnsi" w:cs="Calibri"/>
          <w:lang w:val="mk-MK"/>
        </w:rPr>
        <w:t xml:space="preserve"> и</w:t>
      </w:r>
      <w:r w:rsidR="000F45C0" w:rsidRPr="002968EC">
        <w:rPr>
          <w:rFonts w:asciiTheme="minorHAnsi" w:hAnsiTheme="minorHAnsi" w:cs="Calibri"/>
        </w:rPr>
        <w:t xml:space="preserve"> WiMax</w:t>
      </w:r>
      <w:r w:rsidR="000F45C0" w:rsidRPr="002968EC">
        <w:rPr>
          <w:rFonts w:asciiTheme="minorHAnsi" w:hAnsiTheme="minorHAnsi" w:cs="Calibri"/>
          <w:lang w:val="mk-MK"/>
        </w:rPr>
        <w:t xml:space="preserve"> технологија</w:t>
      </w:r>
      <w:r w:rsidRPr="002968EC">
        <w:rPr>
          <w:rFonts w:asciiTheme="minorHAnsi" w:hAnsiTheme="minorHAnsi" w:cs="Calibri"/>
        </w:rPr>
        <w:t xml:space="preserve">), </w:t>
      </w:r>
    </w:p>
    <w:p w:rsidR="00E967AD" w:rsidRPr="002968EC" w:rsidRDefault="00E967AD" w:rsidP="00962835">
      <w:pPr>
        <w:pStyle w:val="ListParagraph"/>
        <w:numPr>
          <w:ilvl w:val="0"/>
          <w:numId w:val="4"/>
        </w:numPr>
        <w:rPr>
          <w:rFonts w:asciiTheme="minorHAnsi" w:hAnsiTheme="minorHAnsi" w:cs="Calibri"/>
        </w:rPr>
      </w:pPr>
      <w:r w:rsidRPr="002968EC">
        <w:rPr>
          <w:rFonts w:asciiTheme="minorHAnsi" w:hAnsiTheme="minorHAnsi" w:cs="Calibri"/>
        </w:rPr>
        <w:t>пристап до мрежа адаптирана за обезбедување услуги на фиксна локација (f</w:t>
      </w:r>
      <w:r w:rsidR="00FC2229" w:rsidRPr="002968EC">
        <w:rPr>
          <w:rFonts w:asciiTheme="minorHAnsi" w:hAnsiTheme="minorHAnsi" w:cs="Calibri"/>
        </w:rPr>
        <w:t>ixed GSM)</w:t>
      </w:r>
      <w:r w:rsidRPr="002968EC">
        <w:rPr>
          <w:rFonts w:asciiTheme="minorHAnsi" w:hAnsiTheme="minorHAnsi" w:cs="Calibri"/>
        </w:rPr>
        <w:t xml:space="preserve">; </w:t>
      </w:r>
    </w:p>
    <w:p w:rsidR="00E967AD" w:rsidRPr="002968EC" w:rsidRDefault="00E967AD" w:rsidP="00781AEE">
      <w:pPr>
        <w:rPr>
          <w:rFonts w:asciiTheme="minorHAnsi" w:hAnsiTheme="minorHAnsi" w:cs="Calibri"/>
          <w:lang w:val="mk-MK"/>
        </w:rPr>
      </w:pPr>
      <w:r w:rsidRPr="002968EC">
        <w:rPr>
          <w:rFonts w:asciiTheme="minorHAnsi" w:hAnsiTheme="minorHAnsi" w:cs="Calibri"/>
        </w:rPr>
        <w:t xml:space="preserve">Врз основа на направените проценки, </w:t>
      </w:r>
      <w:r w:rsidR="007967C2" w:rsidRPr="002968EC">
        <w:rPr>
          <w:rFonts w:asciiTheme="minorHAnsi" w:hAnsiTheme="minorHAnsi" w:cs="Calibri"/>
          <w:lang w:val="mk-MK"/>
        </w:rPr>
        <w:t>АЕК</w:t>
      </w:r>
      <w:r w:rsidR="00F146A3" w:rsidRPr="002968EC">
        <w:rPr>
          <w:rFonts w:asciiTheme="minorHAnsi" w:hAnsiTheme="minorHAnsi" w:cs="Calibri"/>
          <w:lang w:val="mk-MK"/>
        </w:rPr>
        <w:t xml:space="preserve"> </w:t>
      </w:r>
      <w:r w:rsidRPr="002968EC">
        <w:rPr>
          <w:rFonts w:asciiTheme="minorHAnsi" w:hAnsiTheme="minorHAnsi" w:cs="Calibri"/>
        </w:rPr>
        <w:t xml:space="preserve"> заклучи дека релевантен географски пазар за пазарот за пристап, предмет на оваа анализа е територијата на Република Македонија. </w:t>
      </w:r>
    </w:p>
    <w:p w:rsidR="0079552E" w:rsidRPr="002968EC" w:rsidRDefault="00654AB0" w:rsidP="00781AEE">
      <w:pPr>
        <w:rPr>
          <w:rFonts w:asciiTheme="minorHAnsi" w:hAnsiTheme="minorHAnsi" w:cs="Calibri"/>
          <w:lang w:val="mk-MK"/>
        </w:rPr>
      </w:pPr>
      <w:r w:rsidRPr="002968EC">
        <w:rPr>
          <w:rFonts w:asciiTheme="minorHAnsi" w:hAnsiTheme="minorHAnsi" w:cs="Calibri"/>
          <w:lang w:val="mk-MK"/>
        </w:rPr>
        <w:t>Релевантниот</w:t>
      </w:r>
      <w:r w:rsidR="00E967AD" w:rsidRPr="002968EC">
        <w:rPr>
          <w:rFonts w:asciiTheme="minorHAnsi" w:hAnsiTheme="minorHAnsi" w:cs="Calibri"/>
          <w:lang w:val="mk-MK"/>
        </w:rPr>
        <w:t xml:space="preserve"> пазар</w:t>
      </w:r>
      <w:r w:rsidRPr="002968EC">
        <w:rPr>
          <w:rFonts w:asciiTheme="minorHAnsi" w:hAnsiTheme="minorHAnsi" w:cs="Calibri"/>
          <w:lang w:val="mk-MK"/>
        </w:rPr>
        <w:t xml:space="preserve"> за </w:t>
      </w:r>
      <w:r w:rsidR="00E85A52" w:rsidRPr="002968EC">
        <w:rPr>
          <w:rFonts w:asciiTheme="minorHAnsi" w:hAnsiTheme="minorHAnsi" w:cs="Calibri"/>
          <w:b/>
          <w:lang w:val="mk-MK"/>
        </w:rPr>
        <w:t xml:space="preserve">Пристап до </w:t>
      </w:r>
      <w:r w:rsidR="008A38F9" w:rsidRPr="002968EC">
        <w:rPr>
          <w:rFonts w:asciiTheme="minorHAnsi" w:hAnsiTheme="minorHAnsi" w:cs="Calibri"/>
          <w:b/>
          <w:lang w:val="mk-MK"/>
        </w:rPr>
        <w:t>јавна електронска комуникациска мрежа на фиксна локација</w:t>
      </w:r>
      <w:r w:rsidR="00E85A52" w:rsidRPr="002968EC">
        <w:rPr>
          <w:rFonts w:asciiTheme="minorHAnsi" w:hAnsiTheme="minorHAnsi" w:cs="Calibri"/>
          <w:b/>
          <w:lang w:val="mk-MK"/>
        </w:rPr>
        <w:t xml:space="preserve"> за резиденцијални и деловни корисници</w:t>
      </w:r>
      <w:r w:rsidRPr="002968EC">
        <w:rPr>
          <w:rFonts w:asciiTheme="minorHAnsi" w:hAnsiTheme="minorHAnsi" w:cs="Calibri"/>
          <w:lang w:val="mk-MK"/>
        </w:rPr>
        <w:t>,</w:t>
      </w:r>
      <w:r w:rsidR="00E967AD" w:rsidRPr="002968EC">
        <w:rPr>
          <w:rFonts w:asciiTheme="minorHAnsi" w:hAnsiTheme="minorHAnsi" w:cs="Calibri"/>
          <w:lang w:val="mk-MK"/>
        </w:rPr>
        <w:t xml:space="preserve"> вклучува секаков облик на поврзување до електронска комуникациска мрежа која овозможува пристап до </w:t>
      </w:r>
      <w:r w:rsidR="008A38F9" w:rsidRPr="002968EC">
        <w:rPr>
          <w:rFonts w:asciiTheme="minorHAnsi" w:hAnsiTheme="minorHAnsi" w:cs="Calibri"/>
          <w:lang w:val="mk-MK"/>
        </w:rPr>
        <w:t>јавна електронска комуникациска мрежа на фиксна локација</w:t>
      </w:r>
      <w:r w:rsidR="00834616" w:rsidRPr="002968EC">
        <w:rPr>
          <w:rFonts w:asciiTheme="minorHAnsi" w:hAnsiTheme="minorHAnsi" w:cs="Calibri"/>
          <w:lang w:val="mk-MK"/>
        </w:rPr>
        <w:t xml:space="preserve"> </w:t>
      </w:r>
      <w:r w:rsidR="00E967AD" w:rsidRPr="002968EC">
        <w:rPr>
          <w:rFonts w:asciiTheme="minorHAnsi" w:hAnsiTheme="minorHAnsi" w:cs="Calibri"/>
          <w:lang w:val="mk-MK"/>
        </w:rPr>
        <w:t xml:space="preserve">за резиденцијални и деловни корисници, независно од физичката инфраструктура или технологијата која се користи. Всушност, </w:t>
      </w:r>
      <w:r w:rsidR="007967C2" w:rsidRPr="002968EC">
        <w:rPr>
          <w:rFonts w:asciiTheme="minorHAnsi" w:hAnsiTheme="minorHAnsi" w:cs="Calibri"/>
          <w:lang w:val="mk-MK"/>
        </w:rPr>
        <w:t>АЕК</w:t>
      </w:r>
      <w:r w:rsidR="00E967AD" w:rsidRPr="002968EC">
        <w:rPr>
          <w:rFonts w:asciiTheme="minorHAnsi" w:hAnsiTheme="minorHAnsi" w:cs="Calibri"/>
          <w:lang w:val="mk-MK"/>
        </w:rPr>
        <w:t xml:space="preserve"> го зема во предвид поврзувањето до мрежа односно пристап до </w:t>
      </w:r>
      <w:r w:rsidR="008A38F9" w:rsidRPr="002968EC">
        <w:rPr>
          <w:rFonts w:asciiTheme="minorHAnsi" w:hAnsiTheme="minorHAnsi" w:cs="Calibri"/>
          <w:lang w:val="mk-MK"/>
        </w:rPr>
        <w:t>јавна електронска комуникациска мрежа на фиксна локација</w:t>
      </w:r>
      <w:r w:rsidR="00834616" w:rsidRPr="002968EC">
        <w:rPr>
          <w:rFonts w:asciiTheme="minorHAnsi" w:hAnsiTheme="minorHAnsi" w:cs="Calibri"/>
          <w:lang w:val="mk-MK"/>
        </w:rPr>
        <w:t xml:space="preserve"> </w:t>
      </w:r>
      <w:r w:rsidR="00E967AD" w:rsidRPr="002968EC">
        <w:rPr>
          <w:rFonts w:asciiTheme="minorHAnsi" w:hAnsiTheme="minorHAnsi" w:cs="Calibri"/>
          <w:lang w:val="mk-MK"/>
        </w:rPr>
        <w:t xml:space="preserve">која му овозможува на крајниот корисник да иницира и/или прима локални, национални, меѓународни јавно достапни телефонски услуги, да иницира и/или прима факс и други поврзани услуги за резиденцијални и деловни корисници. Пристапот може да се обезбедува на повеќе начини имајќи го во предвид операторот кој ја обезбедува услугата и технологијата која се користи за обезбедување на истата. Ова значи дека овој релевантен пазар не е лимитиран на пристап на традиционална пристапна мрежа содржана од бакарни парици, туку исто така го вклучува и пристапот до јавна </w:t>
      </w:r>
      <w:r w:rsidR="00CF262E" w:rsidRPr="002968EC">
        <w:rPr>
          <w:rFonts w:asciiTheme="minorHAnsi" w:hAnsiTheme="minorHAnsi" w:cs="Calibri"/>
          <w:lang w:val="mk-MK"/>
        </w:rPr>
        <w:t xml:space="preserve">електронска комуникациска </w:t>
      </w:r>
      <w:r w:rsidR="00E967AD" w:rsidRPr="002968EC">
        <w:rPr>
          <w:rFonts w:asciiTheme="minorHAnsi" w:hAnsiTheme="minorHAnsi" w:cs="Calibri"/>
          <w:lang w:val="mk-MK"/>
        </w:rPr>
        <w:t>мрежа овозможен преку други видови на мрежи кои овозможуваат пристап на фиксна локација (вклучувајќи кабелски ТВ мрежи,</w:t>
      </w:r>
      <w:r w:rsidR="00B526B4" w:rsidRPr="002968EC">
        <w:rPr>
          <w:rFonts w:asciiTheme="minorHAnsi" w:hAnsiTheme="minorHAnsi" w:cs="Calibri"/>
          <w:lang w:val="mk-MK"/>
        </w:rPr>
        <w:t xml:space="preserve"> оптички мрежи,</w:t>
      </w:r>
      <w:r w:rsidR="00E967AD" w:rsidRPr="002968EC">
        <w:rPr>
          <w:rFonts w:asciiTheme="minorHAnsi" w:hAnsiTheme="minorHAnsi" w:cs="Calibri"/>
          <w:lang w:val="mk-MK"/>
        </w:rPr>
        <w:t xml:space="preserve"> мобилни мрежи адаптирани да обезбедуваат услуги на фиксна локација и безжични мрежи).</w:t>
      </w:r>
    </w:p>
    <w:p w:rsidR="00061149" w:rsidRPr="002968EC" w:rsidRDefault="00061149" w:rsidP="00061149">
      <w:pPr>
        <w:rPr>
          <w:rFonts w:asciiTheme="minorHAnsi" w:hAnsiTheme="minorHAnsi" w:cs="Calibri"/>
          <w:b/>
          <w:lang w:val="mk-MK"/>
        </w:rPr>
      </w:pPr>
    </w:p>
    <w:p w:rsidR="00062635" w:rsidRPr="0071751C" w:rsidRDefault="00F7097B" w:rsidP="006E317C">
      <w:pPr>
        <w:pStyle w:val="Heading1"/>
        <w:rPr>
          <w:rFonts w:asciiTheme="minorHAnsi" w:hAnsiTheme="minorHAnsi"/>
          <w:lang w:val="mk-MK"/>
        </w:rPr>
      </w:pPr>
      <w:r w:rsidRPr="002968EC">
        <w:br w:type="page"/>
      </w:r>
      <w:bookmarkStart w:id="27" w:name="_Toc461617747"/>
      <w:r w:rsidR="006E317C">
        <w:rPr>
          <w:rFonts w:asciiTheme="minorHAnsi" w:hAnsiTheme="minorHAnsi"/>
          <w:lang w:val="mk-MK"/>
        </w:rPr>
        <w:lastRenderedPageBreak/>
        <w:t>9</w:t>
      </w:r>
      <w:r w:rsidR="00A63422" w:rsidRPr="006E317C">
        <w:rPr>
          <w:rFonts w:asciiTheme="minorHAnsi" w:hAnsiTheme="minorHAnsi"/>
        </w:rPr>
        <w:t xml:space="preserve">. </w:t>
      </w:r>
      <w:r w:rsidR="00062635" w:rsidRPr="006E317C">
        <w:rPr>
          <w:rFonts w:asciiTheme="minorHAnsi" w:hAnsiTheme="minorHAnsi"/>
        </w:rPr>
        <w:t xml:space="preserve">Три критериум тест – малопродажен пазар за пристап до </w:t>
      </w:r>
      <w:r w:rsidR="008A38F9" w:rsidRPr="006E317C">
        <w:rPr>
          <w:rFonts w:asciiTheme="minorHAnsi" w:hAnsiTheme="minorHAnsi"/>
        </w:rPr>
        <w:t>јавна електронска комуникациска мрежа на фиксна локација</w:t>
      </w:r>
      <w:r w:rsidR="0071751C">
        <w:rPr>
          <w:rFonts w:asciiTheme="minorHAnsi" w:hAnsiTheme="minorHAnsi"/>
          <w:lang w:val="mk-MK"/>
        </w:rPr>
        <w:t xml:space="preserve"> за резиденцијални и деловни крајни корисници</w:t>
      </w:r>
      <w:bookmarkEnd w:id="27"/>
    </w:p>
    <w:p w:rsidR="00062635" w:rsidRPr="002968EC" w:rsidRDefault="00062635" w:rsidP="00062635">
      <w:pPr>
        <w:pStyle w:val="ListParagraph"/>
        <w:ind w:left="540"/>
        <w:rPr>
          <w:rFonts w:asciiTheme="minorHAnsi" w:hAnsiTheme="minorHAnsi" w:cs="Arial"/>
        </w:rPr>
      </w:pPr>
    </w:p>
    <w:p w:rsidR="00062635" w:rsidRPr="002968EC" w:rsidRDefault="00062635" w:rsidP="00062635">
      <w:pPr>
        <w:spacing w:after="0"/>
        <w:rPr>
          <w:rFonts w:asciiTheme="minorHAnsi" w:hAnsiTheme="minorHAnsi" w:cs="Calibri"/>
          <w:lang w:val="mk-MK"/>
        </w:rPr>
      </w:pPr>
      <w:r w:rsidRPr="002968EC">
        <w:rPr>
          <w:rFonts w:asciiTheme="minorHAnsi" w:hAnsiTheme="minorHAnsi" w:cs="Calibri"/>
          <w:lang w:val="mk-MK"/>
        </w:rPr>
        <w:t xml:space="preserve">Следен чекор во анализата е примената на три критериум тест со цел да се утврди дали пазарот за  услугата пристап до </w:t>
      </w:r>
      <w:r w:rsidR="008A38F9" w:rsidRPr="002968EC">
        <w:rPr>
          <w:rFonts w:asciiTheme="minorHAnsi" w:hAnsiTheme="minorHAnsi" w:cs="Calibri"/>
          <w:lang w:val="mk-MK"/>
        </w:rPr>
        <w:t>јавна електронска комуникациска мрежа на фиксна локација</w:t>
      </w:r>
      <w:r w:rsidR="00834616" w:rsidRPr="002968EC">
        <w:rPr>
          <w:rFonts w:asciiTheme="minorHAnsi" w:hAnsiTheme="minorHAnsi" w:cs="Calibri"/>
          <w:lang w:val="mk-MK"/>
        </w:rPr>
        <w:t xml:space="preserve"> </w:t>
      </w:r>
      <w:r w:rsidRPr="002968EC">
        <w:rPr>
          <w:rFonts w:asciiTheme="minorHAnsi" w:hAnsiTheme="minorHAnsi" w:cs="Calibri"/>
          <w:lang w:val="mk-MK"/>
        </w:rPr>
        <w:t xml:space="preserve">треба да биде предмет на ex-ante регулација. Согласно членот 79 – спроведување на анализа на релевантните пазари од ЗЕК (Сл. весник 39 / 2014), АЕК </w:t>
      </w:r>
      <w:r w:rsidR="007E5854" w:rsidRPr="002968EC">
        <w:rPr>
          <w:rFonts w:asciiTheme="minorHAnsi" w:hAnsiTheme="minorHAnsi" w:cs="Calibri"/>
          <w:lang w:val="mk-MK"/>
        </w:rPr>
        <w:t>во соработка со органот надлеж</w:t>
      </w:r>
      <w:r w:rsidR="0071751C">
        <w:rPr>
          <w:rFonts w:asciiTheme="minorHAnsi" w:hAnsiTheme="minorHAnsi" w:cs="Calibri"/>
          <w:lang w:val="mk-MK"/>
        </w:rPr>
        <w:t>ен за заштита на конкуренцијата спроведува анализа на релева</w:t>
      </w:r>
      <w:r w:rsidRPr="002968EC">
        <w:rPr>
          <w:rFonts w:asciiTheme="minorHAnsi" w:hAnsiTheme="minorHAnsi" w:cs="Calibri"/>
          <w:lang w:val="mk-MK"/>
        </w:rPr>
        <w:t>нтн</w:t>
      </w:r>
      <w:r w:rsidR="0071751C">
        <w:rPr>
          <w:rFonts w:asciiTheme="minorHAnsi" w:hAnsiTheme="minorHAnsi" w:cs="Calibri"/>
          <w:lang w:val="mk-MK"/>
        </w:rPr>
        <w:t>ите</w:t>
      </w:r>
      <w:r w:rsidRPr="002968EC">
        <w:rPr>
          <w:rFonts w:asciiTheme="minorHAnsi" w:hAnsiTheme="minorHAnsi" w:cs="Calibri"/>
          <w:lang w:val="mk-MK"/>
        </w:rPr>
        <w:t xml:space="preserve"> пазари имајќи ги предвид препораките на Европската комисија за утврдување на релевантни пазари на производи и услуги </w:t>
      </w:r>
    </w:p>
    <w:p w:rsidR="00062635" w:rsidRPr="002968EC" w:rsidRDefault="00062635" w:rsidP="00062635">
      <w:pPr>
        <w:spacing w:after="0"/>
        <w:rPr>
          <w:rFonts w:asciiTheme="minorHAnsi" w:hAnsiTheme="minorHAnsi" w:cs="Calibri"/>
          <w:lang w:val="mk-MK"/>
        </w:rPr>
      </w:pPr>
    </w:p>
    <w:p w:rsidR="00062635" w:rsidRPr="002968EC" w:rsidRDefault="00062635" w:rsidP="00062635">
      <w:pPr>
        <w:spacing w:after="0"/>
        <w:rPr>
          <w:rFonts w:asciiTheme="minorHAnsi" w:hAnsiTheme="minorHAnsi" w:cs="Calibri"/>
          <w:lang w:val="mk-MK"/>
        </w:rPr>
      </w:pPr>
      <w:r w:rsidRPr="002968EC">
        <w:rPr>
          <w:rFonts w:asciiTheme="minorHAnsi" w:hAnsiTheme="minorHAnsi" w:cs="Calibri"/>
          <w:lang w:val="mk-MK"/>
        </w:rPr>
        <w:t xml:space="preserve">Согласно членот 80 </w:t>
      </w:r>
      <w:r w:rsidR="007E5854">
        <w:rPr>
          <w:rFonts w:asciiTheme="minorHAnsi" w:hAnsiTheme="minorHAnsi" w:cs="Calibri"/>
          <w:lang w:val="mk-MK"/>
        </w:rPr>
        <w:t>–(</w:t>
      </w:r>
      <w:r w:rsidRPr="002968EC">
        <w:rPr>
          <w:rFonts w:asciiTheme="minorHAnsi" w:hAnsiTheme="minorHAnsi" w:cs="Calibri"/>
          <w:lang w:val="mk-MK"/>
        </w:rPr>
        <w:t xml:space="preserve"> Утврдување на релевантни пазари на производи и услуги став 2</w:t>
      </w:r>
      <w:r w:rsidR="007E5854">
        <w:rPr>
          <w:rFonts w:asciiTheme="minorHAnsi" w:hAnsiTheme="minorHAnsi" w:cs="Calibri"/>
          <w:lang w:val="mk-MK"/>
        </w:rPr>
        <w:t>)</w:t>
      </w:r>
      <w:r w:rsidRPr="002968EC">
        <w:rPr>
          <w:rFonts w:asciiTheme="minorHAnsi" w:hAnsiTheme="minorHAnsi" w:cs="Calibri"/>
          <w:lang w:val="mk-MK"/>
        </w:rPr>
        <w:t xml:space="preserve"> (ЗЕК), при утврдувањето на релевантните пазари на производи и услуги АЕК треба да утврди дека кумулативно се исполнети следниве три критериуми:</w:t>
      </w:r>
    </w:p>
    <w:p w:rsidR="00032CF5" w:rsidRDefault="00062635">
      <w:pPr>
        <w:pStyle w:val="ListParagraph"/>
        <w:numPr>
          <w:ilvl w:val="0"/>
          <w:numId w:val="13"/>
        </w:numPr>
        <w:spacing w:after="0"/>
        <w:rPr>
          <w:rFonts w:asciiTheme="minorHAnsi" w:hAnsiTheme="minorHAnsi" w:cs="Calibri"/>
        </w:rPr>
      </w:pPr>
      <w:r w:rsidRPr="002968EC">
        <w:rPr>
          <w:rFonts w:asciiTheme="minorHAnsi" w:hAnsiTheme="minorHAnsi" w:cs="Calibri"/>
        </w:rPr>
        <w:t>присуство на високи и постојани бариери за влез кои можат да бидат од структурна, правна или регулаторна природа,</w:t>
      </w:r>
    </w:p>
    <w:p w:rsidR="00032CF5" w:rsidRDefault="00062635">
      <w:pPr>
        <w:pStyle w:val="ListParagraph"/>
        <w:numPr>
          <w:ilvl w:val="0"/>
          <w:numId w:val="13"/>
        </w:numPr>
        <w:spacing w:after="0"/>
        <w:rPr>
          <w:rFonts w:asciiTheme="minorHAnsi" w:hAnsiTheme="minorHAnsi" w:cs="Calibri"/>
        </w:rPr>
      </w:pPr>
      <w:r w:rsidRPr="002968EC">
        <w:rPr>
          <w:rFonts w:asciiTheme="minorHAnsi" w:hAnsiTheme="minorHAnsi" w:cs="Calibri"/>
        </w:rPr>
        <w:t>структура на пазар кој има тенденција кон неефективна конкуренција во рамките на релевантен временски период и</w:t>
      </w:r>
    </w:p>
    <w:p w:rsidR="00032CF5" w:rsidRDefault="00062635">
      <w:pPr>
        <w:pStyle w:val="ListParagraph"/>
        <w:numPr>
          <w:ilvl w:val="0"/>
          <w:numId w:val="13"/>
        </w:numPr>
        <w:spacing w:after="0"/>
        <w:rPr>
          <w:rFonts w:asciiTheme="minorHAnsi" w:hAnsiTheme="minorHAnsi" w:cs="Calibri"/>
        </w:rPr>
      </w:pPr>
      <w:r w:rsidRPr="002968EC">
        <w:rPr>
          <w:rFonts w:asciiTheme="minorHAnsi" w:hAnsiTheme="minorHAnsi" w:cs="Calibri"/>
        </w:rPr>
        <w:t>Законот за заштита на конкуренцијата не е доволен сам да ги разреши проблемите на пазарот.</w:t>
      </w:r>
    </w:p>
    <w:p w:rsidR="00062635" w:rsidRPr="002968EC" w:rsidRDefault="00062635" w:rsidP="00062635">
      <w:pPr>
        <w:rPr>
          <w:rFonts w:asciiTheme="minorHAnsi" w:hAnsiTheme="minorHAnsi" w:cs="Calibri"/>
          <w:lang w:val="mk-MK"/>
        </w:rPr>
      </w:pPr>
      <w:r w:rsidRPr="002968EC">
        <w:rPr>
          <w:rFonts w:asciiTheme="minorHAnsi" w:hAnsiTheme="minorHAnsi" w:cs="Calibri"/>
          <w:lang w:val="mk-MK"/>
        </w:rPr>
        <w:t xml:space="preserve">Во случај кога истовремено се задоволени сите три критериуми, АЕК може да утврди релевантен пазар подложен на претходна регулација на кој нема воопшто или има недоволна конкурентност по што ќе спроведе анализа со која ке се утврди нивото на пазарна конкуренција, односно ќе се утврди дали на пазарот постои оператор кој поседува значителна пазарна моќ. </w:t>
      </w:r>
    </w:p>
    <w:p w:rsidR="00062635" w:rsidRPr="002968EC" w:rsidRDefault="00062635" w:rsidP="00062635">
      <w:pPr>
        <w:rPr>
          <w:rFonts w:asciiTheme="minorHAnsi" w:hAnsiTheme="minorHAnsi" w:cs="Calibri"/>
          <w:lang w:val="mk-MK"/>
        </w:rPr>
      </w:pPr>
      <w:r w:rsidRPr="002968EC">
        <w:rPr>
          <w:rFonts w:asciiTheme="minorHAnsi" w:hAnsiTheme="minorHAnsi" w:cs="Calibri"/>
          <w:lang w:val="mk-MK"/>
        </w:rPr>
        <w:t>Согласно членот 81 – преиспитување на утврден релевантен пазар на производи и услуги (ЗЕК), А</w:t>
      </w:r>
      <w:r w:rsidR="00836D45" w:rsidRPr="002968EC">
        <w:rPr>
          <w:rFonts w:asciiTheme="minorHAnsi" w:hAnsiTheme="minorHAnsi" w:cs="Calibri"/>
          <w:lang w:val="mk-MK"/>
        </w:rPr>
        <w:t>ЕК</w:t>
      </w:r>
      <w:r w:rsidRPr="002968EC">
        <w:rPr>
          <w:rFonts w:asciiTheme="minorHAnsi" w:hAnsiTheme="minorHAnsi" w:cs="Calibri"/>
          <w:lang w:val="mk-MK"/>
        </w:rPr>
        <w:t xml:space="preserve"> во определени временски периоди кои не можат да бидат подолги од три години во соработка со органот надлежен за заштита на конкуренцијата, е должна да го преиспита утврдениот релевантен пазар на производи и услуги. Во согласност со овој член АЕК на почетокот од анализата на релевантниот м</w:t>
      </w:r>
      <w:r w:rsidR="00836D45" w:rsidRPr="002968EC">
        <w:rPr>
          <w:rFonts w:asciiTheme="minorHAnsi" w:hAnsiTheme="minorHAnsi" w:cs="Calibri"/>
          <w:lang w:val="mk-MK"/>
        </w:rPr>
        <w:t>ал</w:t>
      </w:r>
      <w:r w:rsidRPr="002968EC">
        <w:rPr>
          <w:rFonts w:asciiTheme="minorHAnsi" w:hAnsiTheme="minorHAnsi" w:cs="Calibri"/>
          <w:lang w:val="mk-MK"/>
        </w:rPr>
        <w:t>опродажен пазар</w:t>
      </w:r>
      <w:r w:rsidR="00836D45" w:rsidRPr="002968EC">
        <w:rPr>
          <w:rFonts w:asciiTheme="minorHAnsi" w:hAnsiTheme="minorHAnsi" w:cs="Calibri"/>
          <w:lang w:val="mk-MK"/>
        </w:rPr>
        <w:t xml:space="preserve"> за</w:t>
      </w:r>
      <w:r w:rsidRPr="002968EC">
        <w:rPr>
          <w:rFonts w:asciiTheme="minorHAnsi" w:hAnsiTheme="minorHAnsi" w:cs="Calibri"/>
          <w:lang w:val="mk-MK"/>
        </w:rPr>
        <w:t xml:space="preserve"> </w:t>
      </w:r>
      <w:r w:rsidR="00836D45" w:rsidRPr="002968EC">
        <w:rPr>
          <w:rFonts w:asciiTheme="minorHAnsi" w:hAnsiTheme="minorHAnsi" w:cs="Calibri"/>
          <w:lang w:val="mk-MK"/>
        </w:rPr>
        <w:t>пристап</w:t>
      </w:r>
      <w:r w:rsidR="0071751C">
        <w:rPr>
          <w:rFonts w:asciiTheme="minorHAnsi" w:hAnsiTheme="minorHAnsi" w:cs="Calibri"/>
          <w:lang w:val="mk-MK"/>
        </w:rPr>
        <w:t xml:space="preserve"> до</w:t>
      </w:r>
      <w:r w:rsidR="00836D45" w:rsidRPr="002968EC">
        <w:rPr>
          <w:rFonts w:asciiTheme="minorHAnsi" w:hAnsiTheme="minorHAnsi" w:cs="Calibri"/>
          <w:lang w:val="mk-MK"/>
        </w:rPr>
        <w:t xml:space="preserve"> </w:t>
      </w:r>
      <w:r w:rsidR="008A38F9" w:rsidRPr="002968EC">
        <w:rPr>
          <w:rFonts w:asciiTheme="minorHAnsi" w:hAnsiTheme="minorHAnsi"/>
          <w:lang w:val="mk-MK"/>
        </w:rPr>
        <w:t>јавна електронска комуникациска мрежа на фиксна локација</w:t>
      </w:r>
      <w:r w:rsidRPr="002968EC">
        <w:rPr>
          <w:rFonts w:asciiTheme="minorHAnsi" w:hAnsiTheme="minorHAnsi" w:cs="Calibri"/>
          <w:lang w:val="mk-MK"/>
        </w:rPr>
        <w:t xml:space="preserve">, ќе спроведе три критериум тест со кој ќе испита дали и понатаму се исполнети сите критериуми неопходни за претходна регулација на истиот. </w:t>
      </w:r>
    </w:p>
    <w:p w:rsidR="003E231B" w:rsidRPr="002968EC" w:rsidRDefault="00062635" w:rsidP="00062635">
      <w:pPr>
        <w:spacing w:after="0"/>
        <w:rPr>
          <w:rFonts w:asciiTheme="minorHAnsi" w:hAnsiTheme="minorHAnsi" w:cs="Arial"/>
          <w:lang w:val="mk-MK"/>
        </w:rPr>
      </w:pPr>
      <w:r w:rsidRPr="002968EC">
        <w:rPr>
          <w:rFonts w:asciiTheme="minorHAnsi" w:hAnsiTheme="minorHAnsi" w:cs="Calibri"/>
          <w:lang w:val="mk-MK"/>
        </w:rPr>
        <w:t>Главната разлика помеѓу три критериум тестот и процесот на анал</w:t>
      </w:r>
      <w:r w:rsidR="0071751C">
        <w:rPr>
          <w:rFonts w:asciiTheme="minorHAnsi" w:hAnsiTheme="minorHAnsi" w:cs="Calibri"/>
          <w:lang w:val="mk-MK"/>
        </w:rPr>
        <w:t>изирање на пазарот</w:t>
      </w:r>
      <w:r w:rsidRPr="002968EC">
        <w:rPr>
          <w:rFonts w:asciiTheme="minorHAnsi" w:hAnsiTheme="minorHAnsi" w:cs="Calibri"/>
          <w:lang w:val="mk-MK"/>
        </w:rPr>
        <w:t>, е тоа што со три критериум тестот се става акцент на развојот и структурата на пазарот, а во процесот на спроведување на анализа на релевантниот пазар акцентот се става на односот помеѓу операторите кои дејствуваат на тој релевантен пазар, можноста од злоупотреба на доминантна пазарна моќ од страна на еден оператор и постоење можност за потенцијално неконкурентско однесување.</w:t>
      </w:r>
      <w:r w:rsidRPr="002968EC">
        <w:rPr>
          <w:rFonts w:asciiTheme="minorHAnsi" w:hAnsiTheme="minorHAnsi" w:cs="Arial"/>
          <w:lang w:val="mk-MK"/>
        </w:rPr>
        <w:t xml:space="preserve"> </w:t>
      </w:r>
    </w:p>
    <w:p w:rsidR="009B370F" w:rsidRPr="002968EC" w:rsidRDefault="009B370F" w:rsidP="00062635">
      <w:pPr>
        <w:spacing w:after="0"/>
        <w:rPr>
          <w:rFonts w:asciiTheme="minorHAnsi" w:hAnsiTheme="minorHAnsi" w:cs="Arial"/>
          <w:lang w:val="mk-MK"/>
        </w:rPr>
      </w:pPr>
    </w:p>
    <w:p w:rsidR="003E231B" w:rsidRPr="006E317C" w:rsidRDefault="006E317C" w:rsidP="006E317C">
      <w:pPr>
        <w:pStyle w:val="Heading2"/>
      </w:pPr>
      <w:bookmarkStart w:id="28" w:name="_Toc461617748"/>
      <w:r>
        <w:rPr>
          <w:lang w:val="mk-MK"/>
        </w:rPr>
        <w:lastRenderedPageBreak/>
        <w:t>9</w:t>
      </w:r>
      <w:r w:rsidR="00A63422" w:rsidRPr="006E317C">
        <w:t xml:space="preserve">.1 </w:t>
      </w:r>
      <w:r w:rsidR="003E231B" w:rsidRPr="006E317C">
        <w:t>Прв критериум - Присуство на високи и постојани бариери за влез кои</w:t>
      </w:r>
      <w:r w:rsidR="0071751C">
        <w:t xml:space="preserve"> што можат да бидат од структур</w:t>
      </w:r>
      <w:r w:rsidR="003E231B" w:rsidRPr="006E317C">
        <w:t>на, правна или регулаторна природа</w:t>
      </w:r>
      <w:bookmarkEnd w:id="28"/>
    </w:p>
    <w:p w:rsidR="003E231B" w:rsidRPr="002968EC" w:rsidRDefault="003E231B" w:rsidP="003E231B">
      <w:pPr>
        <w:rPr>
          <w:rFonts w:asciiTheme="minorHAnsi" w:hAnsiTheme="minorHAnsi" w:cs="Calibri"/>
          <w:lang w:val="mk-MK"/>
        </w:rPr>
      </w:pPr>
    </w:p>
    <w:p w:rsidR="003E231B" w:rsidRPr="002968EC" w:rsidRDefault="003E231B" w:rsidP="003E231B">
      <w:pPr>
        <w:rPr>
          <w:rFonts w:asciiTheme="minorHAnsi" w:hAnsiTheme="minorHAnsi" w:cs="Calibri"/>
        </w:rPr>
      </w:pPr>
      <w:r w:rsidRPr="002968EC">
        <w:rPr>
          <w:rFonts w:asciiTheme="minorHAnsi" w:hAnsiTheme="minorHAnsi" w:cs="Calibri"/>
          <w:lang w:val="mk-MK"/>
        </w:rPr>
        <w:t xml:space="preserve">Согласно ЗЕК, Методологијата за анализа на релевантните пазари на АЕК и Упатството на </w:t>
      </w:r>
      <w:r w:rsidR="0071751C">
        <w:rPr>
          <w:rFonts w:asciiTheme="minorHAnsi" w:hAnsiTheme="minorHAnsi" w:cs="Calibri"/>
          <w:lang w:val="mk-MK"/>
        </w:rPr>
        <w:t>Европската комисија</w:t>
      </w:r>
      <w:r w:rsidRPr="002968EC">
        <w:rPr>
          <w:rFonts w:asciiTheme="minorHAnsi" w:hAnsiTheme="minorHAnsi" w:cs="Calibri"/>
          <w:lang w:val="mk-MK"/>
        </w:rPr>
        <w:t xml:space="preserve"> за анализа на пазари и проценка на пазарна моќ....</w:t>
      </w:r>
      <w:r w:rsidRPr="002968EC">
        <w:rPr>
          <w:rFonts w:asciiTheme="minorHAnsi" w:hAnsiTheme="minorHAnsi" w:cs="Calibri"/>
        </w:rPr>
        <w:t xml:space="preserve"> (2002/C 165/03)</w:t>
      </w:r>
      <w:r w:rsidRPr="002968EC">
        <w:rPr>
          <w:rStyle w:val="FootnoteReference"/>
          <w:rFonts w:asciiTheme="minorHAnsi" w:hAnsiTheme="minorHAnsi" w:cs="Calibri"/>
          <w:lang w:val="mk-MK"/>
        </w:rPr>
        <w:footnoteReference w:id="8"/>
      </w:r>
      <w:r w:rsidRPr="002968EC">
        <w:rPr>
          <w:rFonts w:asciiTheme="minorHAnsi" w:hAnsiTheme="minorHAnsi" w:cs="Calibri"/>
          <w:lang w:val="mk-MK"/>
        </w:rPr>
        <w:t xml:space="preserve">, бариерите кои се јавуваат како резултат на структурните карактеристики на релевантниот пазар се дефинирани како структурни бариери а бариерите кои се јавуваат како резултат на правни и регулаторни окружувања се дефинирани како легални бариери. </w:t>
      </w:r>
    </w:p>
    <w:p w:rsidR="003E231B" w:rsidRPr="002968EC" w:rsidRDefault="003E231B" w:rsidP="003E231B">
      <w:pPr>
        <w:rPr>
          <w:rFonts w:asciiTheme="minorHAnsi" w:hAnsiTheme="minorHAnsi" w:cs="Calibri"/>
          <w:lang w:val="mk-MK"/>
        </w:rPr>
      </w:pPr>
      <w:r w:rsidRPr="002968EC">
        <w:rPr>
          <w:rFonts w:asciiTheme="minorHAnsi" w:hAnsiTheme="minorHAnsi" w:cs="Calibri"/>
          <w:lang w:val="mk-MK"/>
        </w:rPr>
        <w:t>При анализата согласно со овој критериум АЕК го истражува постоењето на високи и постојани структурни, правни или регулаторни бариери за влез на одреден пазар во рамките на временска рамка до следната анализа а која согласно член 81 од ЗЕК не може да биде подолг од три години.</w:t>
      </w:r>
    </w:p>
    <w:p w:rsidR="00032CF5" w:rsidRDefault="00E64930">
      <w:pPr>
        <w:numPr>
          <w:ilvl w:val="0"/>
          <w:numId w:val="24"/>
        </w:numPr>
        <w:rPr>
          <w:rFonts w:asciiTheme="minorHAnsi" w:hAnsiTheme="minorHAnsi" w:cs="Calibri"/>
          <w:lang w:val="mk-MK"/>
        </w:rPr>
      </w:pPr>
      <w:r w:rsidRPr="002968EC">
        <w:rPr>
          <w:rFonts w:asciiTheme="minorHAnsi" w:hAnsiTheme="minorHAnsi" w:cs="Calibri"/>
          <w:lang w:val="mk-MK"/>
        </w:rPr>
        <w:t>Структурни Бариери</w:t>
      </w:r>
    </w:p>
    <w:p w:rsidR="003E231B" w:rsidRPr="002968EC" w:rsidRDefault="003E231B" w:rsidP="003E231B">
      <w:pPr>
        <w:rPr>
          <w:rFonts w:asciiTheme="minorHAnsi" w:hAnsiTheme="minorHAnsi"/>
          <w:lang w:val="mk-MK"/>
        </w:rPr>
      </w:pPr>
      <w:r w:rsidRPr="002968EC">
        <w:rPr>
          <w:rFonts w:asciiTheme="minorHAnsi" w:hAnsiTheme="minorHAnsi" w:cs="Calibri"/>
          <w:lang w:val="mk-MK"/>
        </w:rPr>
        <w:t xml:space="preserve">Структурни бариери за влез на пазарот се оние кои се појавуваат како резултат на потребните првични трошоци или условите на побарувачката и создаваат нееднакви услови помеѓу операторот со значителна пазарна моќ на пазарот и останатите оператори на електронски комуникациски мрежи/услуги кои што сакаат да влезат на пазарот  односно го отежнуваат или попречуваат влезот на нови играчи на пазарот. Присуството на високи и постојани бариери за влез е главна препрека за развој на ефективна конкуренција. Бариерата за влез претставува рестрикција за влез на релевантен пазар која им овозможува на постојните оператори да ги зголемат цените над реалното конкурентно ниво. </w:t>
      </w:r>
      <w:r w:rsidRPr="002968EC">
        <w:rPr>
          <w:rFonts w:asciiTheme="minorHAnsi" w:hAnsiTheme="minorHAnsi"/>
          <w:lang w:val="mk-MK"/>
        </w:rPr>
        <w:t xml:space="preserve"> </w:t>
      </w:r>
    </w:p>
    <w:p w:rsidR="002600E6" w:rsidRPr="002968EC" w:rsidRDefault="002600E6" w:rsidP="0071751C">
      <w:pPr>
        <w:rPr>
          <w:rFonts w:asciiTheme="minorHAnsi" w:hAnsiTheme="minorHAnsi"/>
          <w:lang w:val="mk-MK"/>
        </w:rPr>
      </w:pPr>
      <w:r w:rsidRPr="002968EC">
        <w:rPr>
          <w:rFonts w:asciiTheme="minorHAnsi" w:hAnsiTheme="minorHAnsi"/>
          <w:lang w:val="mk-MK"/>
        </w:rPr>
        <w:t xml:space="preserve">Извештајот на </w:t>
      </w:r>
      <w:r w:rsidRPr="002968EC">
        <w:rPr>
          <w:rFonts w:asciiTheme="minorHAnsi" w:hAnsiTheme="minorHAnsi"/>
        </w:rPr>
        <w:t>ERG</w:t>
      </w:r>
      <w:r w:rsidR="000548B9" w:rsidRPr="002968EC">
        <w:rPr>
          <w:rFonts w:asciiTheme="minorHAnsi" w:hAnsiTheme="minorHAnsi"/>
          <w:vertAlign w:val="superscript"/>
          <w:lang w:val="mk-MK"/>
        </w:rPr>
        <w:t>1</w:t>
      </w:r>
      <w:r w:rsidR="007E5854">
        <w:rPr>
          <w:rFonts w:asciiTheme="minorHAnsi" w:hAnsiTheme="minorHAnsi"/>
          <w:vertAlign w:val="superscript"/>
          <w:lang w:val="mk-MK"/>
        </w:rPr>
        <w:t>0</w:t>
      </w:r>
      <w:r w:rsidRPr="002968EC">
        <w:rPr>
          <w:rFonts w:asciiTheme="minorHAnsi" w:hAnsiTheme="minorHAnsi"/>
        </w:rPr>
        <w:t xml:space="preserve"> </w:t>
      </w:r>
      <w:r w:rsidRPr="002968EC">
        <w:rPr>
          <w:rFonts w:asciiTheme="minorHAnsi" w:hAnsiTheme="minorHAnsi"/>
          <w:lang w:val="mk-MK"/>
        </w:rPr>
        <w:t>содржи листа на индикатори кои, во согласност со Насоките на Комисијата</w:t>
      </w:r>
      <w:r w:rsidR="0071751C">
        <w:rPr>
          <w:rFonts w:asciiTheme="minorHAnsi" w:hAnsiTheme="minorHAnsi"/>
          <w:lang w:val="mk-MK"/>
        </w:rPr>
        <w:t xml:space="preserve"> за 2002 година, може да бидат </w:t>
      </w:r>
      <w:r w:rsidRPr="002968EC">
        <w:rPr>
          <w:rFonts w:asciiTheme="minorHAnsi" w:hAnsiTheme="minorHAnsi"/>
          <w:lang w:val="mk-MK"/>
        </w:rPr>
        <w:t>корисни за националните регулаторни тела</w:t>
      </w:r>
      <w:r w:rsidR="00673BE5" w:rsidRPr="002968EC">
        <w:rPr>
          <w:rFonts w:asciiTheme="minorHAnsi" w:hAnsiTheme="minorHAnsi"/>
          <w:lang w:val="mk-MK"/>
        </w:rPr>
        <w:t xml:space="preserve"> при</w:t>
      </w:r>
      <w:r w:rsidRPr="002968EC">
        <w:rPr>
          <w:rFonts w:asciiTheme="minorHAnsi" w:hAnsiTheme="minorHAnsi"/>
          <w:lang w:val="mk-MK"/>
        </w:rPr>
        <w:t xml:space="preserve"> проценка на големината на бариерите за влез:</w:t>
      </w:r>
    </w:p>
    <w:p w:rsidR="00032CF5" w:rsidRDefault="00673BE5">
      <w:pPr>
        <w:numPr>
          <w:ilvl w:val="0"/>
          <w:numId w:val="17"/>
        </w:numPr>
        <w:rPr>
          <w:rFonts w:asciiTheme="minorHAnsi" w:hAnsiTheme="minorHAnsi"/>
          <w:lang w:val="mk-MK"/>
        </w:rPr>
      </w:pPr>
      <w:r w:rsidRPr="002968EC">
        <w:rPr>
          <w:rFonts w:asciiTheme="minorHAnsi" w:hAnsiTheme="minorHAnsi"/>
          <w:lang w:val="mk-MK"/>
        </w:rPr>
        <w:t>Неповратни трошоци (</w:t>
      </w:r>
      <w:r w:rsidRPr="002968EC">
        <w:rPr>
          <w:rFonts w:asciiTheme="minorHAnsi" w:hAnsiTheme="minorHAnsi"/>
        </w:rPr>
        <w:t>sunk cost)</w:t>
      </w:r>
    </w:p>
    <w:p w:rsidR="00032CF5" w:rsidRDefault="00673BE5">
      <w:pPr>
        <w:numPr>
          <w:ilvl w:val="0"/>
          <w:numId w:val="17"/>
        </w:numPr>
        <w:rPr>
          <w:rFonts w:asciiTheme="minorHAnsi" w:hAnsiTheme="minorHAnsi"/>
          <w:lang w:val="mk-MK"/>
        </w:rPr>
      </w:pPr>
      <w:r w:rsidRPr="002968EC">
        <w:rPr>
          <w:rFonts w:asciiTheme="minorHAnsi" w:hAnsiTheme="minorHAnsi"/>
          <w:lang w:val="mk-MK"/>
        </w:rPr>
        <w:t>Контрола на инфраструктурата која неможе да се дуплицира</w:t>
      </w:r>
    </w:p>
    <w:p w:rsidR="00032CF5" w:rsidRDefault="00673BE5">
      <w:pPr>
        <w:numPr>
          <w:ilvl w:val="0"/>
          <w:numId w:val="17"/>
        </w:numPr>
        <w:rPr>
          <w:rFonts w:asciiTheme="minorHAnsi" w:hAnsiTheme="minorHAnsi"/>
          <w:lang w:val="mk-MK"/>
        </w:rPr>
      </w:pPr>
      <w:r w:rsidRPr="002968EC">
        <w:rPr>
          <w:rFonts w:asciiTheme="minorHAnsi" w:hAnsiTheme="minorHAnsi"/>
          <w:lang w:val="mk-MK"/>
        </w:rPr>
        <w:t>Технолошки предности</w:t>
      </w:r>
    </w:p>
    <w:p w:rsidR="00032CF5" w:rsidRDefault="00673BE5">
      <w:pPr>
        <w:numPr>
          <w:ilvl w:val="0"/>
          <w:numId w:val="17"/>
        </w:numPr>
        <w:rPr>
          <w:rFonts w:asciiTheme="minorHAnsi" w:hAnsiTheme="minorHAnsi"/>
          <w:lang w:val="mk-MK"/>
        </w:rPr>
      </w:pPr>
      <w:r w:rsidRPr="002968EC">
        <w:rPr>
          <w:rFonts w:asciiTheme="minorHAnsi" w:hAnsiTheme="minorHAnsi"/>
          <w:lang w:val="mk-MK"/>
        </w:rPr>
        <w:t>Економија на обем и економија на интеграција</w:t>
      </w:r>
    </w:p>
    <w:p w:rsidR="00032CF5" w:rsidRDefault="00673BE5">
      <w:pPr>
        <w:numPr>
          <w:ilvl w:val="0"/>
          <w:numId w:val="17"/>
        </w:numPr>
        <w:rPr>
          <w:rFonts w:asciiTheme="minorHAnsi" w:hAnsiTheme="minorHAnsi"/>
          <w:lang w:val="mk-MK"/>
        </w:rPr>
      </w:pPr>
      <w:r w:rsidRPr="002968EC">
        <w:rPr>
          <w:rFonts w:asciiTheme="minorHAnsi" w:hAnsiTheme="minorHAnsi"/>
          <w:lang w:val="mk-MK"/>
        </w:rPr>
        <w:t>Високо развиена дистрибутивна и продажна мрежа</w:t>
      </w:r>
    </w:p>
    <w:p w:rsidR="00032CF5" w:rsidRDefault="00C71C53">
      <w:pPr>
        <w:numPr>
          <w:ilvl w:val="0"/>
          <w:numId w:val="17"/>
        </w:numPr>
        <w:rPr>
          <w:rFonts w:asciiTheme="minorHAnsi" w:hAnsiTheme="minorHAnsi"/>
          <w:lang w:val="mk-MK"/>
        </w:rPr>
      </w:pPr>
      <w:r w:rsidRPr="002968EC">
        <w:rPr>
          <w:rFonts w:asciiTheme="minorHAnsi" w:hAnsiTheme="minorHAnsi"/>
          <w:lang w:val="mk-MK"/>
        </w:rPr>
        <w:t>Диверзификација на производи/услуги (пакетирање на производи/услуги)</w:t>
      </w:r>
    </w:p>
    <w:p w:rsidR="00673BE5" w:rsidRPr="002968EC" w:rsidRDefault="00673BE5" w:rsidP="00673BE5">
      <w:pPr>
        <w:rPr>
          <w:rFonts w:asciiTheme="minorHAnsi" w:hAnsiTheme="minorHAnsi"/>
          <w:lang w:val="mk-MK"/>
        </w:rPr>
      </w:pPr>
    </w:p>
    <w:p w:rsidR="00673BE5" w:rsidRPr="002968EC" w:rsidRDefault="00673BE5" w:rsidP="00673BE5">
      <w:pPr>
        <w:rPr>
          <w:rFonts w:asciiTheme="minorHAnsi" w:hAnsiTheme="minorHAnsi"/>
          <w:lang w:val="mk-MK"/>
        </w:rPr>
      </w:pPr>
    </w:p>
    <w:p w:rsidR="000B7BE7" w:rsidRPr="002968EC" w:rsidRDefault="00673BE5" w:rsidP="00673BE5">
      <w:pPr>
        <w:rPr>
          <w:rFonts w:asciiTheme="minorHAnsi" w:hAnsiTheme="minorHAnsi"/>
          <w:lang w:val="mk-MK"/>
        </w:rPr>
      </w:pPr>
      <w:r w:rsidRPr="002968EC">
        <w:rPr>
          <w:rFonts w:asciiTheme="minorHAnsi" w:hAnsiTheme="minorHAnsi"/>
          <w:lang w:val="mk-MK"/>
        </w:rPr>
        <w:t>Во продолжение АЕК ќе ги анализира наведените индикатори со цел проценување на големината на структурни</w:t>
      </w:r>
      <w:r w:rsidR="00571759" w:rsidRPr="002968EC">
        <w:rPr>
          <w:rFonts w:asciiTheme="minorHAnsi" w:hAnsiTheme="minorHAnsi"/>
          <w:lang w:val="mk-MK"/>
        </w:rPr>
        <w:t>те</w:t>
      </w:r>
      <w:r w:rsidRPr="002968EC">
        <w:rPr>
          <w:rFonts w:asciiTheme="minorHAnsi" w:hAnsiTheme="minorHAnsi"/>
          <w:lang w:val="mk-MK"/>
        </w:rPr>
        <w:t xml:space="preserve"> бариери за влез</w:t>
      </w:r>
      <w:r w:rsidR="00571759" w:rsidRPr="002968EC">
        <w:rPr>
          <w:rFonts w:asciiTheme="minorHAnsi" w:hAnsiTheme="minorHAnsi"/>
          <w:lang w:val="mk-MK"/>
        </w:rPr>
        <w:t xml:space="preserve"> на пазарот.</w:t>
      </w:r>
    </w:p>
    <w:p w:rsidR="00032CF5" w:rsidRDefault="000B7BE7">
      <w:pPr>
        <w:numPr>
          <w:ilvl w:val="0"/>
          <w:numId w:val="18"/>
        </w:numPr>
        <w:rPr>
          <w:rFonts w:asciiTheme="minorHAnsi" w:hAnsiTheme="minorHAnsi"/>
          <w:lang w:val="mk-MK"/>
        </w:rPr>
      </w:pPr>
      <w:r w:rsidRPr="002968EC">
        <w:rPr>
          <w:rFonts w:asciiTheme="minorHAnsi" w:hAnsiTheme="minorHAnsi"/>
          <w:lang w:val="mk-MK"/>
        </w:rPr>
        <w:t>Неповратни трошоци и контрола на инфраструктура која неможе</w:t>
      </w:r>
      <w:r w:rsidR="00806C8A" w:rsidRPr="002968EC">
        <w:rPr>
          <w:rFonts w:asciiTheme="minorHAnsi" w:hAnsiTheme="minorHAnsi"/>
          <w:lang w:val="mk-MK"/>
        </w:rPr>
        <w:t xml:space="preserve"> лесно да се дуплира</w:t>
      </w:r>
      <w:r w:rsidRPr="002968EC">
        <w:rPr>
          <w:rFonts w:asciiTheme="minorHAnsi" w:hAnsiTheme="minorHAnsi"/>
          <w:lang w:val="mk-MK"/>
        </w:rPr>
        <w:t xml:space="preserve"> </w:t>
      </w:r>
    </w:p>
    <w:p w:rsidR="005F2E77" w:rsidRPr="002968EC" w:rsidRDefault="00726CF2" w:rsidP="00526B4E">
      <w:pPr>
        <w:autoSpaceDE w:val="0"/>
        <w:spacing w:after="0"/>
        <w:rPr>
          <w:rFonts w:asciiTheme="minorHAnsi" w:hAnsiTheme="minorHAnsi" w:cs="Calibri"/>
          <w:lang w:val="mk-MK"/>
        </w:rPr>
      </w:pPr>
      <w:r w:rsidRPr="002968EC">
        <w:rPr>
          <w:rFonts w:asciiTheme="minorHAnsi" w:hAnsiTheme="minorHAnsi" w:cs="Calibri"/>
          <w:lang w:val="mk-MK"/>
        </w:rPr>
        <w:t>Неповратни трошоци, се трошоци кои операторот мора да ги направи за да влезе на пазарот а истите неможе да бидат повратени. Овие фиксни трошоци не се менуваат со количината на производство, и не зависат од временскиот период во кој операторот ќе остане на пазарот. Високите неповратни трошоци го прават влез</w:t>
      </w:r>
      <w:r w:rsidR="00806C8A" w:rsidRPr="002968EC">
        <w:rPr>
          <w:rFonts w:asciiTheme="minorHAnsi" w:hAnsiTheme="minorHAnsi" w:cs="Calibri"/>
          <w:lang w:val="mk-MK"/>
        </w:rPr>
        <w:t>от на пазарот помалку атрактивен</w:t>
      </w:r>
      <w:r w:rsidRPr="002968EC">
        <w:rPr>
          <w:rFonts w:asciiTheme="minorHAnsi" w:hAnsiTheme="minorHAnsi" w:cs="Calibri"/>
          <w:lang w:val="mk-MK"/>
        </w:rPr>
        <w:t xml:space="preserve"> </w:t>
      </w:r>
      <w:r w:rsidR="00867D38" w:rsidRPr="002968EC">
        <w:rPr>
          <w:rFonts w:asciiTheme="minorHAnsi" w:hAnsiTheme="minorHAnsi" w:cs="Calibri"/>
          <w:lang w:val="mk-MK"/>
        </w:rPr>
        <w:t xml:space="preserve">и од таа перспектива се сметаат за бариера за влез на пазарот. </w:t>
      </w:r>
    </w:p>
    <w:p w:rsidR="005F2E77" w:rsidRPr="002968EC" w:rsidRDefault="00867D38" w:rsidP="00526B4E">
      <w:pPr>
        <w:autoSpaceDE w:val="0"/>
        <w:spacing w:after="0"/>
        <w:rPr>
          <w:rFonts w:asciiTheme="minorHAnsi" w:hAnsiTheme="minorHAnsi" w:cs="Calibri"/>
          <w:lang w:val="mk-MK"/>
        </w:rPr>
      </w:pPr>
      <w:r w:rsidRPr="002968EC">
        <w:rPr>
          <w:rFonts w:asciiTheme="minorHAnsi" w:hAnsiTheme="minorHAnsi" w:cs="Calibri"/>
          <w:lang w:val="mk-MK"/>
        </w:rPr>
        <w:t>Некои телекомуникациски инфраструктури вклучуваат високи неповратни трошоци и долги временски</w:t>
      </w:r>
      <w:r w:rsidR="00526B4E">
        <w:rPr>
          <w:rFonts w:asciiTheme="minorHAnsi" w:hAnsiTheme="minorHAnsi" w:cs="Calibri"/>
          <w:lang w:val="mk-MK"/>
        </w:rPr>
        <w:t xml:space="preserve"> периоди за изградба на истите. </w:t>
      </w:r>
      <w:r w:rsidRPr="002968EC">
        <w:rPr>
          <w:rFonts w:asciiTheme="minorHAnsi" w:hAnsiTheme="minorHAnsi" w:cs="Calibri"/>
          <w:lang w:val="mk-MK"/>
        </w:rPr>
        <w:t>Ова особено се однесува на бакарната мрежи, кој</w:t>
      </w:r>
      <w:r w:rsidR="00526B4E">
        <w:rPr>
          <w:rFonts w:asciiTheme="minorHAnsi" w:hAnsiTheme="minorHAnsi" w:cs="Calibri"/>
          <w:lang w:val="mk-MK"/>
        </w:rPr>
        <w:t>а</w:t>
      </w:r>
      <w:r w:rsidRPr="002968EC">
        <w:rPr>
          <w:rFonts w:asciiTheme="minorHAnsi" w:hAnsiTheme="minorHAnsi" w:cs="Calibri"/>
          <w:lang w:val="mk-MK"/>
        </w:rPr>
        <w:t xml:space="preserve"> традиционално се користи за о</w:t>
      </w:r>
      <w:r w:rsidR="00526B4E">
        <w:rPr>
          <w:rFonts w:asciiTheme="minorHAnsi" w:hAnsiTheme="minorHAnsi" w:cs="Calibri"/>
          <w:lang w:val="mk-MK"/>
        </w:rPr>
        <w:t xml:space="preserve">безбедување на пристап до јавна </w:t>
      </w:r>
      <w:r w:rsidRPr="002968EC">
        <w:rPr>
          <w:rFonts w:asciiTheme="minorHAnsi" w:hAnsiTheme="minorHAnsi" w:cs="Calibri"/>
          <w:lang w:val="mk-MK"/>
        </w:rPr>
        <w:t xml:space="preserve">телефонска мрежа </w:t>
      </w:r>
      <w:r w:rsidR="00526B4E">
        <w:rPr>
          <w:rFonts w:asciiTheme="minorHAnsi" w:hAnsiTheme="minorHAnsi" w:cs="Calibri"/>
          <w:lang w:val="mk-MK"/>
        </w:rPr>
        <w:t>на фиксна локација.</w:t>
      </w:r>
      <w:r w:rsidRPr="002968EC">
        <w:rPr>
          <w:rFonts w:asciiTheme="minorHAnsi" w:hAnsiTheme="minorHAnsi" w:cs="Calibri"/>
          <w:lang w:val="mk-MK"/>
        </w:rPr>
        <w:t xml:space="preserve"> Т</w:t>
      </w:r>
      <w:r w:rsidR="005C7CBD" w:rsidRPr="002968EC">
        <w:rPr>
          <w:rFonts w:asciiTheme="minorHAnsi" w:hAnsiTheme="minorHAnsi" w:cs="Calibri"/>
          <w:lang w:val="mk-MK"/>
        </w:rPr>
        <w:t>аа претставува</w:t>
      </w:r>
      <w:r w:rsidRPr="002968EC">
        <w:rPr>
          <w:rFonts w:asciiTheme="minorHAnsi" w:hAnsiTheme="minorHAnsi" w:cs="Calibri"/>
          <w:lang w:val="mk-MK"/>
        </w:rPr>
        <w:t xml:space="preserve"> инфраструктура која не е л</w:t>
      </w:r>
      <w:r w:rsidR="00526B4E">
        <w:rPr>
          <w:rFonts w:asciiTheme="minorHAnsi" w:hAnsiTheme="minorHAnsi" w:cs="Calibri"/>
          <w:lang w:val="mk-MK"/>
        </w:rPr>
        <w:t xml:space="preserve">есно да се дуплира во одреден </w:t>
      </w:r>
      <w:r w:rsidRPr="002968EC">
        <w:rPr>
          <w:rFonts w:asciiTheme="minorHAnsi" w:hAnsiTheme="minorHAnsi" w:cs="Calibri"/>
          <w:lang w:val="mk-MK"/>
        </w:rPr>
        <w:t xml:space="preserve">временски период. </w:t>
      </w:r>
      <w:r w:rsidR="005C7CBD" w:rsidRPr="002968EC">
        <w:rPr>
          <w:rFonts w:asciiTheme="minorHAnsi" w:hAnsiTheme="minorHAnsi" w:cs="Calibri"/>
          <w:lang w:val="mk-MK"/>
        </w:rPr>
        <w:t>Во Р.Македонија само операторот со зна</w:t>
      </w:r>
      <w:r w:rsidR="00806C8A" w:rsidRPr="002968EC">
        <w:rPr>
          <w:rFonts w:asciiTheme="minorHAnsi" w:hAnsiTheme="minorHAnsi" w:cs="Calibri"/>
          <w:lang w:val="mk-MK"/>
        </w:rPr>
        <w:t>чителна пазарна моќ Македонски Т</w:t>
      </w:r>
      <w:r w:rsidR="005C7CBD" w:rsidRPr="002968EC">
        <w:rPr>
          <w:rFonts w:asciiTheme="minorHAnsi" w:hAnsiTheme="minorHAnsi" w:cs="Calibri"/>
          <w:lang w:val="mk-MK"/>
        </w:rPr>
        <w:t>елеком поседува таква бакарна мрежа која е распространета на целата територија на државата. Високите неповратни трошоци  во дуп</w:t>
      </w:r>
      <w:r w:rsidR="00806C8A" w:rsidRPr="002968EC">
        <w:rPr>
          <w:rFonts w:asciiTheme="minorHAnsi" w:hAnsiTheme="minorHAnsi" w:cs="Calibri"/>
          <w:lang w:val="mk-MK"/>
        </w:rPr>
        <w:t>ли</w:t>
      </w:r>
      <w:r w:rsidR="005C7CBD" w:rsidRPr="002968EC">
        <w:rPr>
          <w:rFonts w:asciiTheme="minorHAnsi" w:hAnsiTheme="minorHAnsi" w:cs="Calibri"/>
          <w:lang w:val="mk-MK"/>
        </w:rPr>
        <w:t xml:space="preserve">рањето на бакарната мрежа на Македонски Телеком кое што би претставувало бариера за брз и ефективен влез на пазарот, мора да биде анализирано од аспект на големопродажните понуди на СМП операторот, како и од се поголемиот развој на новите генерации на мрежи ( коаксијални кабелски и оптички мрежи) од страна на алтернативните оператори на пазарот. </w:t>
      </w:r>
      <w:r w:rsidR="00806C8A" w:rsidRPr="002968EC">
        <w:rPr>
          <w:rFonts w:asciiTheme="minorHAnsi" w:hAnsiTheme="minorHAnsi" w:cs="Calibri"/>
          <w:lang w:val="mk-MK"/>
        </w:rPr>
        <w:t xml:space="preserve">Ваквите мрежи се широко распространети на целата територија на државата. </w:t>
      </w:r>
      <w:r w:rsidR="005C7CBD" w:rsidRPr="002968EC">
        <w:rPr>
          <w:rFonts w:asciiTheme="minorHAnsi" w:hAnsiTheme="minorHAnsi" w:cs="Calibri"/>
          <w:lang w:val="mk-MK"/>
        </w:rPr>
        <w:t xml:space="preserve"> </w:t>
      </w:r>
    </w:p>
    <w:p w:rsidR="005F2E77" w:rsidRPr="002968EC" w:rsidRDefault="00726CF2" w:rsidP="00526B4E">
      <w:pPr>
        <w:autoSpaceDE w:val="0"/>
        <w:spacing w:after="0"/>
        <w:rPr>
          <w:rFonts w:asciiTheme="minorHAnsi" w:hAnsiTheme="minorHAnsi" w:cs="Calibri"/>
        </w:rPr>
      </w:pPr>
      <w:r w:rsidRPr="002968EC">
        <w:rPr>
          <w:rFonts w:asciiTheme="minorHAnsi" w:hAnsiTheme="minorHAnsi" w:cs="Calibri"/>
          <w:lang w:val="mk-MK"/>
        </w:rPr>
        <w:t xml:space="preserve">Контрола на инфраструктурата која не може лесно да се дуплира е тесно поврзана со постоењето на неповратни трошоци (sunk cost). </w:t>
      </w:r>
      <w:r w:rsidR="00806C8A" w:rsidRPr="002968EC">
        <w:rPr>
          <w:rFonts w:asciiTheme="minorHAnsi" w:hAnsiTheme="minorHAnsi" w:cs="Calibri"/>
          <w:lang w:val="mk-MK"/>
        </w:rPr>
        <w:t>И</w:t>
      </w:r>
      <w:r w:rsidRPr="002968EC">
        <w:rPr>
          <w:rFonts w:asciiTheme="minorHAnsi" w:hAnsiTheme="minorHAnsi" w:cs="Calibri"/>
          <w:lang w:val="mk-MK"/>
        </w:rPr>
        <w:t>нфраструктурата која не може лесно да се дуплира претставува индикација за пазарна моќ која ја уживаат постоечките мрежни оператори и истовремено ги зголемува бариерите за влез на новите потенцијални учесници, што укажува на фактот дека постои значајна бариера за влез на пазарот.</w:t>
      </w:r>
    </w:p>
    <w:p w:rsidR="005F2E77" w:rsidRPr="002968EC" w:rsidRDefault="005F2E77">
      <w:pPr>
        <w:autoSpaceDE w:val="0"/>
        <w:spacing w:after="0"/>
        <w:rPr>
          <w:rFonts w:asciiTheme="minorHAnsi" w:hAnsiTheme="minorHAnsi" w:cs="Calibri"/>
        </w:rPr>
      </w:pPr>
    </w:p>
    <w:p w:rsidR="005F2E77" w:rsidRPr="002968EC" w:rsidRDefault="00726CF2">
      <w:pPr>
        <w:autoSpaceDE w:val="0"/>
        <w:spacing w:after="0"/>
        <w:rPr>
          <w:rFonts w:asciiTheme="minorHAnsi" w:hAnsiTheme="minorHAnsi" w:cs="Calibri"/>
          <w:lang w:val="mk-MK"/>
        </w:rPr>
      </w:pPr>
      <w:r w:rsidRPr="002968EC">
        <w:rPr>
          <w:rFonts w:asciiTheme="minorHAnsi" w:hAnsiTheme="minorHAnsi" w:cs="Calibri"/>
        </w:rPr>
        <w:t xml:space="preserve">Ако оператор има контрола на </w:t>
      </w:r>
      <w:r w:rsidRPr="002968EC">
        <w:rPr>
          <w:rFonts w:asciiTheme="minorHAnsi" w:hAnsiTheme="minorHAnsi" w:cs="Calibri"/>
          <w:lang w:val="mk-MK"/>
        </w:rPr>
        <w:t>инфраструктурата која не може лесно да се дуплира</w:t>
      </w:r>
      <w:r w:rsidRPr="002968EC">
        <w:rPr>
          <w:rFonts w:asciiTheme="minorHAnsi" w:hAnsiTheme="minorHAnsi" w:cs="Calibri"/>
        </w:rPr>
        <w:t>, а таа инфраструктура преставува значаен влезен фактор на релевантниот пазар, тоа може да преставува значајна бариера за влез за потенцијалните конкуренти.</w:t>
      </w:r>
      <w:r w:rsidRPr="002968EC">
        <w:rPr>
          <w:rFonts w:asciiTheme="minorHAnsi" w:hAnsiTheme="minorHAnsi" w:cs="Calibri"/>
          <w:lang w:val="mk-MK"/>
        </w:rPr>
        <w:t xml:space="preserve"> Разгледувањето на овој фактор е поврзан со апсолутната големина на операторот, како и проценка на економии на обем, економии на интеграција и неповратни трошоци. Капиталните вложувања потребни за изградба на пристапна мрежна инфраструктура се многу високи и потребно е време за враќање на инвестицијата за новите оператори кои сакаат</w:t>
      </w:r>
      <w:r w:rsidR="007E5854">
        <w:rPr>
          <w:rFonts w:asciiTheme="minorHAnsi" w:hAnsiTheme="minorHAnsi" w:cs="Calibri"/>
          <w:lang w:val="mk-MK"/>
        </w:rPr>
        <w:t xml:space="preserve"> да</w:t>
      </w:r>
      <w:r w:rsidRPr="002968EC">
        <w:rPr>
          <w:rFonts w:asciiTheme="minorHAnsi" w:hAnsiTheme="minorHAnsi" w:cs="Calibri"/>
          <w:lang w:val="mk-MK"/>
        </w:rPr>
        <w:t xml:space="preserve"> влез</w:t>
      </w:r>
      <w:r w:rsidR="007E5854">
        <w:rPr>
          <w:rFonts w:asciiTheme="minorHAnsi" w:hAnsiTheme="minorHAnsi" w:cs="Calibri"/>
          <w:lang w:val="mk-MK"/>
        </w:rPr>
        <w:t>ат</w:t>
      </w:r>
      <w:r w:rsidRPr="002968EC">
        <w:rPr>
          <w:rFonts w:asciiTheme="minorHAnsi" w:hAnsiTheme="minorHAnsi" w:cs="Calibri"/>
          <w:lang w:val="mk-MK"/>
        </w:rPr>
        <w:t xml:space="preserve"> на релевантниот пазар.</w:t>
      </w:r>
    </w:p>
    <w:p w:rsidR="005F2E77" w:rsidRPr="002968EC" w:rsidRDefault="005F2E77">
      <w:pPr>
        <w:autoSpaceDE w:val="0"/>
        <w:spacing w:after="0"/>
        <w:rPr>
          <w:rFonts w:asciiTheme="minorHAnsi" w:hAnsiTheme="minorHAnsi" w:cs="Calibri"/>
          <w:lang w:val="mk-MK"/>
        </w:rPr>
      </w:pPr>
    </w:p>
    <w:p w:rsidR="005F2E77" w:rsidRPr="002968EC" w:rsidRDefault="00726CF2">
      <w:pPr>
        <w:autoSpaceDE w:val="0"/>
        <w:spacing w:after="0"/>
        <w:rPr>
          <w:rFonts w:asciiTheme="minorHAnsi" w:hAnsiTheme="minorHAnsi" w:cs="Calibri"/>
          <w:lang w:val="mk-MK"/>
        </w:rPr>
      </w:pPr>
      <w:r w:rsidRPr="002968EC">
        <w:rPr>
          <w:rFonts w:asciiTheme="minorHAnsi" w:hAnsiTheme="minorHAnsi" w:cs="Calibri"/>
          <w:lang w:val="mk-MK"/>
        </w:rPr>
        <w:t>Обезбедувањето на услугите од алтернативните оператори преку ИП платформа придонесува  широкопојасниот пристап , да</w:t>
      </w:r>
      <w:r w:rsidR="00806C8A" w:rsidRPr="002968EC">
        <w:rPr>
          <w:rFonts w:asciiTheme="minorHAnsi" w:hAnsiTheme="minorHAnsi" w:cs="Calibri"/>
          <w:lang w:val="mk-MK"/>
        </w:rPr>
        <w:t xml:space="preserve"> поттикне висок</w:t>
      </w:r>
      <w:r w:rsidRPr="002968EC">
        <w:rPr>
          <w:rFonts w:asciiTheme="minorHAnsi" w:hAnsiTheme="minorHAnsi" w:cs="Calibri"/>
          <w:lang w:val="mk-MK"/>
        </w:rPr>
        <w:t xml:space="preserve"> степен на конкуренција</w:t>
      </w:r>
      <w:r w:rsidR="00806C8A" w:rsidRPr="002968EC">
        <w:rPr>
          <w:rFonts w:asciiTheme="minorHAnsi" w:hAnsiTheme="minorHAnsi" w:cs="Calibri"/>
          <w:lang w:val="mk-MK"/>
        </w:rPr>
        <w:t xml:space="preserve"> на пазарот за пристап до јавна телефонска мрежа на фиксна локација. </w:t>
      </w:r>
      <w:r w:rsidR="001E4E1C" w:rsidRPr="002968EC">
        <w:rPr>
          <w:rFonts w:asciiTheme="minorHAnsi" w:hAnsiTheme="minorHAnsi" w:cs="Calibri"/>
          <w:lang w:val="mk-MK"/>
        </w:rPr>
        <w:t>АЕК смета дека присуството на алтернативна широкопојасна инфраструктура има позитивно влијание на конкур</w:t>
      </w:r>
      <w:r w:rsidR="00526B4E">
        <w:rPr>
          <w:rFonts w:asciiTheme="minorHAnsi" w:hAnsiTheme="minorHAnsi" w:cs="Calibri"/>
          <w:lang w:val="mk-MK"/>
        </w:rPr>
        <w:t xml:space="preserve">енцијата на пазарот на  пристап </w:t>
      </w:r>
      <w:r w:rsidR="001E4E1C" w:rsidRPr="002968EC">
        <w:rPr>
          <w:rFonts w:asciiTheme="minorHAnsi" w:hAnsiTheme="minorHAnsi" w:cs="Calibri"/>
          <w:lang w:val="mk-MK"/>
        </w:rPr>
        <w:t xml:space="preserve"> и претставува намалување на бариерите за влез на релевантниот пазар.</w:t>
      </w:r>
      <w:r w:rsidRPr="002968EC">
        <w:rPr>
          <w:rFonts w:asciiTheme="minorHAnsi" w:hAnsiTheme="minorHAnsi" w:cs="Calibri"/>
          <w:lang w:val="mk-MK"/>
        </w:rPr>
        <w:t xml:space="preserve"> Покрај тоа, со регулирање на големопродажна</w:t>
      </w:r>
      <w:r w:rsidR="00526B4E">
        <w:rPr>
          <w:rFonts w:asciiTheme="minorHAnsi" w:hAnsiTheme="minorHAnsi" w:cs="Calibri"/>
          <w:lang w:val="mk-MK"/>
        </w:rPr>
        <w:t>та</w:t>
      </w:r>
      <w:r w:rsidRPr="002968EC">
        <w:rPr>
          <w:rFonts w:asciiTheme="minorHAnsi" w:hAnsiTheme="minorHAnsi" w:cs="Calibri"/>
          <w:lang w:val="mk-MK"/>
        </w:rPr>
        <w:t xml:space="preserve"> услуга на релевантниот пазар можно е да влезат и </w:t>
      </w:r>
      <w:r w:rsidRPr="002968EC">
        <w:rPr>
          <w:rFonts w:asciiTheme="minorHAnsi" w:hAnsiTheme="minorHAnsi" w:cs="Calibri"/>
          <w:lang w:val="mk-MK"/>
        </w:rPr>
        <w:lastRenderedPageBreak/>
        <w:t>оператори без притоа да имаат потреба да ја реплицира</w:t>
      </w:r>
      <w:r w:rsidR="001E4E1C" w:rsidRPr="002968EC">
        <w:rPr>
          <w:rFonts w:asciiTheme="minorHAnsi" w:hAnsiTheme="minorHAnsi" w:cs="Calibri"/>
          <w:lang w:val="mk-MK"/>
        </w:rPr>
        <w:t>ат</w:t>
      </w:r>
      <w:r w:rsidRPr="002968EC">
        <w:rPr>
          <w:rFonts w:asciiTheme="minorHAnsi" w:hAnsiTheme="minorHAnsi" w:cs="Calibri"/>
          <w:lang w:val="mk-MK"/>
        </w:rPr>
        <w:t xml:space="preserve"> мрежната инфраструктура на </w:t>
      </w:r>
      <w:r w:rsidR="00526B4E">
        <w:rPr>
          <w:rFonts w:asciiTheme="minorHAnsi" w:hAnsiTheme="minorHAnsi" w:cs="Calibri"/>
          <w:lang w:val="mk-MK"/>
        </w:rPr>
        <w:t>МКТ</w:t>
      </w:r>
      <w:r w:rsidRPr="002968EC">
        <w:rPr>
          <w:rFonts w:asciiTheme="minorHAnsi" w:hAnsiTheme="minorHAnsi" w:cs="Calibri"/>
          <w:lang w:val="mk-MK"/>
        </w:rPr>
        <w:t xml:space="preserve">. Операторите на електронски комуникациски услуги кои сакаат да влезат или да се развиваат на овој пазар тоа може да го направат со користење на големопродажните услуги за изнајмување на големо на претплатнички линии, разврзан пристап на локална јамка и битстрим пристап. Со помош на </w:t>
      </w:r>
      <w:r w:rsidR="001E4E1C" w:rsidRPr="002968EC">
        <w:rPr>
          <w:rFonts w:asciiTheme="minorHAnsi" w:hAnsiTheme="minorHAnsi" w:cs="Calibri"/>
          <w:lang w:val="mk-MK"/>
        </w:rPr>
        <w:t>овие регулирани услуги од стран</w:t>
      </w:r>
      <w:r w:rsidRPr="002968EC">
        <w:rPr>
          <w:rFonts w:asciiTheme="minorHAnsi" w:hAnsiTheme="minorHAnsi" w:cs="Calibri"/>
          <w:lang w:val="mk-MK"/>
        </w:rPr>
        <w:t>а</w:t>
      </w:r>
      <w:r w:rsidR="001E4E1C" w:rsidRPr="002968EC">
        <w:rPr>
          <w:rFonts w:asciiTheme="minorHAnsi" w:hAnsiTheme="minorHAnsi" w:cs="Calibri"/>
          <w:lang w:val="mk-MK"/>
        </w:rPr>
        <w:t xml:space="preserve"> </w:t>
      </w:r>
      <w:r w:rsidRPr="002968EC">
        <w:rPr>
          <w:rFonts w:asciiTheme="minorHAnsi" w:hAnsiTheme="minorHAnsi" w:cs="Calibri"/>
          <w:lang w:val="mk-MK"/>
        </w:rPr>
        <w:t xml:space="preserve">на АЕК операторите можат да се појават на малопродажниот пазар како понудувачи на услуги во фиксната телефонија  преку користење на мрежата на </w:t>
      </w:r>
      <w:r w:rsidR="00526B4E">
        <w:rPr>
          <w:rFonts w:asciiTheme="minorHAnsi" w:hAnsiTheme="minorHAnsi" w:cs="Calibri"/>
          <w:lang w:val="mk-MK"/>
        </w:rPr>
        <w:t>МКТ</w:t>
      </w:r>
      <w:r w:rsidRPr="002968EC">
        <w:rPr>
          <w:rFonts w:asciiTheme="minorHAnsi" w:hAnsiTheme="minorHAnsi" w:cs="Calibri"/>
          <w:lang w:val="mk-MK"/>
        </w:rPr>
        <w:t xml:space="preserve">. </w:t>
      </w:r>
      <w:r w:rsidR="001E4E1C" w:rsidRPr="002968EC">
        <w:rPr>
          <w:rFonts w:asciiTheme="minorHAnsi" w:hAnsiTheme="minorHAnsi" w:cs="Calibri"/>
          <w:lang w:val="mk-MK"/>
        </w:rPr>
        <w:t>Можноста за користење</w:t>
      </w:r>
      <w:r w:rsidRPr="002968EC">
        <w:rPr>
          <w:rFonts w:asciiTheme="minorHAnsi" w:hAnsiTheme="minorHAnsi" w:cs="Calibri"/>
          <w:lang w:val="mk-MK"/>
        </w:rPr>
        <w:t xml:space="preserve"> на овие услуги претставува доволно силен конкурентен фактор за да значително влијае на пазарот и да поттикне промена на структурата на пазарот</w:t>
      </w:r>
      <w:r w:rsidR="001E4E1C" w:rsidRPr="002968EC">
        <w:rPr>
          <w:rFonts w:asciiTheme="minorHAnsi" w:hAnsiTheme="minorHAnsi" w:cs="Calibri"/>
          <w:lang w:val="mk-MK"/>
        </w:rPr>
        <w:t xml:space="preserve"> во иднина</w:t>
      </w:r>
      <w:r w:rsidRPr="002968EC">
        <w:rPr>
          <w:rFonts w:asciiTheme="minorHAnsi" w:hAnsiTheme="minorHAnsi" w:cs="Calibri"/>
          <w:lang w:val="mk-MK"/>
        </w:rPr>
        <w:t xml:space="preserve">. </w:t>
      </w:r>
    </w:p>
    <w:p w:rsidR="005F2E77" w:rsidRPr="002968EC" w:rsidRDefault="00726CF2">
      <w:pPr>
        <w:autoSpaceDE w:val="0"/>
        <w:spacing w:after="0"/>
        <w:rPr>
          <w:rFonts w:asciiTheme="minorHAnsi" w:hAnsiTheme="minorHAnsi" w:cs="Calibri"/>
          <w:lang w:val="mk-MK"/>
        </w:rPr>
      </w:pPr>
      <w:r w:rsidRPr="002968EC">
        <w:rPr>
          <w:rFonts w:asciiTheme="minorHAnsi" w:hAnsiTheme="minorHAnsi" w:cs="Calibri"/>
          <w:lang w:val="mk-MK"/>
        </w:rPr>
        <w:t xml:space="preserve">Изнајмување на пристап до физичка мрежна инфраструктура може да се користи за влез или проширување на малопродажнииот пазар за пристап до </w:t>
      </w:r>
      <w:r w:rsidRPr="002968EC">
        <w:rPr>
          <w:rFonts w:asciiTheme="minorHAnsi" w:hAnsiTheme="minorHAnsi"/>
          <w:lang w:val="mk-MK"/>
        </w:rPr>
        <w:t>јавна електронска комуникациска мрежа на фиксна локација</w:t>
      </w:r>
      <w:r w:rsidRPr="002968EC">
        <w:rPr>
          <w:rFonts w:asciiTheme="minorHAnsi" w:hAnsiTheme="minorHAnsi" w:cs="Calibri"/>
          <w:lang w:val="mk-MK"/>
        </w:rPr>
        <w:t xml:space="preserve">. Големопродажните услуги  може да се употребат за обезбедување на услугата пристап до фиксен говор со што би се избегнало реплицирање на пристапната мрежа (локална јамка).  Во пракса алтернативните оператори поретко се одлучуваат за развој на сопствена пристапна мрежна инфраструктура поради големите вложувања кои се потребни да се направат. За да обезбедат понуда на говор преку широкопојасен пристап, операторите на електронски комуникациски услуги може да користат целосно разврзан пристап на  локална јамка или некое ниво на битстрим пристап од </w:t>
      </w:r>
      <w:r w:rsidR="00526B4E">
        <w:rPr>
          <w:rFonts w:asciiTheme="minorHAnsi" w:hAnsiTheme="minorHAnsi" w:cs="Calibri"/>
          <w:lang w:val="mk-MK"/>
        </w:rPr>
        <w:t>МКТ</w:t>
      </w:r>
      <w:r w:rsidRPr="002968EC">
        <w:rPr>
          <w:rFonts w:asciiTheme="minorHAnsi" w:hAnsiTheme="minorHAnsi" w:cs="Calibri"/>
          <w:lang w:val="mk-MK"/>
        </w:rPr>
        <w:t xml:space="preserve"> и на своите крајни корисници да им  обезбедат говор преку управув</w:t>
      </w:r>
      <w:r w:rsidR="00526B4E">
        <w:rPr>
          <w:rFonts w:asciiTheme="minorHAnsi" w:hAnsiTheme="minorHAnsi" w:cs="Calibri"/>
          <w:lang w:val="mk-MK"/>
        </w:rPr>
        <w:t>ана ВОИП услуга без да користат</w:t>
      </w:r>
      <w:r w:rsidRPr="002968EC">
        <w:rPr>
          <w:rFonts w:asciiTheme="minorHAnsi" w:hAnsiTheme="minorHAnsi" w:cs="Calibri"/>
          <w:lang w:val="mk-MK"/>
        </w:rPr>
        <w:t xml:space="preserve"> услуга за изнајмување на големо на претплатничка линија. </w:t>
      </w:r>
    </w:p>
    <w:p w:rsidR="005F2E77" w:rsidRPr="002968EC" w:rsidRDefault="00726CF2">
      <w:pPr>
        <w:autoSpaceDE w:val="0"/>
        <w:spacing w:after="0"/>
        <w:rPr>
          <w:rFonts w:asciiTheme="minorHAnsi" w:hAnsiTheme="minorHAnsi" w:cs="Calibri"/>
          <w:lang w:val="mk-MK"/>
        </w:rPr>
      </w:pPr>
      <w:r w:rsidRPr="002968EC">
        <w:rPr>
          <w:rFonts w:asciiTheme="minorHAnsi" w:hAnsiTheme="minorHAnsi" w:cs="Calibri"/>
          <w:lang w:val="mk-MK"/>
        </w:rPr>
        <w:t xml:space="preserve">Големопродажниот битстрим пристап </w:t>
      </w:r>
      <w:r w:rsidRPr="002968EC">
        <w:rPr>
          <w:rFonts w:asciiTheme="minorHAnsi" w:hAnsiTheme="minorHAnsi" w:cs="Calibri"/>
        </w:rPr>
        <w:t>(WBA – wholesale broadbend access)</w:t>
      </w:r>
      <w:r w:rsidRPr="002968EC">
        <w:rPr>
          <w:rFonts w:asciiTheme="minorHAnsi" w:hAnsiTheme="minorHAnsi" w:cs="Calibri"/>
          <w:lang w:val="mk-MK"/>
        </w:rPr>
        <w:t xml:space="preserve"> е овозможен да се користи со услуга за изнајмување на големо на претплатничка линија</w:t>
      </w:r>
      <w:r w:rsidRPr="002968EC">
        <w:rPr>
          <w:rFonts w:asciiTheme="minorHAnsi" w:hAnsiTheme="minorHAnsi" w:cs="Calibri"/>
        </w:rPr>
        <w:t xml:space="preserve"> (WLR – wholesale line rental)</w:t>
      </w:r>
      <w:r w:rsidRPr="002968EC">
        <w:rPr>
          <w:rFonts w:asciiTheme="minorHAnsi" w:hAnsiTheme="minorHAnsi" w:cs="Calibri"/>
          <w:lang w:val="mk-MK"/>
        </w:rPr>
        <w:t xml:space="preserve"> со цел давателот на услуга да може да ги обезбеди услугите пристап до јавна електронска комуникациска мрежа на фиксна локација, фиксни говорни повици и широкопојасен пристап до интернет. Меѓутоа со преминот на ИП платформа од страна на операторот со значителна пазарна моќ МКТ, се очекува користењето на овој вид услуга да биде намалено односно целосно укинато. Во иднина операторот би обезбедувал говорни повици преку </w:t>
      </w:r>
      <w:r w:rsidRPr="002968EC">
        <w:rPr>
          <w:rFonts w:asciiTheme="minorHAnsi" w:hAnsiTheme="minorHAnsi" w:cs="Calibri"/>
        </w:rPr>
        <w:t>ВОИП</w:t>
      </w:r>
      <w:r w:rsidRPr="002968EC">
        <w:rPr>
          <w:rFonts w:asciiTheme="minorHAnsi" w:hAnsiTheme="minorHAnsi" w:cs="Calibri"/>
          <w:lang w:val="mk-MK"/>
        </w:rPr>
        <w:t xml:space="preserve"> технологија, со користење самостоен битстрим пристап</w:t>
      </w:r>
      <w:r w:rsidRPr="002968EC">
        <w:rPr>
          <w:rFonts w:asciiTheme="minorHAnsi" w:hAnsiTheme="minorHAnsi" w:cs="Calibri"/>
        </w:rPr>
        <w:t xml:space="preserve"> (Standalone WBA)</w:t>
      </w:r>
      <w:r w:rsidRPr="002968EC">
        <w:rPr>
          <w:rFonts w:asciiTheme="minorHAnsi" w:hAnsiTheme="minorHAnsi" w:cs="Calibri"/>
          <w:lang w:val="mk-MK"/>
        </w:rPr>
        <w:t xml:space="preserve"> преку кој може да обезбеди и говорен повик и широкопојасен интернет пристап. </w:t>
      </w:r>
    </w:p>
    <w:p w:rsidR="005F2E77" w:rsidRPr="002968EC" w:rsidRDefault="00726CF2">
      <w:pPr>
        <w:autoSpaceDE w:val="0"/>
        <w:spacing w:after="0"/>
        <w:rPr>
          <w:rFonts w:asciiTheme="minorHAnsi" w:hAnsiTheme="minorHAnsi" w:cs="Calibri"/>
          <w:color w:val="FF0000"/>
          <w:lang w:val="mk-MK"/>
        </w:rPr>
      </w:pPr>
      <w:r w:rsidRPr="002968EC">
        <w:rPr>
          <w:rFonts w:asciiTheme="minorHAnsi" w:hAnsiTheme="minorHAnsi" w:cs="Calibri"/>
          <w:lang w:val="mk-MK"/>
        </w:rPr>
        <w:t>За обезбедување на услугата пристап до јавна електронска ком</w:t>
      </w:r>
      <w:r w:rsidR="001541E5" w:rsidRPr="002968EC">
        <w:rPr>
          <w:rFonts w:asciiTheme="minorHAnsi" w:hAnsiTheme="minorHAnsi" w:cs="Calibri"/>
          <w:lang w:val="mk-MK"/>
        </w:rPr>
        <w:t xml:space="preserve">уникациска </w:t>
      </w:r>
      <w:r w:rsidRPr="002968EC">
        <w:rPr>
          <w:rFonts w:asciiTheme="minorHAnsi" w:hAnsiTheme="minorHAnsi" w:cs="Calibri"/>
          <w:lang w:val="mk-MK"/>
        </w:rPr>
        <w:t xml:space="preserve">мрежа на фиксна локација операторот може да користи и услуга разврзан пристап до локална јамка, но бидејќи треба да изгради сопствена  инфраструктура и да дојде до </w:t>
      </w:r>
      <w:r w:rsidRPr="002968EC">
        <w:rPr>
          <w:rFonts w:asciiTheme="minorHAnsi" w:hAnsiTheme="minorHAnsi" w:cs="Calibri"/>
        </w:rPr>
        <w:t>DSLAM</w:t>
      </w:r>
      <w:r w:rsidRPr="002968EC">
        <w:rPr>
          <w:rFonts w:asciiTheme="minorHAnsi" w:hAnsiTheme="minorHAnsi" w:cs="Calibri"/>
          <w:lang w:val="mk-MK"/>
        </w:rPr>
        <w:t xml:space="preserve"> на </w:t>
      </w:r>
      <w:r w:rsidR="00526B4E">
        <w:rPr>
          <w:rFonts w:asciiTheme="minorHAnsi" w:hAnsiTheme="minorHAnsi" w:cs="Calibri"/>
          <w:lang w:val="mk-MK"/>
        </w:rPr>
        <w:t>МКТ</w:t>
      </w:r>
      <w:r w:rsidRPr="002968EC">
        <w:rPr>
          <w:rFonts w:asciiTheme="minorHAnsi" w:hAnsiTheme="minorHAnsi" w:cs="Calibri"/>
          <w:lang w:val="mk-MK"/>
        </w:rPr>
        <w:t xml:space="preserve">, тоа би значело реплицирање на инфраструктурата на </w:t>
      </w:r>
      <w:r w:rsidR="00526B4E">
        <w:rPr>
          <w:rFonts w:asciiTheme="minorHAnsi" w:hAnsiTheme="minorHAnsi" w:cs="Calibri"/>
          <w:lang w:val="mk-MK"/>
        </w:rPr>
        <w:t>МКТ</w:t>
      </w:r>
      <w:r w:rsidRPr="002968EC">
        <w:rPr>
          <w:rFonts w:asciiTheme="minorHAnsi" w:hAnsiTheme="minorHAnsi" w:cs="Calibri"/>
          <w:lang w:val="mk-MK"/>
        </w:rPr>
        <w:t xml:space="preserve"> и поголеми вложувања што од аспект на економија на обем е оправдано во урбаните средини.</w:t>
      </w:r>
      <w:r w:rsidR="001541E5" w:rsidRPr="002968EC">
        <w:rPr>
          <w:rFonts w:asciiTheme="minorHAnsi" w:hAnsiTheme="minorHAnsi" w:cs="Calibri"/>
          <w:color w:val="FF0000"/>
          <w:lang w:val="mk-MK"/>
        </w:rPr>
        <w:t xml:space="preserve"> </w:t>
      </w:r>
    </w:p>
    <w:p w:rsidR="005F2E77" w:rsidRPr="002968EC" w:rsidRDefault="001541E5">
      <w:pPr>
        <w:pStyle w:val="ListParagraph"/>
        <w:spacing w:after="120"/>
        <w:ind w:left="0"/>
        <w:rPr>
          <w:rFonts w:asciiTheme="minorHAnsi" w:hAnsiTheme="minorHAnsi" w:cs="Calibri"/>
          <w:color w:val="000000"/>
          <w:lang w:val="mk-MK" w:eastAsia="mk-MK"/>
        </w:rPr>
      </w:pPr>
      <w:r w:rsidRPr="002968EC">
        <w:rPr>
          <w:rFonts w:asciiTheme="minorHAnsi" w:hAnsiTheme="minorHAnsi" w:cs="Calibri"/>
          <w:color w:val="000000"/>
          <w:lang w:val="mk-MK" w:eastAsia="mk-MK"/>
        </w:rPr>
        <w:t xml:space="preserve">Големопродажните надоместоци во последните години за овие услуги бележеа голем пад со што несомнено се направи голем чекор и можност за алтернативните оператори. Оператор кој има намера да понуди фиксен пристап со телефонски разговори, лесно може да го направи тоа преку искористување на предностите на IP технологијата.  </w:t>
      </w:r>
    </w:p>
    <w:p w:rsidR="005F2E77" w:rsidRPr="002968EC" w:rsidRDefault="00D92B17">
      <w:pPr>
        <w:autoSpaceDE w:val="0"/>
        <w:spacing w:after="0"/>
        <w:rPr>
          <w:rFonts w:asciiTheme="minorHAnsi" w:hAnsiTheme="minorHAnsi" w:cs="Calibri"/>
          <w:lang w:val="mk-MK"/>
        </w:rPr>
      </w:pPr>
      <w:r>
        <w:rPr>
          <w:rFonts w:asciiTheme="minorHAnsi" w:hAnsiTheme="minorHAnsi" w:cs="Calibri"/>
          <w:lang w:val="mk-MK"/>
        </w:rPr>
        <w:t>Д</w:t>
      </w:r>
      <w:r w:rsidR="00726CF2" w:rsidRPr="002968EC">
        <w:rPr>
          <w:rFonts w:asciiTheme="minorHAnsi" w:hAnsiTheme="minorHAnsi" w:cs="Calibri"/>
          <w:lang w:val="mk-MK"/>
        </w:rPr>
        <w:t>остапноста на широк спектар н</w:t>
      </w:r>
      <w:r w:rsidR="001541E5" w:rsidRPr="002968EC">
        <w:rPr>
          <w:rFonts w:asciiTheme="minorHAnsi" w:hAnsiTheme="minorHAnsi" w:cs="Calibri"/>
          <w:lang w:val="mk-MK"/>
        </w:rPr>
        <w:t>а  големопродажни услуги</w:t>
      </w:r>
      <w:r w:rsidR="00726CF2" w:rsidRPr="002968EC">
        <w:rPr>
          <w:rFonts w:asciiTheme="minorHAnsi" w:hAnsiTheme="minorHAnsi" w:cs="Calibri"/>
          <w:lang w:val="mk-MK"/>
        </w:rPr>
        <w:t xml:space="preserve"> има позитивно влијание врз конкурентската динамика на големопродажно ниво (преку намалување на бариери за влез на операторите на електронски комуникациски услуги). </w:t>
      </w:r>
    </w:p>
    <w:p w:rsidR="005F2E77" w:rsidRPr="002968EC" w:rsidRDefault="005F2E77">
      <w:pPr>
        <w:autoSpaceDE w:val="0"/>
        <w:spacing w:after="0"/>
        <w:rPr>
          <w:rFonts w:asciiTheme="minorHAnsi" w:hAnsiTheme="minorHAnsi" w:cs="Calibri"/>
          <w:lang w:val="mk-MK"/>
        </w:rPr>
      </w:pPr>
    </w:p>
    <w:p w:rsidR="005F2E77" w:rsidRPr="002968EC" w:rsidRDefault="00B34068">
      <w:pPr>
        <w:autoSpaceDE w:val="0"/>
        <w:spacing w:after="0"/>
        <w:rPr>
          <w:rFonts w:asciiTheme="minorHAnsi" w:hAnsiTheme="minorHAnsi" w:cs="Calibri"/>
          <w:lang w:val="mk-MK"/>
        </w:rPr>
      </w:pPr>
      <w:r w:rsidRPr="002968EC">
        <w:rPr>
          <w:rFonts w:asciiTheme="minorHAnsi" w:hAnsiTheme="minorHAnsi" w:cs="Calibri"/>
          <w:lang w:val="mk-MK"/>
        </w:rPr>
        <w:t xml:space="preserve">Во периодот кој го опфаќа третата анализа на малопродажниот пазар, направени се големи структурни промени на пазарот. Се појавија нови оператори, пред се кабелските оператори со </w:t>
      </w:r>
      <w:r w:rsidRPr="002968EC">
        <w:rPr>
          <w:rFonts w:asciiTheme="minorHAnsi" w:hAnsiTheme="minorHAnsi" w:cs="Calibri"/>
          <w:lang w:val="mk-MK"/>
        </w:rPr>
        <w:lastRenderedPageBreak/>
        <w:t>сопствена мрежна инфраструктура и на тој начин започнаа со обезбедување на фиксни телефонски услуги (пристап и говор). Исто така присутни се безжични технологии (Wi Fi, WiMax). Станува збор за паралелни мрежни инфраструктури кои може да ги обезбедуваат фиксните телефонски услуги (пристап и говор) на ист начин како и МКТ.</w:t>
      </w:r>
    </w:p>
    <w:p w:rsidR="005F2E77" w:rsidRPr="002968EC" w:rsidRDefault="001541E5">
      <w:pPr>
        <w:autoSpaceDE w:val="0"/>
        <w:spacing w:after="0"/>
        <w:rPr>
          <w:rFonts w:asciiTheme="minorHAnsi" w:hAnsiTheme="minorHAnsi" w:cs="Calibri"/>
          <w:lang w:val="mk-MK"/>
        </w:rPr>
      </w:pPr>
      <w:r w:rsidRPr="002968EC">
        <w:rPr>
          <w:rFonts w:asciiTheme="minorHAnsi" w:hAnsiTheme="minorHAnsi" w:cs="Calibri"/>
          <w:lang w:val="mk-MK"/>
        </w:rPr>
        <w:t xml:space="preserve">Исто така АЕК сака да истакне дека алтернативните оператори во Р.Македонија </w:t>
      </w:r>
      <w:r w:rsidRPr="002968EC">
        <w:rPr>
          <w:rFonts w:asciiTheme="minorHAnsi" w:hAnsiTheme="minorHAnsi" w:cs="Calibri"/>
          <w:color w:val="000000"/>
          <w:lang w:val="mk-MK" w:eastAsia="mk-MK"/>
        </w:rPr>
        <w:t>имаат успешно развиено пристапни мрежи: 1.ВОИП услуга преку широкопојасна DSL конекција, кабел, оптика; 2. фиксен безжичен пристап FWA – со користење на Wi Fi и WiMax технологија; 3. fixed GSM. Оние оператори кои немаат сопствена мрежна инфраструктура, релативно лесно може да се влезат на пазарот по пат на користење на големопродажни продукти, воглавно ULL и BSA.</w:t>
      </w:r>
    </w:p>
    <w:p w:rsidR="005F2E77" w:rsidRPr="002968EC" w:rsidRDefault="00726CF2">
      <w:pPr>
        <w:autoSpaceDE w:val="0"/>
        <w:spacing w:after="0"/>
        <w:rPr>
          <w:rFonts w:asciiTheme="minorHAnsi" w:hAnsiTheme="minorHAnsi" w:cs="Calibri"/>
          <w:lang w:val="mk-MK"/>
        </w:rPr>
      </w:pPr>
      <w:r w:rsidRPr="002968EC">
        <w:rPr>
          <w:rFonts w:asciiTheme="minorHAnsi" w:hAnsiTheme="minorHAnsi" w:cs="Calibri"/>
          <w:lang w:val="mk-MK"/>
        </w:rPr>
        <w:t xml:space="preserve">Според пазарните состојби како и образложеното погоре, АЕК констатира дека </w:t>
      </w:r>
      <w:r w:rsidR="001541E5" w:rsidRPr="002968EC">
        <w:rPr>
          <w:rFonts w:asciiTheme="minorHAnsi" w:hAnsiTheme="minorHAnsi" w:cs="Calibri"/>
          <w:lang w:val="mk-MK"/>
        </w:rPr>
        <w:t xml:space="preserve">на пазарот за пристап до јавна електронска мрежа на фискна локација не постојат високи бариери за влез од аспект на неповратни трошоци и контрола на инфраструктурата која неможе лесно да се дуплира. </w:t>
      </w:r>
    </w:p>
    <w:p w:rsidR="005F2E77" w:rsidRPr="002968EC" w:rsidRDefault="005F2E77">
      <w:pPr>
        <w:autoSpaceDE w:val="0"/>
        <w:spacing w:after="0"/>
        <w:rPr>
          <w:rFonts w:asciiTheme="minorHAnsi" w:hAnsiTheme="minorHAnsi" w:cs="Calibri"/>
          <w:lang w:val="mk-MK"/>
        </w:rPr>
      </w:pPr>
    </w:p>
    <w:p w:rsidR="00032CF5" w:rsidRDefault="00B34068">
      <w:pPr>
        <w:numPr>
          <w:ilvl w:val="0"/>
          <w:numId w:val="18"/>
        </w:numPr>
        <w:autoSpaceDE w:val="0"/>
        <w:spacing w:after="0"/>
        <w:rPr>
          <w:rFonts w:asciiTheme="minorHAnsi" w:hAnsiTheme="minorHAnsi" w:cs="Calibri"/>
          <w:lang w:val="mk-MK"/>
        </w:rPr>
      </w:pPr>
      <w:r w:rsidRPr="002968EC">
        <w:rPr>
          <w:rFonts w:asciiTheme="minorHAnsi" w:hAnsiTheme="minorHAnsi" w:cs="Calibri"/>
          <w:lang w:val="mk-MK"/>
        </w:rPr>
        <w:t>Технолошки предности и супериорност</w:t>
      </w:r>
    </w:p>
    <w:p w:rsidR="005F2E77" w:rsidRPr="002968EC" w:rsidRDefault="005F2E77">
      <w:pPr>
        <w:autoSpaceDE w:val="0"/>
        <w:spacing w:after="0"/>
        <w:ind w:left="720"/>
        <w:rPr>
          <w:rFonts w:asciiTheme="minorHAnsi" w:hAnsiTheme="minorHAnsi" w:cs="Calibri"/>
          <w:lang w:val="mk-MK"/>
        </w:rPr>
      </w:pPr>
    </w:p>
    <w:p w:rsidR="00B34068" w:rsidRPr="002968EC" w:rsidRDefault="00B34068" w:rsidP="00B34068">
      <w:pPr>
        <w:autoSpaceDE w:val="0"/>
        <w:spacing w:after="0"/>
        <w:rPr>
          <w:rFonts w:asciiTheme="minorHAnsi" w:hAnsiTheme="minorHAnsi" w:cs="Calibri"/>
          <w:lang w:val="mk-MK"/>
        </w:rPr>
      </w:pPr>
      <w:r w:rsidRPr="002968EC">
        <w:rPr>
          <w:rFonts w:asciiTheme="minorHAnsi" w:hAnsiTheme="minorHAnsi" w:cs="Calibri"/>
          <w:lang w:val="mk-MK"/>
        </w:rPr>
        <w:t>Алтернативните оператори користат неколку технологии за да обезбедат телефонски услуги на фиксна локација.</w:t>
      </w:r>
    </w:p>
    <w:p w:rsidR="005F2E77" w:rsidRPr="002968EC" w:rsidRDefault="00B34068">
      <w:pPr>
        <w:autoSpaceDE w:val="0"/>
        <w:spacing w:after="0"/>
        <w:rPr>
          <w:rFonts w:asciiTheme="minorHAnsi" w:hAnsiTheme="minorHAnsi" w:cs="Calibri"/>
          <w:lang w:val="mk-MK"/>
        </w:rPr>
      </w:pPr>
      <w:r w:rsidRPr="002968EC">
        <w:rPr>
          <w:rFonts w:asciiTheme="minorHAnsi" w:hAnsiTheme="minorHAnsi" w:cs="Calibri"/>
          <w:lang w:val="mk-MK"/>
        </w:rPr>
        <w:t xml:space="preserve">Овие технологии, базирани на IP протоколот се технолошки еднакви со технологијата користена од страна на СМП операторот </w:t>
      </w:r>
      <w:r w:rsidR="00D92B17">
        <w:rPr>
          <w:rFonts w:asciiTheme="minorHAnsi" w:hAnsiTheme="minorHAnsi" w:cs="Calibri"/>
          <w:lang w:val="mk-MK"/>
        </w:rPr>
        <w:t>МКТ</w:t>
      </w:r>
      <w:r w:rsidRPr="002968EC">
        <w:rPr>
          <w:rFonts w:asciiTheme="minorHAnsi" w:hAnsiTheme="minorHAnsi" w:cs="Calibri"/>
          <w:lang w:val="mk-MK"/>
        </w:rPr>
        <w:t>.</w:t>
      </w:r>
      <w:r w:rsidR="00D77CBE" w:rsidRPr="002968EC">
        <w:rPr>
          <w:rFonts w:asciiTheme="minorHAnsi" w:hAnsiTheme="minorHAnsi" w:cs="Calibri"/>
          <w:lang w:val="mk-MK"/>
        </w:rPr>
        <w:t xml:space="preserve"> Имено, новите генерации на мрежи користени од кабелските оператори </w:t>
      </w:r>
      <w:r w:rsidR="00D77CBE" w:rsidRPr="002968EC">
        <w:rPr>
          <w:rFonts w:asciiTheme="minorHAnsi" w:hAnsiTheme="minorHAnsi" w:cs="Arial"/>
        </w:rPr>
        <w:t>(DOCSIS 3.0)</w:t>
      </w:r>
      <w:r w:rsidR="00D77CBE" w:rsidRPr="002968EC">
        <w:rPr>
          <w:rFonts w:asciiTheme="minorHAnsi" w:hAnsiTheme="minorHAnsi" w:cs="Calibri"/>
          <w:lang w:val="mk-MK"/>
        </w:rPr>
        <w:t xml:space="preserve"> ги имаат истите карактеристики на оптичката мрежа на СМП операторот.</w:t>
      </w:r>
    </w:p>
    <w:p w:rsidR="005F2E77" w:rsidRPr="002968EC" w:rsidRDefault="005F2E77">
      <w:pPr>
        <w:autoSpaceDE w:val="0"/>
        <w:spacing w:after="0"/>
        <w:rPr>
          <w:rFonts w:asciiTheme="minorHAnsi" w:hAnsiTheme="minorHAnsi" w:cs="Calibri"/>
          <w:lang w:val="mk-MK"/>
        </w:rPr>
      </w:pPr>
    </w:p>
    <w:p w:rsidR="00032CF5" w:rsidRDefault="00D77CBE">
      <w:pPr>
        <w:numPr>
          <w:ilvl w:val="0"/>
          <w:numId w:val="18"/>
        </w:numPr>
        <w:autoSpaceDE w:val="0"/>
        <w:spacing w:after="0"/>
        <w:rPr>
          <w:rFonts w:asciiTheme="minorHAnsi" w:hAnsiTheme="minorHAnsi" w:cs="Calibri"/>
          <w:lang w:val="mk-MK"/>
        </w:rPr>
      </w:pPr>
      <w:r w:rsidRPr="002968EC">
        <w:rPr>
          <w:rFonts w:asciiTheme="minorHAnsi" w:hAnsiTheme="minorHAnsi" w:cs="Calibri"/>
          <w:lang w:val="mk-MK"/>
        </w:rPr>
        <w:t>Економија на обем и економија на интеграција</w:t>
      </w:r>
    </w:p>
    <w:p w:rsidR="005F2E77" w:rsidRPr="002968EC" w:rsidRDefault="005F2E77">
      <w:pPr>
        <w:autoSpaceDE w:val="0"/>
        <w:spacing w:after="0"/>
        <w:ind w:left="720"/>
        <w:rPr>
          <w:rFonts w:asciiTheme="minorHAnsi" w:hAnsiTheme="minorHAnsi" w:cs="Calibri"/>
          <w:lang w:val="mk-MK"/>
        </w:rPr>
      </w:pPr>
    </w:p>
    <w:p w:rsidR="005F2E77" w:rsidRPr="002968EC" w:rsidRDefault="005F2E77">
      <w:pPr>
        <w:autoSpaceDE w:val="0"/>
        <w:spacing w:after="0"/>
        <w:rPr>
          <w:rFonts w:asciiTheme="minorHAnsi" w:hAnsiTheme="minorHAnsi" w:cs="Calibri"/>
          <w:lang w:val="mk-MK"/>
        </w:rPr>
      </w:pPr>
    </w:p>
    <w:p w:rsidR="00FF4FDF" w:rsidRPr="002968EC" w:rsidRDefault="00FF4FDF" w:rsidP="00FF4FDF">
      <w:pPr>
        <w:autoSpaceDE w:val="0"/>
        <w:spacing w:after="0"/>
        <w:rPr>
          <w:rFonts w:asciiTheme="minorHAnsi" w:hAnsiTheme="minorHAnsi" w:cs="Calibri"/>
          <w:lang w:val="mk-MK"/>
        </w:rPr>
      </w:pPr>
      <w:r w:rsidRPr="002968EC">
        <w:rPr>
          <w:rFonts w:asciiTheme="minorHAnsi" w:hAnsiTheme="minorHAnsi" w:cs="Calibri"/>
          <w:lang w:val="mk-MK"/>
        </w:rPr>
        <w:t>Економии на обем се карактеристика на производните процеси кои содржат високи фиксни трошоци, кои се типични за пазарите за електронски комуникации. Економија на обем постои кога зголемувањето на производството доведува до намалување на просечните трошоци по единица производ. Доколку постои, економијата на обем може да дејствува како ограничување за влез или како предност во однос на постојните конкуренти на пазарот. Ова е карактеристика на линии на производството базирани на технологии со релативно високи фиксни трошоци и пониски варијабилни трошоци.</w:t>
      </w:r>
    </w:p>
    <w:p w:rsidR="00FF4FDF" w:rsidRPr="002968EC" w:rsidRDefault="00FF4FDF" w:rsidP="00FF4FDF">
      <w:pPr>
        <w:autoSpaceDE w:val="0"/>
        <w:spacing w:after="0"/>
        <w:rPr>
          <w:rFonts w:asciiTheme="minorHAnsi" w:hAnsiTheme="minorHAnsi" w:cs="Calibri"/>
          <w:lang w:val="mk-MK"/>
        </w:rPr>
      </w:pPr>
      <w:r w:rsidRPr="002968EC">
        <w:rPr>
          <w:rFonts w:asciiTheme="minorHAnsi" w:hAnsiTheme="minorHAnsi" w:cs="Calibri"/>
          <w:lang w:val="mk-MK"/>
        </w:rPr>
        <w:t>Од аспект на инфраструктурата потребна за обезбедување на услуги на релевантниот пазар, предмет на оваа анализа економијата на обем може да придонесе за поинтензивно и пооптимално искористување на мрежата. Ова е важно во сектори каде постојат повисоки фиксни трошоци за обезбедување на некоја услуга, и според тоа колку поголема количина на определена услуга е произведена толку е помал трошокот по единица производ.</w:t>
      </w:r>
    </w:p>
    <w:p w:rsidR="00532FEC" w:rsidRPr="002968EC" w:rsidRDefault="00532FEC" w:rsidP="00532FEC">
      <w:pPr>
        <w:autoSpaceDE w:val="0"/>
        <w:spacing w:after="0"/>
        <w:rPr>
          <w:rFonts w:asciiTheme="minorHAnsi" w:hAnsiTheme="minorHAnsi" w:cs="Calibri"/>
          <w:lang w:val="mk-MK"/>
        </w:rPr>
      </w:pPr>
      <w:r w:rsidRPr="002968EC">
        <w:rPr>
          <w:rFonts w:asciiTheme="minorHAnsi" w:hAnsiTheme="minorHAnsi" w:cs="Calibri"/>
          <w:lang w:val="mk-MK"/>
        </w:rPr>
        <w:t xml:space="preserve">Достапноста на алтернативни големопродажни услуги како разврзана локална јамка има потенцијал за намалување на влијанието на економијата на обем и интеграција како бариери за влез, бидејќи оваа големопродажна услуга може да се користи од страна на алтернативен опратор за обезбедување на услугата пристап до јавна електронска комуникациска мрежа на фиксна локација, така што давателите на електронски комуникациски услуги можат да го развијат спектарот на малопродажни услуги. </w:t>
      </w:r>
    </w:p>
    <w:p w:rsidR="00532FEC" w:rsidRPr="002968EC" w:rsidRDefault="00532FEC" w:rsidP="00532FEC">
      <w:pPr>
        <w:autoSpaceDE w:val="0"/>
        <w:spacing w:after="0"/>
        <w:rPr>
          <w:rFonts w:asciiTheme="minorHAnsi" w:hAnsiTheme="minorHAnsi" w:cs="Calibri"/>
          <w:lang w:val="mk-MK"/>
        </w:rPr>
      </w:pPr>
    </w:p>
    <w:p w:rsidR="00532FEC" w:rsidRPr="002968EC" w:rsidRDefault="00532FEC" w:rsidP="00532FEC">
      <w:pPr>
        <w:autoSpaceDE w:val="0"/>
        <w:spacing w:after="0"/>
        <w:rPr>
          <w:rFonts w:asciiTheme="minorHAnsi" w:hAnsiTheme="minorHAnsi" w:cs="Calibri"/>
          <w:lang w:val="mk-MK"/>
        </w:rPr>
      </w:pPr>
      <w:r w:rsidRPr="002968EC">
        <w:rPr>
          <w:rFonts w:asciiTheme="minorHAnsi" w:hAnsiTheme="minorHAnsi" w:cs="Calibri"/>
          <w:lang w:val="mk-MK"/>
        </w:rPr>
        <w:lastRenderedPageBreak/>
        <w:t>Широкопојасниот пристап до мрежа (</w:t>
      </w:r>
      <w:r w:rsidRPr="002968EC">
        <w:rPr>
          <w:rFonts w:asciiTheme="minorHAnsi" w:hAnsiTheme="minorHAnsi" w:cs="Calibri"/>
        </w:rPr>
        <w:t>WBA)</w:t>
      </w:r>
      <w:r w:rsidRPr="002968EC">
        <w:rPr>
          <w:rFonts w:asciiTheme="minorHAnsi" w:hAnsiTheme="minorHAnsi" w:cs="Calibri"/>
          <w:lang w:val="mk-MK"/>
        </w:rPr>
        <w:t xml:space="preserve"> во пракса може да се користи за обезбедување на управувани ВОИП услуги како дополнување на</w:t>
      </w:r>
      <w:r w:rsidRPr="002968EC">
        <w:rPr>
          <w:rFonts w:asciiTheme="minorHAnsi" w:hAnsiTheme="minorHAnsi" w:cs="Calibri"/>
        </w:rPr>
        <w:t xml:space="preserve"> </w:t>
      </w:r>
      <w:r w:rsidRPr="002968EC">
        <w:rPr>
          <w:rFonts w:asciiTheme="minorHAnsi" w:hAnsiTheme="minorHAnsi" w:cs="Calibri"/>
          <w:lang w:val="mk-MK"/>
        </w:rPr>
        <w:t>широкопојасниот пристап до интернет</w:t>
      </w:r>
      <w:r w:rsidR="00267F8F">
        <w:rPr>
          <w:rFonts w:asciiTheme="minorHAnsi" w:hAnsiTheme="minorHAnsi" w:cs="Calibri"/>
          <w:lang w:val="mk-MK"/>
        </w:rPr>
        <w:t>.</w:t>
      </w:r>
    </w:p>
    <w:p w:rsidR="00532FEC" w:rsidRPr="002968EC" w:rsidRDefault="00532FEC" w:rsidP="00532FEC">
      <w:pPr>
        <w:autoSpaceDE w:val="0"/>
        <w:spacing w:after="0"/>
        <w:rPr>
          <w:rFonts w:asciiTheme="minorHAnsi" w:hAnsiTheme="minorHAnsi" w:cs="Calibri"/>
          <w:lang w:val="mk-MK"/>
        </w:rPr>
      </w:pPr>
    </w:p>
    <w:p w:rsidR="00532FEC" w:rsidRPr="002968EC" w:rsidRDefault="00532FEC" w:rsidP="00D92B17">
      <w:pPr>
        <w:autoSpaceDE w:val="0"/>
        <w:spacing w:after="0"/>
        <w:rPr>
          <w:rFonts w:asciiTheme="minorHAnsi" w:hAnsiTheme="minorHAnsi" w:cs="Calibri"/>
          <w:lang w:val="mk-MK"/>
        </w:rPr>
      </w:pPr>
      <w:r w:rsidRPr="002968EC">
        <w:rPr>
          <w:rFonts w:asciiTheme="minorHAnsi" w:hAnsiTheme="minorHAnsi" w:cs="Calibri"/>
          <w:lang w:val="mk-MK"/>
        </w:rPr>
        <w:t xml:space="preserve">Преку услугата </w:t>
      </w:r>
      <w:r w:rsidRPr="002968EC">
        <w:rPr>
          <w:rFonts w:asciiTheme="minorHAnsi" w:hAnsiTheme="minorHAnsi" w:cs="Calibri"/>
        </w:rPr>
        <w:t>“</w:t>
      </w:r>
      <w:r w:rsidRPr="002968EC">
        <w:rPr>
          <w:rFonts w:asciiTheme="minorHAnsi" w:hAnsiTheme="minorHAnsi" w:cs="Calibri"/>
          <w:lang w:val="mk-MK"/>
        </w:rPr>
        <w:t>Naked DSL</w:t>
      </w:r>
      <w:r w:rsidRPr="002968EC">
        <w:rPr>
          <w:rFonts w:asciiTheme="minorHAnsi" w:hAnsiTheme="minorHAnsi" w:cs="Calibri"/>
        </w:rPr>
        <w:t>”</w:t>
      </w:r>
      <w:r w:rsidRPr="002968EC">
        <w:rPr>
          <w:rFonts w:asciiTheme="minorHAnsi" w:hAnsiTheme="minorHAnsi" w:cs="Calibri"/>
          <w:lang w:val="mk-MK"/>
        </w:rPr>
        <w:t xml:space="preserve"> дигитална претплатничка линија од МКТ на големопродажно ниво, алтернативните оператори обезбедуваат управувани ВОИП услуги и широкопојасен интернет преку ДСЛ мрежата на </w:t>
      </w:r>
      <w:r w:rsidR="00D92B17">
        <w:rPr>
          <w:rFonts w:asciiTheme="minorHAnsi" w:hAnsiTheme="minorHAnsi" w:cs="Calibri"/>
          <w:lang w:val="mk-MK"/>
        </w:rPr>
        <w:t>МКТ</w:t>
      </w:r>
      <w:r w:rsidRPr="002968EC">
        <w:rPr>
          <w:rFonts w:asciiTheme="minorHAnsi" w:hAnsiTheme="minorHAnsi" w:cs="Calibri"/>
          <w:lang w:val="mk-MK"/>
        </w:rPr>
        <w:t>. На тој начин алтернативните оператори  избегнуваат трошоци за обезбедување на ПСТН пристап, а со тоа се овозможува ефикасност преку обезбедување на две услуги преку една платформа.</w:t>
      </w:r>
    </w:p>
    <w:p w:rsidR="00532FEC" w:rsidRPr="002968EC" w:rsidRDefault="00532FEC" w:rsidP="00FF4FDF">
      <w:pPr>
        <w:autoSpaceDE w:val="0"/>
        <w:spacing w:after="0"/>
        <w:rPr>
          <w:rFonts w:asciiTheme="minorHAnsi" w:hAnsiTheme="minorHAnsi" w:cs="Calibri"/>
        </w:rPr>
      </w:pPr>
    </w:p>
    <w:p w:rsidR="00222969" w:rsidRPr="002968EC" w:rsidRDefault="00222969" w:rsidP="00FF4FDF">
      <w:pPr>
        <w:autoSpaceDE w:val="0"/>
        <w:spacing w:after="0"/>
        <w:rPr>
          <w:rFonts w:asciiTheme="minorHAnsi" w:hAnsiTheme="minorHAnsi" w:cs="Calibri"/>
          <w:lang w:val="mk-MK"/>
        </w:rPr>
      </w:pPr>
      <w:r w:rsidRPr="002968EC">
        <w:rPr>
          <w:rFonts w:asciiTheme="minorHAnsi" w:hAnsiTheme="minorHAnsi" w:cs="Calibri"/>
          <w:lang w:val="mk-MK"/>
        </w:rPr>
        <w:t>Големопродажните услуги кои што бе</w:t>
      </w:r>
      <w:r w:rsidR="00A922DB" w:rsidRPr="002968EC">
        <w:rPr>
          <w:rFonts w:asciiTheme="minorHAnsi" w:hAnsiTheme="minorHAnsi" w:cs="Calibri"/>
          <w:lang w:val="mk-MK"/>
        </w:rPr>
        <w:t xml:space="preserve">а споменати погоре </w:t>
      </w:r>
      <w:r w:rsidR="005C3C38" w:rsidRPr="002968EC">
        <w:rPr>
          <w:rFonts w:asciiTheme="minorHAnsi" w:hAnsiTheme="minorHAnsi" w:cs="Calibri"/>
          <w:lang w:val="mk-MK"/>
        </w:rPr>
        <w:t xml:space="preserve">помагаат да се ублажат бариерите за влез на пазарот од аспект на високи фиксни трошоци. Имено регулираните цени кои се пресметани на база на трошоците на СМП операторот овозможуваат да алтернативните оператори ја обезбедат услугата пристап до јавна електронска мрежа на фиксна локација со пониски трошоци односно со малку повисоки трошоци од тие на СМП операторот. </w:t>
      </w:r>
    </w:p>
    <w:p w:rsidR="005C3C38" w:rsidRPr="002968EC" w:rsidRDefault="005C3C38" w:rsidP="00FF4FDF">
      <w:pPr>
        <w:autoSpaceDE w:val="0"/>
        <w:spacing w:after="0"/>
        <w:rPr>
          <w:rFonts w:asciiTheme="minorHAnsi" w:hAnsiTheme="minorHAnsi" w:cs="Calibri"/>
          <w:lang w:val="mk-MK"/>
        </w:rPr>
      </w:pPr>
      <w:r w:rsidRPr="002968EC">
        <w:rPr>
          <w:rFonts w:asciiTheme="minorHAnsi" w:hAnsiTheme="minorHAnsi" w:cs="Calibri"/>
          <w:lang w:val="mk-MK"/>
        </w:rPr>
        <w:t xml:space="preserve">Исто така </w:t>
      </w:r>
      <w:r w:rsidR="006105AB" w:rsidRPr="002968EC">
        <w:rPr>
          <w:rFonts w:asciiTheme="minorHAnsi" w:hAnsiTheme="minorHAnsi" w:cs="Calibri"/>
          <w:lang w:val="mk-MK"/>
        </w:rPr>
        <w:t>понудите за пристап базирани на ИП протокол како и на останатите безжични технолигии кои што во моментот на изработна на анализата се широко распространети на целата територија на државата допринесуваат за зголемување на конкуренцијата помеѓу алтернативните оператори и СМП операторот.</w:t>
      </w:r>
    </w:p>
    <w:p w:rsidR="00FF4FDF" w:rsidRPr="002968EC" w:rsidRDefault="00FF4FDF" w:rsidP="00FF4FDF">
      <w:pPr>
        <w:autoSpaceDE w:val="0"/>
        <w:spacing w:after="0"/>
        <w:rPr>
          <w:rFonts w:asciiTheme="minorHAnsi" w:hAnsiTheme="minorHAnsi" w:cs="Calibri"/>
          <w:lang w:val="mk-MK"/>
        </w:rPr>
      </w:pPr>
    </w:p>
    <w:p w:rsidR="00FF4FDF" w:rsidRPr="002968EC" w:rsidRDefault="00FF4FDF" w:rsidP="00FF4FDF">
      <w:pPr>
        <w:autoSpaceDE w:val="0"/>
        <w:spacing w:after="0"/>
        <w:rPr>
          <w:rFonts w:asciiTheme="minorHAnsi" w:hAnsiTheme="minorHAnsi" w:cs="Calibri"/>
          <w:lang w:val="mk-MK"/>
        </w:rPr>
      </w:pPr>
      <w:r w:rsidRPr="002968EC">
        <w:rPr>
          <w:rFonts w:asciiTheme="minorHAnsi" w:hAnsiTheme="minorHAnsi" w:cs="Calibri"/>
          <w:lang w:val="mk-MK"/>
        </w:rPr>
        <w:t>Економиите на интеграција постојат кога просечниот трошок по единица производ или услуга се намалува како последица на производството на тој производ или услуга заедно со други производи или услуги. Економијата на интеграција го намалува трошокот за обезбедување на индивидуална услуга и доведува до намалување на просечниот трошок по едница производ или услуга. Економијата на интеграција е присутна кога услугите се обезбедуваат преку унифицирана мрежа а капацитетот на таа мрежа може да се подели помеѓу различни услуги.</w:t>
      </w:r>
    </w:p>
    <w:p w:rsidR="00073DB0" w:rsidRPr="002968EC" w:rsidRDefault="00FF4FDF" w:rsidP="00FF4FDF">
      <w:pPr>
        <w:autoSpaceDE w:val="0"/>
        <w:spacing w:after="0"/>
        <w:rPr>
          <w:rFonts w:asciiTheme="minorHAnsi" w:hAnsiTheme="minorHAnsi" w:cs="Calibri"/>
          <w:lang w:val="mk-MK"/>
        </w:rPr>
      </w:pPr>
      <w:r w:rsidRPr="002968EC">
        <w:rPr>
          <w:rFonts w:asciiTheme="minorHAnsi" w:hAnsiTheme="minorHAnsi" w:cs="Calibri"/>
          <w:lang w:val="mk-MK"/>
        </w:rPr>
        <w:t>Од аспект на инфраструктурата потребна за обезбедување на услуги на релевантниот пазар економијата на интеграција е присутна кога на пример капацитетот на мрежата се користи за обезбедување на различни услуги.</w:t>
      </w:r>
    </w:p>
    <w:p w:rsidR="00770732" w:rsidRPr="002968EC" w:rsidRDefault="00770732" w:rsidP="00FF4FDF">
      <w:pPr>
        <w:autoSpaceDE w:val="0"/>
        <w:spacing w:after="0"/>
        <w:rPr>
          <w:rFonts w:asciiTheme="minorHAnsi" w:hAnsiTheme="minorHAnsi" w:cs="Calibri"/>
          <w:lang w:val="mk-MK"/>
        </w:rPr>
      </w:pPr>
      <w:r w:rsidRPr="002968EC">
        <w:rPr>
          <w:rFonts w:asciiTheme="minorHAnsi" w:hAnsiTheme="minorHAnsi" w:cs="Calibri"/>
          <w:lang w:val="mk-MK"/>
        </w:rPr>
        <w:t>Економиите на интеграција на пазарот за пристап до јавна електронска</w:t>
      </w:r>
      <w:r w:rsidR="00D92B17">
        <w:rPr>
          <w:rFonts w:asciiTheme="minorHAnsi" w:hAnsiTheme="minorHAnsi" w:cs="Calibri"/>
          <w:lang w:val="mk-MK"/>
        </w:rPr>
        <w:t xml:space="preserve"> комуникациска</w:t>
      </w:r>
      <w:r w:rsidRPr="002968EC">
        <w:rPr>
          <w:rFonts w:asciiTheme="minorHAnsi" w:hAnsiTheme="minorHAnsi" w:cs="Calibri"/>
          <w:lang w:val="mk-MK"/>
        </w:rPr>
        <w:t xml:space="preserve"> мрежа на фиксна локација се изразени преку се поголемата употреба на пакетираните услуги на пазарот. Истите се нудат на пазарот како од СМП операторот така и од алтернативните оператори. Овие услуги му нудат можност на корисникот за добивање на единствена сметка за користење на повеќе услуги а воедно и ја зголемуваат економијата на интеграција кај операторите. Во поглед на </w:t>
      </w:r>
      <w:r w:rsidR="00EB5674" w:rsidRPr="002968EC">
        <w:rPr>
          <w:rFonts w:asciiTheme="minorHAnsi" w:hAnsiTheme="minorHAnsi" w:cs="Calibri"/>
          <w:lang w:val="mk-MK"/>
        </w:rPr>
        <w:t xml:space="preserve">користењето на </w:t>
      </w:r>
      <w:r w:rsidRPr="002968EC">
        <w:rPr>
          <w:rFonts w:asciiTheme="minorHAnsi" w:hAnsiTheme="minorHAnsi" w:cs="Calibri"/>
          <w:lang w:val="mk-MK"/>
        </w:rPr>
        <w:t>економијата на интеграција АЕК смета дека СМП операторот нема</w:t>
      </w:r>
      <w:r w:rsidR="00EB5674" w:rsidRPr="002968EC">
        <w:rPr>
          <w:rFonts w:asciiTheme="minorHAnsi" w:hAnsiTheme="minorHAnsi" w:cs="Calibri"/>
          <w:lang w:val="mk-MK"/>
        </w:rPr>
        <w:t xml:space="preserve"> предност во однос на алтернативните оператори кои преку различни технологии нудат широк спектар на пакетирани услуги кои го вклучуваат пристапот до мрежа на фиксна локација.</w:t>
      </w:r>
      <w:r w:rsidRPr="002968EC">
        <w:rPr>
          <w:rFonts w:asciiTheme="minorHAnsi" w:hAnsiTheme="minorHAnsi" w:cs="Calibri"/>
          <w:lang w:val="mk-MK"/>
        </w:rPr>
        <w:t xml:space="preserve"> </w:t>
      </w:r>
    </w:p>
    <w:p w:rsidR="00FF4FDF" w:rsidRPr="002968EC" w:rsidRDefault="00FF4FDF" w:rsidP="00FF4FDF">
      <w:pPr>
        <w:autoSpaceDE w:val="0"/>
        <w:spacing w:after="0"/>
        <w:rPr>
          <w:rFonts w:asciiTheme="minorHAnsi" w:hAnsiTheme="minorHAnsi" w:cs="Calibri"/>
          <w:lang w:val="mk-MK"/>
        </w:rPr>
      </w:pPr>
    </w:p>
    <w:p w:rsidR="00032CF5" w:rsidRDefault="00532FEC">
      <w:pPr>
        <w:numPr>
          <w:ilvl w:val="0"/>
          <w:numId w:val="18"/>
        </w:numPr>
        <w:autoSpaceDE w:val="0"/>
        <w:spacing w:after="0"/>
        <w:rPr>
          <w:rFonts w:asciiTheme="minorHAnsi" w:hAnsiTheme="minorHAnsi" w:cs="Calibri"/>
          <w:lang w:val="mk-MK"/>
        </w:rPr>
      </w:pPr>
      <w:r w:rsidRPr="002968EC">
        <w:rPr>
          <w:rFonts w:asciiTheme="minorHAnsi" w:hAnsiTheme="minorHAnsi" w:cs="Calibri"/>
          <w:lang w:val="mk-MK"/>
        </w:rPr>
        <w:t>Високо развиена дистрибутивна и продажна мрежа</w:t>
      </w:r>
    </w:p>
    <w:p w:rsidR="00532FEC" w:rsidRPr="002968EC" w:rsidRDefault="00532FEC" w:rsidP="00532FEC">
      <w:pPr>
        <w:autoSpaceDE w:val="0"/>
        <w:spacing w:after="0"/>
        <w:rPr>
          <w:rFonts w:asciiTheme="minorHAnsi" w:hAnsiTheme="minorHAnsi" w:cs="Calibri"/>
          <w:lang w:val="mk-MK"/>
        </w:rPr>
      </w:pPr>
    </w:p>
    <w:p w:rsidR="00532FEC" w:rsidRPr="002968EC" w:rsidRDefault="00532FEC" w:rsidP="00532FEC">
      <w:pPr>
        <w:autoSpaceDE w:val="0"/>
        <w:spacing w:after="0"/>
        <w:rPr>
          <w:rFonts w:asciiTheme="minorHAnsi" w:hAnsiTheme="minorHAnsi" w:cs="Calibri"/>
          <w:lang w:val="mk-MK"/>
        </w:rPr>
      </w:pPr>
      <w:r w:rsidRPr="002968EC">
        <w:rPr>
          <w:rFonts w:asciiTheme="minorHAnsi" w:hAnsiTheme="minorHAnsi" w:cs="Calibri"/>
          <w:lang w:val="mk-MK"/>
        </w:rPr>
        <w:t>Алтернативните оператори кои што делуваат на пазарот за пристап до јавна електронска</w:t>
      </w:r>
      <w:r w:rsidR="00D92B17">
        <w:rPr>
          <w:rFonts w:asciiTheme="minorHAnsi" w:hAnsiTheme="minorHAnsi" w:cs="Calibri"/>
          <w:lang w:val="mk-MK"/>
        </w:rPr>
        <w:t xml:space="preserve"> комуникациска</w:t>
      </w:r>
      <w:r w:rsidRPr="002968EC">
        <w:rPr>
          <w:rFonts w:asciiTheme="minorHAnsi" w:hAnsiTheme="minorHAnsi" w:cs="Calibri"/>
          <w:lang w:val="mk-MK"/>
        </w:rPr>
        <w:t xml:space="preserve"> мрежа на фиксна локација исто како и СМП операторот прогласен </w:t>
      </w:r>
      <w:r w:rsidR="00D92B17">
        <w:rPr>
          <w:rFonts w:asciiTheme="minorHAnsi" w:hAnsiTheme="minorHAnsi" w:cs="Calibri"/>
          <w:lang w:val="mk-MK"/>
        </w:rPr>
        <w:t>со</w:t>
      </w:r>
      <w:r w:rsidRPr="002968EC">
        <w:rPr>
          <w:rFonts w:asciiTheme="minorHAnsi" w:hAnsiTheme="minorHAnsi" w:cs="Calibri"/>
          <w:lang w:val="mk-MK"/>
        </w:rPr>
        <w:t xml:space="preserve"> претходната анализа МКТ имаат високо развиена дистрибутивна и продажна мрежа на целата територија на РМ.</w:t>
      </w:r>
    </w:p>
    <w:p w:rsidR="0096762A" w:rsidRPr="002968EC" w:rsidRDefault="0096762A" w:rsidP="00532FEC">
      <w:pPr>
        <w:autoSpaceDE w:val="0"/>
        <w:spacing w:after="0"/>
        <w:rPr>
          <w:rFonts w:asciiTheme="minorHAnsi" w:hAnsiTheme="minorHAnsi" w:cs="Calibri"/>
          <w:lang w:val="mk-MK"/>
        </w:rPr>
      </w:pPr>
      <w:r w:rsidRPr="002968EC">
        <w:rPr>
          <w:rFonts w:asciiTheme="minorHAnsi" w:hAnsiTheme="minorHAnsi" w:cs="Calibri"/>
          <w:lang w:val="mk-MK"/>
        </w:rPr>
        <w:lastRenderedPageBreak/>
        <w:t xml:space="preserve">Во пракса алтернативните оператори имаат свои продажни салони во кои што нудат различни типови на услуги кои вклучуваат пристап до мрежа на фискна локација со што претставуваат конкуренција на дистрибутивната и продажна мрежа на МКТ. </w:t>
      </w:r>
    </w:p>
    <w:p w:rsidR="005F2E77" w:rsidRPr="002968EC" w:rsidRDefault="005F2E77">
      <w:pPr>
        <w:autoSpaceDE w:val="0"/>
        <w:spacing w:after="0"/>
        <w:rPr>
          <w:rFonts w:asciiTheme="minorHAnsi" w:hAnsiTheme="minorHAnsi" w:cs="Calibri"/>
          <w:lang w:val="mk-MK"/>
        </w:rPr>
      </w:pPr>
    </w:p>
    <w:p w:rsidR="00032CF5" w:rsidRDefault="00C71C53">
      <w:pPr>
        <w:numPr>
          <w:ilvl w:val="0"/>
          <w:numId w:val="18"/>
        </w:numPr>
        <w:autoSpaceDE w:val="0"/>
        <w:spacing w:after="0"/>
        <w:rPr>
          <w:rFonts w:asciiTheme="minorHAnsi" w:hAnsiTheme="minorHAnsi" w:cs="Calibri"/>
          <w:lang w:val="mk-MK"/>
        </w:rPr>
      </w:pPr>
      <w:r w:rsidRPr="002968EC">
        <w:rPr>
          <w:rFonts w:asciiTheme="minorHAnsi" w:hAnsiTheme="minorHAnsi" w:cs="Calibri"/>
          <w:lang w:val="mk-MK"/>
        </w:rPr>
        <w:t>Диверзификација на производи/услуги (пакетирање на производи/услуги)</w:t>
      </w:r>
    </w:p>
    <w:p w:rsidR="00C71C53" w:rsidRPr="002968EC" w:rsidRDefault="00C71C53" w:rsidP="00C71C53">
      <w:pPr>
        <w:autoSpaceDE w:val="0"/>
        <w:spacing w:after="0"/>
        <w:rPr>
          <w:rFonts w:asciiTheme="minorHAnsi" w:hAnsiTheme="minorHAnsi" w:cs="Calibri"/>
          <w:lang w:val="mk-MK"/>
        </w:rPr>
      </w:pPr>
    </w:p>
    <w:p w:rsidR="00C71C53" w:rsidRPr="002968EC" w:rsidRDefault="00C71C53" w:rsidP="00C71C53">
      <w:pPr>
        <w:autoSpaceDE w:val="0"/>
        <w:spacing w:after="0"/>
        <w:rPr>
          <w:rFonts w:asciiTheme="minorHAnsi" w:hAnsiTheme="minorHAnsi" w:cs="Calibri"/>
          <w:lang w:val="mk-MK"/>
        </w:rPr>
      </w:pPr>
      <w:r w:rsidRPr="002968EC">
        <w:rPr>
          <w:rFonts w:asciiTheme="minorHAnsi" w:hAnsiTheme="minorHAnsi" w:cs="Calibri"/>
          <w:lang w:val="mk-MK"/>
        </w:rPr>
        <w:t>Диверзификација на производи и услуги може да претставува ефективна бариера на влез на пазарот во присуство на високи фиксни трошоци. Ако</w:t>
      </w:r>
      <w:r w:rsidR="000C349A">
        <w:rPr>
          <w:rFonts w:asciiTheme="minorHAnsi" w:hAnsiTheme="minorHAnsi" w:cs="Calibri"/>
          <w:lang w:val="mk-MK"/>
        </w:rPr>
        <w:t xml:space="preserve"> операторот на пазарот е во сос</w:t>
      </w:r>
      <w:r w:rsidRPr="002968EC">
        <w:rPr>
          <w:rFonts w:asciiTheme="minorHAnsi" w:hAnsiTheme="minorHAnsi" w:cs="Calibri"/>
          <w:lang w:val="mk-MK"/>
        </w:rPr>
        <w:t xml:space="preserve">тојба да понуди голем спектар на продукти и услуги, би било </w:t>
      </w:r>
      <w:r w:rsidR="000C349A">
        <w:rPr>
          <w:rFonts w:asciiTheme="minorHAnsi" w:hAnsiTheme="minorHAnsi" w:cs="Calibri"/>
          <w:lang w:val="mk-MK"/>
        </w:rPr>
        <w:t>потешко на новите потенцијални</w:t>
      </w:r>
      <w:r w:rsidRPr="002968EC">
        <w:rPr>
          <w:rFonts w:asciiTheme="minorHAnsi" w:hAnsiTheme="minorHAnsi" w:cs="Calibri"/>
          <w:lang w:val="mk-MK"/>
        </w:rPr>
        <w:t xml:space="preserve"> оператори кои што сакаат да влезат на пазарот да се фокусираат на одреден сегмент на пазарот. Во присуство на високи фиксни трошоци потребни за обезбедување на секој тип на производ или услуга диверзификацијата на производи и услуги претставува висока бариера за влез на пазарот. </w:t>
      </w:r>
    </w:p>
    <w:p w:rsidR="00C71C53" w:rsidRPr="002968EC" w:rsidRDefault="00C71C53" w:rsidP="00C71C53">
      <w:pPr>
        <w:autoSpaceDE w:val="0"/>
        <w:spacing w:after="0"/>
        <w:rPr>
          <w:rFonts w:asciiTheme="minorHAnsi" w:hAnsiTheme="minorHAnsi" w:cs="Calibri"/>
          <w:lang w:val="mk-MK"/>
        </w:rPr>
      </w:pPr>
      <w:r w:rsidRPr="002968EC">
        <w:rPr>
          <w:rFonts w:asciiTheme="minorHAnsi" w:hAnsiTheme="minorHAnsi" w:cs="Calibri"/>
          <w:lang w:val="mk-MK"/>
        </w:rPr>
        <w:t>На релевантниот пазар предмет на анализа диверзификацијата на производи и услуги може да биде анализирана од две различни перспективи</w:t>
      </w:r>
    </w:p>
    <w:p w:rsidR="00C71C53" w:rsidRPr="002968EC" w:rsidRDefault="00C71C53" w:rsidP="00C71C53">
      <w:pPr>
        <w:autoSpaceDE w:val="0"/>
        <w:spacing w:after="0"/>
        <w:rPr>
          <w:rFonts w:asciiTheme="minorHAnsi" w:hAnsiTheme="minorHAnsi" w:cs="Calibri"/>
          <w:lang w:val="mk-MK"/>
        </w:rPr>
      </w:pPr>
    </w:p>
    <w:p w:rsidR="00032CF5" w:rsidRDefault="00C71C53">
      <w:pPr>
        <w:numPr>
          <w:ilvl w:val="0"/>
          <w:numId w:val="19"/>
        </w:numPr>
        <w:autoSpaceDE w:val="0"/>
        <w:spacing w:after="0"/>
        <w:rPr>
          <w:rFonts w:asciiTheme="minorHAnsi" w:hAnsiTheme="minorHAnsi" w:cs="Calibri"/>
          <w:lang w:val="mk-MK"/>
        </w:rPr>
      </w:pPr>
      <w:r w:rsidRPr="002968EC">
        <w:rPr>
          <w:rFonts w:asciiTheme="minorHAnsi" w:hAnsiTheme="minorHAnsi" w:cs="Calibri"/>
          <w:lang w:val="mk-MK"/>
        </w:rPr>
        <w:t>Пакетирање на одредени услуги од различна природа во еден пакет</w:t>
      </w:r>
    </w:p>
    <w:p w:rsidR="00032CF5" w:rsidRDefault="00C71C53">
      <w:pPr>
        <w:numPr>
          <w:ilvl w:val="0"/>
          <w:numId w:val="19"/>
        </w:numPr>
        <w:autoSpaceDE w:val="0"/>
        <w:spacing w:after="0"/>
        <w:rPr>
          <w:rFonts w:asciiTheme="minorHAnsi" w:hAnsiTheme="minorHAnsi" w:cs="Calibri"/>
          <w:lang w:val="mk-MK"/>
        </w:rPr>
      </w:pPr>
      <w:r w:rsidRPr="002968EC">
        <w:rPr>
          <w:rFonts w:asciiTheme="minorHAnsi" w:hAnsiTheme="minorHAnsi" w:cs="Calibri"/>
          <w:lang w:val="mk-MK"/>
        </w:rPr>
        <w:t>Понудување на различни видови на тарифи за фиксни телефонски услуги</w:t>
      </w:r>
    </w:p>
    <w:p w:rsidR="00C71C53" w:rsidRPr="002968EC" w:rsidRDefault="00C71C53" w:rsidP="00C71C53">
      <w:pPr>
        <w:autoSpaceDE w:val="0"/>
        <w:spacing w:after="0"/>
        <w:rPr>
          <w:rFonts w:asciiTheme="minorHAnsi" w:hAnsiTheme="minorHAnsi" w:cs="Calibri"/>
          <w:lang w:val="mk-MK"/>
        </w:rPr>
      </w:pPr>
    </w:p>
    <w:p w:rsidR="00C71C53" w:rsidRPr="002968EC" w:rsidRDefault="00C71C53" w:rsidP="00C71C53">
      <w:pPr>
        <w:autoSpaceDE w:val="0"/>
        <w:spacing w:after="0"/>
        <w:rPr>
          <w:rFonts w:asciiTheme="minorHAnsi" w:hAnsiTheme="minorHAnsi" w:cs="Calibri"/>
          <w:lang w:val="mk-MK"/>
        </w:rPr>
      </w:pPr>
      <w:r w:rsidRPr="002968EC">
        <w:rPr>
          <w:rFonts w:asciiTheme="minorHAnsi" w:hAnsiTheme="minorHAnsi" w:cs="Calibri"/>
          <w:lang w:val="mk-MK"/>
        </w:rPr>
        <w:t>Во врска со првата поточка факт е дека во Р.Македонија постојат голем спектар на пакетирани услуги кои што вклучуваат услуги за пристап до мрежа на фиксна локација, други фиксни услуги, мо</w:t>
      </w:r>
      <w:r w:rsidR="000C349A">
        <w:rPr>
          <w:rFonts w:asciiTheme="minorHAnsi" w:hAnsiTheme="minorHAnsi" w:cs="Calibri"/>
          <w:lang w:val="mk-MK"/>
        </w:rPr>
        <w:t>билни услуги и ред други услуги</w:t>
      </w:r>
      <w:r w:rsidRPr="002968EC">
        <w:rPr>
          <w:rFonts w:asciiTheme="minorHAnsi" w:hAnsiTheme="minorHAnsi" w:cs="Calibri"/>
          <w:lang w:val="mk-MK"/>
        </w:rPr>
        <w:t>. Сепак АЕК би сакал да нагласи дека ваквата стратегија на пакетирање на услуги е присутна кај поголем дел од операторите на пазарот, односно освен СМП операторот и алтернативните оператори имаат слични стратегии за пакетирање на услуги со кои што би придобиле поголем број на пратплатници. Од тие причини АЕК смета дека стратегијата за пакетирање на производи и услуги не претставува бариера за влез на пазарот и со неа не може да се направи ограничување на конкуренцијата на истиот туку спротивно на тоа го зголемува изборот на оператор за обезбедување на одредена услуга односно доведува до зголемување на конкуренцијата на пазарот</w:t>
      </w:r>
      <w:r w:rsidR="000C349A">
        <w:rPr>
          <w:rFonts w:asciiTheme="minorHAnsi" w:hAnsiTheme="minorHAnsi" w:cs="Calibri"/>
          <w:lang w:val="mk-MK"/>
        </w:rPr>
        <w:t>.</w:t>
      </w:r>
    </w:p>
    <w:p w:rsidR="00C71C53" w:rsidRPr="002968EC" w:rsidRDefault="00C71C53" w:rsidP="00C71C53">
      <w:pPr>
        <w:autoSpaceDE w:val="0"/>
        <w:spacing w:after="0"/>
        <w:rPr>
          <w:rFonts w:asciiTheme="minorHAnsi" w:hAnsiTheme="minorHAnsi" w:cs="Calibri"/>
          <w:lang w:val="mk-MK"/>
        </w:rPr>
      </w:pPr>
      <w:r w:rsidRPr="002968EC">
        <w:rPr>
          <w:rFonts w:asciiTheme="minorHAnsi" w:hAnsiTheme="minorHAnsi" w:cs="Calibri"/>
          <w:lang w:val="mk-MK"/>
        </w:rPr>
        <w:t xml:space="preserve">АЕК смета дека и втората поточка која се однесува на различни тарифи за фиксни телефонски услуги не претставува бариера за влез на релевантниот пазар. Ваквиот заклучок на АЕК се темели на фактот што некои од помалите алтернативни оператори влезот на пазарот го остварија точно таргетирајќи одреден сегмент на пазарот без оглед на општата диверзификација на производи и услуги на пазарот. Некои од операторите го ставија својот акцент на резиденцијалните корисници понудувајќи тарифи односно договори кои што се на неопределено време додека други оператори својот бизнис план го темелат на бизнис корисниците и нудат тарифи кои што се слични а во некои случаи и поефтини од они на СМП операторот. </w:t>
      </w:r>
    </w:p>
    <w:p w:rsidR="00C71C53" w:rsidRPr="002968EC" w:rsidRDefault="00C71C53" w:rsidP="00C71C53">
      <w:pPr>
        <w:autoSpaceDE w:val="0"/>
        <w:spacing w:after="0"/>
        <w:rPr>
          <w:rFonts w:asciiTheme="minorHAnsi" w:hAnsiTheme="minorHAnsi" w:cs="Calibri"/>
          <w:lang w:val="mk-MK"/>
        </w:rPr>
      </w:pPr>
    </w:p>
    <w:p w:rsidR="00C71C53" w:rsidRDefault="00C71C53" w:rsidP="00C71C53">
      <w:pPr>
        <w:autoSpaceDE w:val="0"/>
        <w:spacing w:after="0"/>
        <w:rPr>
          <w:rFonts w:asciiTheme="minorHAnsi" w:hAnsiTheme="minorHAnsi" w:cs="Calibri"/>
          <w:lang w:val="mk-MK"/>
        </w:rPr>
      </w:pPr>
      <w:r w:rsidRPr="002968EC">
        <w:rPr>
          <w:rFonts w:asciiTheme="minorHAnsi" w:hAnsiTheme="minorHAnsi" w:cs="Calibri"/>
          <w:lang w:val="mk-MK"/>
        </w:rPr>
        <w:t>Во согласност со горекажаното АЕК смета дека критериумот дивезификација на производи и услуги не претставува бариера за влез на пазарот за пристап до јавна електронска комуникациска мрежа на фиксна локација</w:t>
      </w:r>
      <w:r w:rsidR="000E4710">
        <w:rPr>
          <w:rFonts w:asciiTheme="minorHAnsi" w:hAnsiTheme="minorHAnsi" w:cs="Calibri"/>
          <w:lang w:val="mk-MK"/>
        </w:rPr>
        <w:t>.</w:t>
      </w:r>
    </w:p>
    <w:p w:rsidR="000E4710" w:rsidRDefault="000E4710" w:rsidP="00C71C53">
      <w:pPr>
        <w:autoSpaceDE w:val="0"/>
        <w:spacing w:after="0"/>
        <w:rPr>
          <w:rFonts w:asciiTheme="minorHAnsi" w:hAnsiTheme="minorHAnsi" w:cs="Calibri"/>
          <w:lang w:val="mk-MK"/>
        </w:rPr>
      </w:pPr>
    </w:p>
    <w:p w:rsidR="000E4710" w:rsidRPr="002968EC" w:rsidRDefault="000E4710" w:rsidP="00C71C53">
      <w:pPr>
        <w:autoSpaceDE w:val="0"/>
        <w:spacing w:after="0"/>
        <w:rPr>
          <w:rFonts w:asciiTheme="minorHAnsi" w:hAnsiTheme="minorHAnsi" w:cs="Calibri"/>
          <w:lang w:val="mk-MK"/>
        </w:rPr>
      </w:pPr>
    </w:p>
    <w:p w:rsidR="00C71C53" w:rsidRPr="002968EC" w:rsidRDefault="00C71C53" w:rsidP="00532FEC">
      <w:pPr>
        <w:autoSpaceDE w:val="0"/>
        <w:spacing w:after="0"/>
        <w:rPr>
          <w:rFonts w:asciiTheme="minorHAnsi" w:hAnsiTheme="minorHAnsi" w:cs="Calibri"/>
          <w:lang w:val="mk-MK"/>
        </w:rPr>
      </w:pPr>
    </w:p>
    <w:p w:rsidR="00E64930" w:rsidRPr="002968EC" w:rsidRDefault="00E64930" w:rsidP="00BA0FF7">
      <w:pPr>
        <w:numPr>
          <w:ilvl w:val="0"/>
          <w:numId w:val="24"/>
        </w:numPr>
        <w:rPr>
          <w:rFonts w:asciiTheme="minorHAnsi" w:hAnsiTheme="minorHAnsi"/>
          <w:lang w:val="mk-MK"/>
        </w:rPr>
      </w:pPr>
      <w:r w:rsidRPr="002968EC">
        <w:rPr>
          <w:rFonts w:asciiTheme="minorHAnsi" w:hAnsiTheme="minorHAnsi"/>
          <w:lang w:val="mk-MK"/>
        </w:rPr>
        <w:lastRenderedPageBreak/>
        <w:t xml:space="preserve">Заклучок за структурни бариери за влез </w:t>
      </w:r>
    </w:p>
    <w:p w:rsidR="00E64930" w:rsidRPr="002968EC" w:rsidRDefault="00E64930" w:rsidP="00E64930">
      <w:pPr>
        <w:rPr>
          <w:rFonts w:asciiTheme="minorHAnsi" w:hAnsiTheme="minorHAnsi"/>
          <w:lang w:val="mk-MK"/>
        </w:rPr>
      </w:pPr>
      <w:r w:rsidRPr="002968EC">
        <w:rPr>
          <w:rFonts w:asciiTheme="minorHAnsi" w:hAnsiTheme="minorHAnsi"/>
          <w:lang w:val="mk-MK"/>
        </w:rPr>
        <w:t>На пазарот кој е предмет на разгледување, два силни фактори имаат решавачко влијание на нивото за бариери за влез. Првиот фактор е од регулаторен апсект односно регулацијата на големоп</w:t>
      </w:r>
      <w:r w:rsidR="00BA0FF7">
        <w:rPr>
          <w:rFonts w:asciiTheme="minorHAnsi" w:hAnsiTheme="minorHAnsi"/>
          <w:lang w:val="mk-MK"/>
        </w:rPr>
        <w:t>р</w:t>
      </w:r>
      <w:r w:rsidRPr="002968EC">
        <w:rPr>
          <w:rFonts w:asciiTheme="minorHAnsi" w:hAnsiTheme="minorHAnsi"/>
          <w:lang w:val="mk-MK"/>
        </w:rPr>
        <w:t>одажните услуги додека другиот е слободните комерцијални активности на конкурентските компании и зголемениот технолошки развој во поглед на обезбедувањето на услугата за пристап.</w:t>
      </w:r>
    </w:p>
    <w:p w:rsidR="00E64930" w:rsidRPr="002968EC" w:rsidRDefault="00E64930" w:rsidP="00467A47">
      <w:pPr>
        <w:rPr>
          <w:rFonts w:asciiTheme="minorHAnsi" w:hAnsiTheme="minorHAnsi"/>
          <w:lang w:val="mk-MK"/>
        </w:rPr>
      </w:pPr>
      <w:r w:rsidRPr="002968EC">
        <w:rPr>
          <w:rFonts w:asciiTheme="minorHAnsi" w:hAnsiTheme="minorHAnsi"/>
          <w:lang w:val="mk-MK"/>
        </w:rPr>
        <w:t>Наметнатата регулацијата на одредени голе</w:t>
      </w:r>
      <w:r w:rsidR="00467A47" w:rsidRPr="002968EC">
        <w:rPr>
          <w:rFonts w:asciiTheme="minorHAnsi" w:hAnsiTheme="minorHAnsi"/>
          <w:lang w:val="mk-MK"/>
        </w:rPr>
        <w:t>о</w:t>
      </w:r>
      <w:r w:rsidRPr="002968EC">
        <w:rPr>
          <w:rFonts w:asciiTheme="minorHAnsi" w:hAnsiTheme="minorHAnsi"/>
          <w:lang w:val="mk-MK"/>
        </w:rPr>
        <w:t>мпродажни услуги на МКТ</w:t>
      </w:r>
      <w:r w:rsidR="00467A47" w:rsidRPr="002968EC">
        <w:rPr>
          <w:rFonts w:asciiTheme="minorHAnsi" w:hAnsiTheme="minorHAnsi"/>
          <w:lang w:val="mk-MK"/>
        </w:rPr>
        <w:t xml:space="preserve"> ефективно придонесуваат за намалување на структурните бариери за влез. АЕК смета дека тие ќе продолжат да влијаат врз развојот на сопствените мрежи на алтернативните оператори како и на времето потребно за влез на релевантниот пазар.</w:t>
      </w:r>
      <w:r w:rsidRPr="002968EC">
        <w:rPr>
          <w:rFonts w:asciiTheme="minorHAnsi" w:hAnsiTheme="minorHAnsi"/>
          <w:lang w:val="mk-MK"/>
        </w:rPr>
        <w:t xml:space="preserve"> </w:t>
      </w:r>
      <w:r w:rsidR="00467A47" w:rsidRPr="002968EC">
        <w:rPr>
          <w:rFonts w:asciiTheme="minorHAnsi" w:hAnsiTheme="minorHAnsi"/>
          <w:lang w:val="mk-MK"/>
        </w:rPr>
        <w:t>Во пракса можноста за користењето на големопродажните регулирани услуги овозможува алтернативните оператори без поголеми фиксни и неповратни трошоци туку со само малку повисоки трошоци од тие на СМП операторот да придобијат пазарен удел а во некои случаи и да се искачат погоре на инвестициското скалило.</w:t>
      </w:r>
    </w:p>
    <w:p w:rsidR="00467A47" w:rsidRPr="002968EC" w:rsidRDefault="00467A47" w:rsidP="00467A47">
      <w:pPr>
        <w:rPr>
          <w:rFonts w:asciiTheme="minorHAnsi" w:hAnsiTheme="minorHAnsi"/>
          <w:lang w:val="mk-MK"/>
        </w:rPr>
      </w:pPr>
      <w:r w:rsidRPr="002968EC">
        <w:rPr>
          <w:rFonts w:asciiTheme="minorHAnsi" w:hAnsiTheme="minorHAnsi"/>
          <w:lang w:val="mk-MK"/>
        </w:rPr>
        <w:t xml:space="preserve">Технолошкиот развој </w:t>
      </w:r>
      <w:r w:rsidR="00A271DC" w:rsidRPr="002968EC">
        <w:rPr>
          <w:rFonts w:asciiTheme="minorHAnsi" w:hAnsiTheme="minorHAnsi"/>
          <w:lang w:val="mk-MK"/>
        </w:rPr>
        <w:t xml:space="preserve">и зголемената побарувачка за користење на пакетираните услуги овозможува полесен влез на алтернативните оператори на пазарот за пристап со помош на сопствени мрежи базирани на ИП протокол како и останати безжични технологии. </w:t>
      </w:r>
    </w:p>
    <w:p w:rsidR="00A271DC" w:rsidRPr="002968EC" w:rsidRDefault="000C349A" w:rsidP="00467A47">
      <w:pPr>
        <w:rPr>
          <w:rFonts w:asciiTheme="minorHAnsi" w:hAnsiTheme="minorHAnsi"/>
          <w:lang w:val="mk-MK"/>
        </w:rPr>
      </w:pPr>
      <w:r>
        <w:rPr>
          <w:rFonts w:asciiTheme="minorHAnsi" w:hAnsiTheme="minorHAnsi"/>
          <w:lang w:val="mk-MK"/>
        </w:rPr>
        <w:t>Ваквата зголеме</w:t>
      </w:r>
      <w:r w:rsidR="00A271DC" w:rsidRPr="002968EC">
        <w:rPr>
          <w:rFonts w:asciiTheme="minorHAnsi" w:hAnsiTheme="minorHAnsi"/>
          <w:lang w:val="mk-MK"/>
        </w:rPr>
        <w:t>на технолошка конкуренција овозможува алтернативните оператори да се натпреваруваат со СМП операторот на пазарот за пристап. Со комерцијалната слобода при формира</w:t>
      </w:r>
      <w:r>
        <w:rPr>
          <w:rFonts w:asciiTheme="minorHAnsi" w:hAnsiTheme="minorHAnsi"/>
          <w:lang w:val="mk-MK"/>
        </w:rPr>
        <w:t>њето на своите цени за услугите</w:t>
      </w:r>
      <w:r w:rsidR="00A271DC" w:rsidRPr="002968EC">
        <w:rPr>
          <w:rFonts w:asciiTheme="minorHAnsi" w:hAnsiTheme="minorHAnsi"/>
          <w:lang w:val="mk-MK"/>
        </w:rPr>
        <w:t xml:space="preserve"> тие го зголемуваат конкурентскиот притисок врз </w:t>
      </w:r>
      <w:r w:rsidR="00726DFF" w:rsidRPr="002968EC">
        <w:rPr>
          <w:rFonts w:asciiTheme="minorHAnsi" w:hAnsiTheme="minorHAnsi"/>
          <w:lang w:val="mk-MK"/>
        </w:rPr>
        <w:t>формирањето на</w:t>
      </w:r>
      <w:r w:rsidR="00A271DC" w:rsidRPr="002968EC">
        <w:rPr>
          <w:rFonts w:asciiTheme="minorHAnsi" w:hAnsiTheme="minorHAnsi"/>
          <w:lang w:val="mk-MK"/>
        </w:rPr>
        <w:t xml:space="preserve"> цени</w:t>
      </w:r>
      <w:r w:rsidR="00726DFF" w:rsidRPr="002968EC">
        <w:rPr>
          <w:rFonts w:asciiTheme="minorHAnsi" w:hAnsiTheme="minorHAnsi"/>
          <w:lang w:val="mk-MK"/>
        </w:rPr>
        <w:t>те за услугите</w:t>
      </w:r>
      <w:r w:rsidR="00A271DC" w:rsidRPr="002968EC">
        <w:rPr>
          <w:rFonts w:asciiTheme="minorHAnsi" w:hAnsiTheme="minorHAnsi"/>
          <w:lang w:val="mk-MK"/>
        </w:rPr>
        <w:t xml:space="preserve"> на корисниците.</w:t>
      </w:r>
    </w:p>
    <w:p w:rsidR="00726DFF" w:rsidRPr="002968EC" w:rsidRDefault="00726DFF" w:rsidP="00467A47">
      <w:pPr>
        <w:rPr>
          <w:rFonts w:asciiTheme="minorHAnsi" w:hAnsiTheme="minorHAnsi"/>
          <w:lang w:val="mk-MK"/>
        </w:rPr>
      </w:pPr>
      <w:r w:rsidRPr="002968EC">
        <w:rPr>
          <w:rFonts w:asciiTheme="minorHAnsi" w:hAnsiTheme="minorHAnsi"/>
          <w:lang w:val="mk-MK"/>
        </w:rPr>
        <w:t xml:space="preserve">Со горенаведените аргументи АЕК смета дека првиот критериум за определување на пазари подложни на </w:t>
      </w:r>
      <w:r w:rsidRPr="002968EC">
        <w:rPr>
          <w:rFonts w:asciiTheme="minorHAnsi" w:hAnsiTheme="minorHAnsi"/>
        </w:rPr>
        <w:t xml:space="preserve">ex-ante </w:t>
      </w:r>
      <w:r w:rsidRPr="002968EC">
        <w:rPr>
          <w:rFonts w:asciiTheme="minorHAnsi" w:hAnsiTheme="minorHAnsi"/>
          <w:lang w:val="mk-MK"/>
        </w:rPr>
        <w:t>регулација кој што се однесува на високи и постојани бариери за влез на пазарот за пристап до јавна електронска мрежа на фиксна локација во Р.Македонија не е исполнет. Поточно во моментот нема структурни бариери за влез на релевантиот пазар кои што би спречиле висок степен на конкуренција на истиот.</w:t>
      </w:r>
    </w:p>
    <w:p w:rsidR="00032CF5" w:rsidRDefault="00726DFF">
      <w:pPr>
        <w:numPr>
          <w:ilvl w:val="0"/>
          <w:numId w:val="23"/>
        </w:numPr>
        <w:rPr>
          <w:rFonts w:asciiTheme="minorHAnsi" w:hAnsiTheme="minorHAnsi"/>
          <w:lang w:val="mk-MK"/>
        </w:rPr>
      </w:pPr>
      <w:r w:rsidRPr="002968EC">
        <w:rPr>
          <w:rFonts w:asciiTheme="minorHAnsi" w:hAnsiTheme="minorHAnsi"/>
          <w:lang w:val="mk-MK"/>
        </w:rPr>
        <w:t>Легални</w:t>
      </w:r>
      <w:r w:rsidR="00D06771" w:rsidRPr="002968EC">
        <w:rPr>
          <w:rFonts w:asciiTheme="minorHAnsi" w:hAnsiTheme="minorHAnsi"/>
          <w:lang w:val="mk-MK"/>
        </w:rPr>
        <w:t xml:space="preserve"> и регулаторни</w:t>
      </w:r>
      <w:r w:rsidRPr="002968EC">
        <w:rPr>
          <w:rFonts w:asciiTheme="minorHAnsi" w:hAnsiTheme="minorHAnsi"/>
          <w:lang w:val="mk-MK"/>
        </w:rPr>
        <w:t xml:space="preserve"> бариери </w:t>
      </w:r>
    </w:p>
    <w:p w:rsidR="003E231B" w:rsidRPr="002968EC" w:rsidRDefault="003E231B" w:rsidP="003E231B">
      <w:pPr>
        <w:rPr>
          <w:rFonts w:asciiTheme="minorHAnsi" w:hAnsiTheme="minorHAnsi" w:cs="Calibri"/>
          <w:lang w:val="mk-MK"/>
        </w:rPr>
      </w:pPr>
      <w:r w:rsidRPr="002968EC">
        <w:rPr>
          <w:rFonts w:asciiTheme="minorHAnsi" w:hAnsiTheme="minorHAnsi" w:cs="Calibri"/>
          <w:lang w:val="mk-MK"/>
        </w:rPr>
        <w:t xml:space="preserve"> </w:t>
      </w:r>
      <w:r w:rsidR="00726DFF" w:rsidRPr="002968EC">
        <w:rPr>
          <w:rFonts w:asciiTheme="minorHAnsi" w:hAnsiTheme="minorHAnsi" w:cs="Calibri"/>
          <w:lang w:val="mk-MK"/>
        </w:rPr>
        <w:t>В</w:t>
      </w:r>
      <w:r w:rsidRPr="002968EC">
        <w:rPr>
          <w:rFonts w:asciiTheme="minorHAnsi" w:hAnsiTheme="minorHAnsi" w:cs="Calibri"/>
          <w:lang w:val="mk-MK"/>
        </w:rPr>
        <w:t>рз основа на препораките на Европската комисија, легалните</w:t>
      </w:r>
      <w:r w:rsidR="00D06771" w:rsidRPr="002968EC">
        <w:rPr>
          <w:rFonts w:asciiTheme="minorHAnsi" w:hAnsiTheme="minorHAnsi" w:cs="Calibri"/>
          <w:lang w:val="mk-MK"/>
        </w:rPr>
        <w:t xml:space="preserve"> и регулаторните</w:t>
      </w:r>
      <w:r w:rsidRPr="002968EC">
        <w:rPr>
          <w:rFonts w:asciiTheme="minorHAnsi" w:hAnsiTheme="minorHAnsi" w:cs="Calibri"/>
          <w:lang w:val="mk-MK"/>
        </w:rPr>
        <w:t xml:space="preserve"> бариери не зависат од  економски услови, но произлегуваат од законодавни, административни или други слични мерки кои индиректно влијаат на влезот на нови оператори/учесници на пазарот. </w:t>
      </w:r>
    </w:p>
    <w:p w:rsidR="003E231B" w:rsidRPr="002968EC" w:rsidRDefault="003E231B" w:rsidP="003E231B">
      <w:pPr>
        <w:rPr>
          <w:rFonts w:asciiTheme="minorHAnsi" w:hAnsiTheme="minorHAnsi" w:cs="Calibri"/>
          <w:lang w:val="mk-MK"/>
        </w:rPr>
      </w:pPr>
      <w:r w:rsidRPr="002968EC">
        <w:rPr>
          <w:rFonts w:asciiTheme="minorHAnsi" w:hAnsiTheme="minorHAnsi" w:cs="Calibri"/>
          <w:lang w:val="mk-MK"/>
        </w:rPr>
        <w:t>Врз основа на Извештајот за три критериа тест број 080604 од  Групата на европски регулатори (</w:t>
      </w:r>
      <w:r w:rsidRPr="002968EC">
        <w:rPr>
          <w:rFonts w:asciiTheme="minorHAnsi" w:hAnsiTheme="minorHAnsi" w:cs="Calibri"/>
        </w:rPr>
        <w:t>ERG</w:t>
      </w:r>
      <w:r w:rsidRPr="002968EC">
        <w:rPr>
          <w:rFonts w:asciiTheme="minorHAnsi" w:hAnsiTheme="minorHAnsi" w:cs="Calibri"/>
          <w:lang w:val="mk-MK"/>
        </w:rPr>
        <w:t xml:space="preserve">), главните легални бариери за влез на пазарот се следните: </w:t>
      </w:r>
    </w:p>
    <w:p w:rsidR="00032CF5" w:rsidRDefault="003E231B">
      <w:pPr>
        <w:pStyle w:val="ListParagraph"/>
        <w:numPr>
          <w:ilvl w:val="0"/>
          <w:numId w:val="14"/>
        </w:numPr>
        <w:rPr>
          <w:rFonts w:asciiTheme="minorHAnsi" w:hAnsiTheme="minorHAnsi" w:cs="Calibri"/>
        </w:rPr>
      </w:pPr>
      <w:r w:rsidRPr="002968EC">
        <w:rPr>
          <w:rFonts w:asciiTheme="minorHAnsi" w:hAnsiTheme="minorHAnsi" w:cs="Calibri"/>
        </w:rPr>
        <w:t xml:space="preserve">Потребата за административна одлука односно дозвола за да се започне со комерцијална работа; </w:t>
      </w:r>
    </w:p>
    <w:p w:rsidR="00032CF5" w:rsidRDefault="003E231B">
      <w:pPr>
        <w:pStyle w:val="ListParagraph"/>
        <w:numPr>
          <w:ilvl w:val="0"/>
          <w:numId w:val="14"/>
        </w:numPr>
        <w:rPr>
          <w:rFonts w:asciiTheme="minorHAnsi" w:hAnsiTheme="minorHAnsi" w:cs="Calibri"/>
        </w:rPr>
      </w:pPr>
      <w:r w:rsidRPr="002968EC">
        <w:rPr>
          <w:rFonts w:asciiTheme="minorHAnsi" w:hAnsiTheme="minorHAnsi" w:cs="Calibri"/>
        </w:rPr>
        <w:t xml:space="preserve">Ограничувања и услови поврзани со употребата на радиофреквенцискиот спектар; </w:t>
      </w:r>
    </w:p>
    <w:p w:rsidR="00032CF5" w:rsidRPr="00BA0FF7" w:rsidRDefault="003E231B">
      <w:pPr>
        <w:pStyle w:val="ListParagraph"/>
        <w:numPr>
          <w:ilvl w:val="0"/>
          <w:numId w:val="14"/>
        </w:numPr>
        <w:rPr>
          <w:rFonts w:asciiTheme="minorHAnsi" w:hAnsiTheme="minorHAnsi" w:cs="Calibri"/>
        </w:rPr>
      </w:pPr>
      <w:r w:rsidRPr="002968EC">
        <w:rPr>
          <w:rFonts w:asciiTheme="minorHAnsi" w:hAnsiTheme="minorHAnsi" w:cs="Calibri"/>
        </w:rPr>
        <w:t>Влијание на начинот на кој е поставена регулативата за нови оператори/учесници кои планираат  да влезат на пазарот.</w:t>
      </w:r>
    </w:p>
    <w:p w:rsidR="00BA0FF7" w:rsidRDefault="00BA0FF7" w:rsidP="00BA0FF7">
      <w:pPr>
        <w:pStyle w:val="ListParagraph"/>
        <w:rPr>
          <w:rFonts w:asciiTheme="minorHAnsi" w:hAnsiTheme="minorHAnsi" w:cs="Calibri"/>
          <w:lang w:val="mk-MK"/>
        </w:rPr>
      </w:pPr>
    </w:p>
    <w:p w:rsidR="00BA0FF7" w:rsidRDefault="00BA0FF7" w:rsidP="00BA0FF7">
      <w:pPr>
        <w:pStyle w:val="ListParagraph"/>
        <w:ind w:left="0"/>
        <w:rPr>
          <w:rFonts w:asciiTheme="minorHAnsi" w:hAnsiTheme="minorHAnsi" w:cs="Calibri"/>
          <w:lang w:val="mk-MK"/>
        </w:rPr>
      </w:pPr>
    </w:p>
    <w:p w:rsidR="00BA0FF7" w:rsidRDefault="00BA0FF7" w:rsidP="00BA0FF7">
      <w:pPr>
        <w:pStyle w:val="ListParagraph"/>
        <w:numPr>
          <w:ilvl w:val="0"/>
          <w:numId w:val="23"/>
        </w:numPr>
        <w:rPr>
          <w:rFonts w:asciiTheme="minorHAnsi" w:hAnsiTheme="minorHAnsi" w:cs="Calibri"/>
        </w:rPr>
      </w:pPr>
      <w:r w:rsidRPr="002968EC">
        <w:rPr>
          <w:rFonts w:asciiTheme="minorHAnsi" w:hAnsiTheme="minorHAnsi" w:cs="Calibri"/>
        </w:rPr>
        <w:lastRenderedPageBreak/>
        <w:t xml:space="preserve">Потребата за административна одлука односно дозвола за да се започне со комерцијална работа; </w:t>
      </w:r>
    </w:p>
    <w:p w:rsidR="00BA0FF7" w:rsidRDefault="00BA0FF7" w:rsidP="00BA0FF7">
      <w:pPr>
        <w:pStyle w:val="ListParagraph"/>
        <w:ind w:left="360"/>
        <w:rPr>
          <w:rFonts w:asciiTheme="minorHAnsi" w:hAnsiTheme="minorHAnsi" w:cs="Calibri"/>
        </w:rPr>
      </w:pPr>
    </w:p>
    <w:p w:rsidR="003E231B" w:rsidRPr="002968EC" w:rsidRDefault="003E231B" w:rsidP="003E231B">
      <w:pPr>
        <w:autoSpaceDE w:val="0"/>
        <w:autoSpaceDN w:val="0"/>
        <w:adjustRightInd w:val="0"/>
        <w:spacing w:after="0"/>
        <w:rPr>
          <w:rFonts w:asciiTheme="minorHAnsi" w:hAnsiTheme="minorHAnsi" w:cs="Calibri"/>
          <w:lang w:val="mk-MK"/>
        </w:rPr>
      </w:pPr>
      <w:r w:rsidRPr="002968EC">
        <w:rPr>
          <w:rFonts w:asciiTheme="minorHAnsi" w:hAnsiTheme="minorHAnsi" w:cs="Calibri"/>
          <w:lang w:val="mk-MK"/>
        </w:rPr>
        <w:t>Согласно ЗЕК во член 60 став (1) е наведено дека п</w:t>
      </w:r>
      <w:r w:rsidRPr="002968EC">
        <w:rPr>
          <w:rFonts w:asciiTheme="minorHAnsi" w:hAnsiTheme="minorHAnsi" w:cs="Calibri"/>
        </w:rPr>
        <w:t>ред започнување со обезбедување на јавни електронски комуникациски мрежи</w:t>
      </w:r>
      <w:r w:rsidRPr="002968EC">
        <w:rPr>
          <w:rFonts w:asciiTheme="minorHAnsi" w:hAnsiTheme="minorHAnsi" w:cs="Calibri"/>
          <w:lang w:val="mk-MK"/>
        </w:rPr>
        <w:t xml:space="preserve"> </w:t>
      </w:r>
      <w:r w:rsidRPr="002968EC">
        <w:rPr>
          <w:rFonts w:asciiTheme="minorHAnsi" w:hAnsiTheme="minorHAnsi" w:cs="Calibri"/>
        </w:rPr>
        <w:t>и/или услуги се дост</w:t>
      </w:r>
      <w:r w:rsidR="000C349A">
        <w:rPr>
          <w:rFonts w:asciiTheme="minorHAnsi" w:hAnsiTheme="minorHAnsi" w:cs="Calibri"/>
        </w:rPr>
        <w:t>авува нотификација до А</w:t>
      </w:r>
      <w:r w:rsidR="000C349A">
        <w:rPr>
          <w:rFonts w:asciiTheme="minorHAnsi" w:hAnsiTheme="minorHAnsi" w:cs="Calibri"/>
          <w:lang w:val="mk-MK"/>
        </w:rPr>
        <w:t>ЕК</w:t>
      </w:r>
      <w:r w:rsidRPr="002968EC">
        <w:rPr>
          <w:rFonts w:asciiTheme="minorHAnsi" w:hAnsiTheme="minorHAnsi" w:cs="Calibri"/>
        </w:rPr>
        <w:t>.</w:t>
      </w:r>
      <w:r w:rsidRPr="002968EC">
        <w:rPr>
          <w:rFonts w:asciiTheme="minorHAnsi" w:hAnsiTheme="minorHAnsi" w:cs="Calibri"/>
          <w:lang w:val="mk-MK"/>
        </w:rPr>
        <w:t xml:space="preserve"> Во член 60 став (2) се наведува дека в</w:t>
      </w:r>
      <w:r w:rsidRPr="002968EC">
        <w:rPr>
          <w:rFonts w:asciiTheme="minorHAnsi" w:hAnsiTheme="minorHAnsi" w:cs="Calibri"/>
        </w:rPr>
        <w:t>рз основа на нотификацијата од ставот (1) на овој член операторот има право да</w:t>
      </w:r>
      <w:r w:rsidRPr="002968EC">
        <w:rPr>
          <w:rFonts w:asciiTheme="minorHAnsi" w:hAnsiTheme="minorHAnsi" w:cs="Calibri"/>
          <w:lang w:val="mk-MK"/>
        </w:rPr>
        <w:t xml:space="preserve"> </w:t>
      </w:r>
      <w:r w:rsidRPr="002968EC">
        <w:rPr>
          <w:rFonts w:asciiTheme="minorHAnsi" w:hAnsiTheme="minorHAnsi" w:cs="Calibri"/>
        </w:rPr>
        <w:t>обезбедува јавни електронски комуникациски мрежи и/или услуги, односно да гради,</w:t>
      </w:r>
      <w:r w:rsidRPr="002968EC">
        <w:rPr>
          <w:rFonts w:asciiTheme="minorHAnsi" w:hAnsiTheme="minorHAnsi" w:cs="Calibri"/>
          <w:lang w:val="mk-MK"/>
        </w:rPr>
        <w:t xml:space="preserve"> </w:t>
      </w:r>
      <w:r w:rsidRPr="002968EC">
        <w:rPr>
          <w:rFonts w:asciiTheme="minorHAnsi" w:hAnsiTheme="minorHAnsi" w:cs="Calibri"/>
        </w:rPr>
        <w:t>работи и управува со јавна електронска комуникациска мрежа или да овозможи</w:t>
      </w:r>
      <w:r w:rsidRPr="002968EC">
        <w:rPr>
          <w:rFonts w:asciiTheme="minorHAnsi" w:hAnsiTheme="minorHAnsi" w:cs="Calibri"/>
          <w:lang w:val="mk-MK"/>
        </w:rPr>
        <w:t xml:space="preserve"> </w:t>
      </w:r>
      <w:r w:rsidRPr="002968EC">
        <w:rPr>
          <w:rFonts w:asciiTheme="minorHAnsi" w:hAnsiTheme="minorHAnsi" w:cs="Calibri"/>
        </w:rPr>
        <w:t>достапност на истата, согласно со овој закон.</w:t>
      </w:r>
      <w:r w:rsidRPr="002968EC">
        <w:rPr>
          <w:rFonts w:asciiTheme="minorHAnsi" w:hAnsiTheme="minorHAnsi" w:cs="Calibri"/>
          <w:lang w:val="mk-MK"/>
        </w:rPr>
        <w:t xml:space="preserve"> Согласно овој законски основ секоја компанија која ќе ги испочитува законските одредби и ќе се нотифицира може непречено да ја обезбедува услугата за пристап до </w:t>
      </w:r>
      <w:r w:rsidR="008A38F9" w:rsidRPr="002968EC">
        <w:rPr>
          <w:rFonts w:asciiTheme="minorHAnsi" w:hAnsiTheme="minorHAnsi" w:cs="Calibri"/>
          <w:lang w:val="mk-MK"/>
        </w:rPr>
        <w:t>јавна електронска комуникациска мрежа на фиксна локација</w:t>
      </w:r>
      <w:r w:rsidRPr="002968EC">
        <w:rPr>
          <w:rFonts w:asciiTheme="minorHAnsi" w:hAnsiTheme="minorHAnsi" w:cs="Calibri"/>
          <w:lang w:val="mk-MK"/>
        </w:rPr>
        <w:t>. Според тоа пречка од ваков административен вид како бариера на пазарот не постои.</w:t>
      </w:r>
    </w:p>
    <w:p w:rsidR="003E231B" w:rsidRPr="002968EC" w:rsidRDefault="003E231B" w:rsidP="003E231B">
      <w:pPr>
        <w:autoSpaceDE w:val="0"/>
        <w:autoSpaceDN w:val="0"/>
        <w:adjustRightInd w:val="0"/>
        <w:spacing w:after="0"/>
        <w:rPr>
          <w:rFonts w:asciiTheme="minorHAnsi" w:hAnsiTheme="minorHAnsi" w:cs="Calibri"/>
          <w:b/>
          <w:lang w:val="mk-MK"/>
        </w:rPr>
      </w:pPr>
    </w:p>
    <w:p w:rsidR="00032CF5" w:rsidRDefault="003E231B">
      <w:pPr>
        <w:pStyle w:val="ListParagraph"/>
        <w:numPr>
          <w:ilvl w:val="0"/>
          <w:numId w:val="13"/>
        </w:numPr>
        <w:autoSpaceDE w:val="0"/>
        <w:autoSpaceDN w:val="0"/>
        <w:adjustRightInd w:val="0"/>
        <w:spacing w:after="0" w:line="240" w:lineRule="auto"/>
        <w:rPr>
          <w:rFonts w:asciiTheme="minorHAnsi" w:hAnsiTheme="minorHAnsi" w:cs="Calibri"/>
        </w:rPr>
      </w:pPr>
      <w:r w:rsidRPr="002968EC">
        <w:rPr>
          <w:rFonts w:asciiTheme="minorHAnsi" w:hAnsiTheme="minorHAnsi" w:cs="Calibri"/>
        </w:rPr>
        <w:t>Ограничувања и услови поврзани со употребата на радиофреквенцискиот спектар</w:t>
      </w:r>
    </w:p>
    <w:p w:rsidR="005F2E77" w:rsidRPr="002968EC" w:rsidRDefault="005F2E77">
      <w:pPr>
        <w:pStyle w:val="ListParagraph"/>
        <w:autoSpaceDE w:val="0"/>
        <w:autoSpaceDN w:val="0"/>
        <w:adjustRightInd w:val="0"/>
        <w:spacing w:after="0" w:line="240" w:lineRule="auto"/>
        <w:ind w:left="0"/>
        <w:rPr>
          <w:rFonts w:asciiTheme="minorHAnsi" w:hAnsiTheme="minorHAnsi" w:cs="Calibri"/>
        </w:rPr>
      </w:pPr>
    </w:p>
    <w:p w:rsidR="003E231B" w:rsidRPr="002968EC" w:rsidRDefault="003E231B" w:rsidP="003E231B">
      <w:pPr>
        <w:rPr>
          <w:rFonts w:asciiTheme="minorHAnsi" w:hAnsiTheme="minorHAnsi" w:cs="Calibri"/>
          <w:lang w:val="mk-MK"/>
        </w:rPr>
      </w:pPr>
      <w:r w:rsidRPr="002968EC">
        <w:rPr>
          <w:rFonts w:asciiTheme="minorHAnsi" w:hAnsiTheme="minorHAnsi" w:cs="Calibri"/>
          <w:lang w:val="mk-MK"/>
        </w:rPr>
        <w:t xml:space="preserve">Наведената бариера не се однесува на пазарот кој е предмет на оваа анализа. </w:t>
      </w:r>
    </w:p>
    <w:p w:rsidR="00032CF5" w:rsidRDefault="003E231B">
      <w:pPr>
        <w:pStyle w:val="ListParagraph"/>
        <w:numPr>
          <w:ilvl w:val="0"/>
          <w:numId w:val="13"/>
        </w:numPr>
        <w:rPr>
          <w:rFonts w:asciiTheme="minorHAnsi" w:hAnsiTheme="minorHAnsi" w:cs="Calibri"/>
        </w:rPr>
      </w:pPr>
      <w:r w:rsidRPr="002968EC">
        <w:rPr>
          <w:rFonts w:asciiTheme="minorHAnsi" w:hAnsiTheme="minorHAnsi" w:cs="Calibri"/>
        </w:rPr>
        <w:t>Влијание на начинот на кој е поставена регулативата за нови оператори/учесници кои планираат  да влезат на пазарот</w:t>
      </w:r>
    </w:p>
    <w:p w:rsidR="003E231B" w:rsidRPr="002968EC" w:rsidRDefault="003E231B" w:rsidP="003E231B">
      <w:pPr>
        <w:rPr>
          <w:rFonts w:asciiTheme="minorHAnsi" w:hAnsiTheme="minorHAnsi" w:cs="Calibri"/>
          <w:color w:val="222222"/>
          <w:lang w:val="mk-MK"/>
        </w:rPr>
      </w:pPr>
      <w:r w:rsidRPr="002968EC">
        <w:rPr>
          <w:rStyle w:val="hps"/>
          <w:rFonts w:asciiTheme="minorHAnsi" w:hAnsiTheme="minorHAnsi" w:cs="Calibri"/>
          <w:color w:val="222222"/>
          <w:lang w:val="mk-MK"/>
        </w:rPr>
        <w:t>АЕК</w:t>
      </w:r>
      <w:r w:rsidRPr="002968EC">
        <w:rPr>
          <w:rFonts w:asciiTheme="minorHAnsi" w:hAnsiTheme="minorHAnsi" w:cs="Calibri"/>
          <w:color w:val="222222"/>
          <w:lang w:val="mk-MK"/>
        </w:rPr>
        <w:t xml:space="preserve"> </w:t>
      </w:r>
      <w:r w:rsidR="001D7DA4" w:rsidRPr="002968EC">
        <w:rPr>
          <w:rStyle w:val="hps"/>
          <w:rFonts w:asciiTheme="minorHAnsi" w:hAnsiTheme="minorHAnsi" w:cs="Calibri"/>
          <w:color w:val="222222"/>
          <w:lang w:val="mk-MK"/>
        </w:rPr>
        <w:t>смета</w:t>
      </w:r>
      <w:r w:rsidRPr="002968EC">
        <w:rPr>
          <w:rStyle w:val="hps"/>
          <w:rFonts w:asciiTheme="minorHAnsi" w:hAnsiTheme="minorHAnsi" w:cs="Calibri"/>
          <w:color w:val="222222"/>
          <w:lang w:val="mk-MK"/>
        </w:rPr>
        <w:t xml:space="preserve"> дека</w:t>
      </w:r>
      <w:r w:rsidRPr="002968EC">
        <w:rPr>
          <w:rFonts w:asciiTheme="minorHAnsi" w:hAnsiTheme="minorHAnsi" w:cs="Calibri"/>
          <w:color w:val="222222"/>
          <w:lang w:val="mk-MK"/>
        </w:rPr>
        <w:t xml:space="preserve"> </w:t>
      </w:r>
      <w:r w:rsidRPr="002968EC">
        <w:rPr>
          <w:rStyle w:val="hps"/>
          <w:rFonts w:asciiTheme="minorHAnsi" w:hAnsiTheme="minorHAnsi" w:cs="Calibri"/>
          <w:color w:val="222222"/>
          <w:lang w:val="mk-MK"/>
        </w:rPr>
        <w:t>не постојат одредби</w:t>
      </w:r>
      <w:r w:rsidRPr="002968EC">
        <w:rPr>
          <w:rFonts w:asciiTheme="minorHAnsi" w:hAnsiTheme="minorHAnsi" w:cs="Calibri"/>
          <w:color w:val="222222"/>
          <w:lang w:val="mk-MK"/>
        </w:rPr>
        <w:t xml:space="preserve"> </w:t>
      </w:r>
      <w:r w:rsidRPr="002968EC">
        <w:rPr>
          <w:rStyle w:val="hps"/>
          <w:rFonts w:asciiTheme="minorHAnsi" w:hAnsiTheme="minorHAnsi" w:cs="Calibri"/>
          <w:color w:val="222222"/>
          <w:lang w:val="mk-MK"/>
        </w:rPr>
        <w:t>во ЗЕК</w:t>
      </w:r>
      <w:r w:rsidRPr="002968EC">
        <w:rPr>
          <w:rFonts w:asciiTheme="minorHAnsi" w:hAnsiTheme="minorHAnsi" w:cs="Calibri"/>
          <w:color w:val="222222"/>
          <w:lang w:val="mk-MK"/>
        </w:rPr>
        <w:t xml:space="preserve"> </w:t>
      </w:r>
      <w:r w:rsidRPr="002968EC">
        <w:rPr>
          <w:rStyle w:val="hps"/>
          <w:rFonts w:asciiTheme="minorHAnsi" w:hAnsiTheme="minorHAnsi" w:cs="Calibri"/>
          <w:color w:val="222222"/>
          <w:lang w:val="mk-MK"/>
        </w:rPr>
        <w:t>или подзаконските акти</w:t>
      </w:r>
      <w:r w:rsidRPr="002968EC">
        <w:rPr>
          <w:rFonts w:asciiTheme="minorHAnsi" w:hAnsiTheme="minorHAnsi" w:cs="Calibri"/>
          <w:color w:val="222222"/>
          <w:lang w:val="mk-MK"/>
        </w:rPr>
        <w:t xml:space="preserve">, со кои </w:t>
      </w:r>
      <w:r w:rsidRPr="002968EC">
        <w:rPr>
          <w:rFonts w:asciiTheme="minorHAnsi" w:hAnsiTheme="minorHAnsi" w:cs="Calibri"/>
          <w:color w:val="222222"/>
          <w:lang w:val="mk-MK"/>
        </w:rPr>
        <w:br/>
      </w:r>
      <w:r w:rsidRPr="002968EC">
        <w:rPr>
          <w:rStyle w:val="hps"/>
          <w:rFonts w:asciiTheme="minorHAnsi" w:hAnsiTheme="minorHAnsi" w:cs="Calibri"/>
          <w:color w:val="222222"/>
          <w:lang w:val="mk-MK"/>
        </w:rPr>
        <w:t>може да се оневозможи</w:t>
      </w:r>
      <w:r w:rsidRPr="002968EC">
        <w:rPr>
          <w:rFonts w:asciiTheme="minorHAnsi" w:hAnsiTheme="minorHAnsi" w:cs="Calibri"/>
          <w:color w:val="222222"/>
          <w:lang w:val="mk-MK"/>
        </w:rPr>
        <w:t xml:space="preserve"> </w:t>
      </w:r>
      <w:r w:rsidRPr="002968EC">
        <w:rPr>
          <w:rStyle w:val="hps"/>
          <w:rFonts w:asciiTheme="minorHAnsi" w:hAnsiTheme="minorHAnsi" w:cs="Calibri"/>
          <w:color w:val="222222"/>
          <w:lang w:val="mk-MK"/>
        </w:rPr>
        <w:t>на операторот</w:t>
      </w:r>
      <w:r w:rsidRPr="002968EC">
        <w:rPr>
          <w:rFonts w:asciiTheme="minorHAnsi" w:hAnsiTheme="minorHAnsi" w:cs="Calibri"/>
          <w:color w:val="222222"/>
          <w:lang w:val="mk-MK"/>
        </w:rPr>
        <w:t xml:space="preserve"> </w:t>
      </w:r>
      <w:r w:rsidRPr="002968EC">
        <w:rPr>
          <w:rStyle w:val="hps"/>
          <w:rFonts w:asciiTheme="minorHAnsi" w:hAnsiTheme="minorHAnsi" w:cs="Calibri"/>
          <w:color w:val="222222"/>
          <w:lang w:val="mk-MK"/>
        </w:rPr>
        <w:t>кој ја изградил</w:t>
      </w:r>
      <w:r w:rsidRPr="002968EC">
        <w:rPr>
          <w:rFonts w:asciiTheme="minorHAnsi" w:hAnsiTheme="minorHAnsi" w:cs="Calibri"/>
          <w:color w:val="222222"/>
          <w:lang w:val="mk-MK"/>
        </w:rPr>
        <w:t xml:space="preserve"> </w:t>
      </w:r>
      <w:r w:rsidRPr="002968EC">
        <w:rPr>
          <w:rStyle w:val="hps"/>
          <w:rFonts w:asciiTheme="minorHAnsi" w:hAnsiTheme="minorHAnsi" w:cs="Calibri"/>
          <w:color w:val="222222"/>
          <w:lang w:val="mk-MK"/>
        </w:rPr>
        <w:t>сопствената мрежа</w:t>
      </w:r>
      <w:r w:rsidRPr="002968EC">
        <w:rPr>
          <w:rFonts w:asciiTheme="minorHAnsi" w:hAnsiTheme="minorHAnsi" w:cs="Calibri"/>
          <w:color w:val="222222"/>
          <w:lang w:val="mk-MK"/>
        </w:rPr>
        <w:t xml:space="preserve"> да оствари влез на пазарот обработен во овој документ и да започне да обезбедува комерцијална услуга за</w:t>
      </w:r>
      <w:r w:rsidR="0094662C" w:rsidRPr="002968EC">
        <w:rPr>
          <w:rFonts w:asciiTheme="minorHAnsi" w:hAnsiTheme="minorHAnsi" w:cs="Calibri"/>
          <w:lang w:val="mk-MK"/>
        </w:rPr>
        <w:t xml:space="preserve"> пристап до </w:t>
      </w:r>
      <w:r w:rsidR="008A38F9" w:rsidRPr="002968EC">
        <w:rPr>
          <w:rFonts w:asciiTheme="minorHAnsi" w:hAnsiTheme="minorHAnsi" w:cs="Calibri"/>
          <w:lang w:val="mk-MK"/>
        </w:rPr>
        <w:t>јавна електронска комуникациска мрежа на фиксна локација</w:t>
      </w:r>
      <w:r w:rsidRPr="002968EC">
        <w:rPr>
          <w:rFonts w:asciiTheme="minorHAnsi" w:hAnsiTheme="minorHAnsi" w:cs="Calibri"/>
          <w:color w:val="222222"/>
          <w:lang w:val="mk-MK"/>
        </w:rPr>
        <w:t>.</w:t>
      </w:r>
    </w:p>
    <w:p w:rsidR="001D7DA4" w:rsidRPr="002968EC" w:rsidRDefault="001D7DA4" w:rsidP="00BA0FF7">
      <w:pPr>
        <w:numPr>
          <w:ilvl w:val="0"/>
          <w:numId w:val="38"/>
        </w:numPr>
        <w:rPr>
          <w:rFonts w:asciiTheme="minorHAnsi" w:hAnsiTheme="minorHAnsi" w:cs="Calibri"/>
          <w:color w:val="222222"/>
          <w:lang w:val="mk-MK"/>
        </w:rPr>
      </w:pPr>
      <w:r w:rsidRPr="002968EC">
        <w:rPr>
          <w:rFonts w:asciiTheme="minorHAnsi" w:hAnsiTheme="minorHAnsi" w:cs="Calibri"/>
          <w:color w:val="222222"/>
          <w:lang w:val="mk-MK"/>
        </w:rPr>
        <w:t xml:space="preserve">Заклучок за постоење на високи и постојани бариери за влез на релевантниот пазар </w:t>
      </w:r>
    </w:p>
    <w:p w:rsidR="005814EB" w:rsidRPr="002968EC" w:rsidRDefault="003E231B" w:rsidP="005814EB">
      <w:pPr>
        <w:pStyle w:val="ListParagraph"/>
        <w:spacing w:after="120"/>
        <w:ind w:left="0"/>
        <w:rPr>
          <w:rFonts w:asciiTheme="minorHAnsi" w:hAnsiTheme="minorHAnsi" w:cs="Calibri"/>
          <w:color w:val="000000"/>
          <w:lang w:val="mk-MK" w:eastAsia="mk-MK"/>
        </w:rPr>
      </w:pPr>
      <w:r w:rsidRPr="002968EC">
        <w:rPr>
          <w:rFonts w:asciiTheme="minorHAnsi" w:hAnsiTheme="minorHAnsi" w:cs="Calibri"/>
          <w:color w:val="222222"/>
          <w:lang w:val="mk-MK"/>
        </w:rPr>
        <w:t xml:space="preserve">Врз основа на горе образложениот прв критриум за постоење на високи и постојани бариери за влез на релевантниот пазар </w:t>
      </w:r>
      <w:r w:rsidRPr="002968EC">
        <w:rPr>
          <w:rFonts w:asciiTheme="minorHAnsi" w:hAnsiTheme="minorHAnsi" w:cs="Calibri"/>
          <w:lang w:val="mk-MK"/>
        </w:rPr>
        <w:t>кои можат да бидат од структурна, правна или регулаторна природа</w:t>
      </w:r>
      <w:r w:rsidRPr="002968EC">
        <w:rPr>
          <w:rFonts w:asciiTheme="minorHAnsi" w:hAnsiTheme="minorHAnsi" w:cs="Calibri"/>
          <w:color w:val="222222"/>
          <w:lang w:val="mk-MK"/>
        </w:rPr>
        <w:t xml:space="preserve">, АЕК констатира </w:t>
      </w:r>
      <w:r w:rsidR="001D7DA4" w:rsidRPr="002968EC">
        <w:rPr>
          <w:rFonts w:asciiTheme="minorHAnsi" w:hAnsiTheme="minorHAnsi" w:cs="Calibri"/>
          <w:color w:val="222222"/>
          <w:lang w:val="mk-MK"/>
        </w:rPr>
        <w:t>дека не постојат бариери за влез на пазарот.</w:t>
      </w:r>
      <w:r w:rsidRPr="002968EC">
        <w:rPr>
          <w:rFonts w:asciiTheme="minorHAnsi" w:hAnsiTheme="minorHAnsi" w:cs="Calibri"/>
          <w:color w:val="222222"/>
          <w:lang w:val="mk-MK"/>
        </w:rPr>
        <w:t xml:space="preserve"> </w:t>
      </w:r>
      <w:r w:rsidR="001D7DA4" w:rsidRPr="002968EC">
        <w:rPr>
          <w:rFonts w:asciiTheme="minorHAnsi" w:hAnsiTheme="minorHAnsi" w:cs="Calibri"/>
          <w:color w:val="222222"/>
          <w:lang w:val="mk-MK"/>
        </w:rPr>
        <w:t xml:space="preserve">Ваквиот заклучок на АЕК се темели на </w:t>
      </w:r>
      <w:r w:rsidR="005814EB" w:rsidRPr="002968EC">
        <w:rPr>
          <w:rFonts w:asciiTheme="minorHAnsi" w:hAnsiTheme="minorHAnsi" w:cs="Calibri"/>
          <w:color w:val="000000"/>
          <w:lang w:val="mk-MK" w:eastAsia="mk-MK"/>
        </w:rPr>
        <w:t xml:space="preserve">зголемениот </w:t>
      </w:r>
      <w:r w:rsidR="00BA0FF7">
        <w:rPr>
          <w:rFonts w:asciiTheme="minorHAnsi" w:hAnsiTheme="minorHAnsi" w:cs="Calibri"/>
          <w:color w:val="000000"/>
          <w:lang w:val="mk-MK" w:eastAsia="mk-MK"/>
        </w:rPr>
        <w:t>развој</w:t>
      </w:r>
      <w:r w:rsidR="005814EB" w:rsidRPr="002968EC">
        <w:rPr>
          <w:rFonts w:asciiTheme="minorHAnsi" w:hAnsiTheme="minorHAnsi" w:cs="Calibri"/>
          <w:color w:val="000000"/>
          <w:lang w:val="mk-MK" w:eastAsia="mk-MK"/>
        </w:rPr>
        <w:t xml:space="preserve"> на NGA, се поголемото користење на пакетирање на услугите,  обезбедување на услугата за пристап до фиксна телефонија од кабелските оператори, зголемена достапн</w:t>
      </w:r>
      <w:r w:rsidR="000C349A">
        <w:rPr>
          <w:rFonts w:asciiTheme="minorHAnsi" w:hAnsiTheme="minorHAnsi" w:cs="Calibri"/>
          <w:color w:val="000000"/>
          <w:lang w:val="mk-MK" w:eastAsia="mk-MK"/>
        </w:rPr>
        <w:t>ост и употреба на менаџиран ВоИП</w:t>
      </w:r>
      <w:r w:rsidR="005814EB" w:rsidRPr="002968EC">
        <w:rPr>
          <w:rFonts w:asciiTheme="minorHAnsi" w:hAnsiTheme="minorHAnsi" w:cs="Calibri"/>
          <w:color w:val="000000"/>
          <w:lang w:val="mk-MK" w:eastAsia="mk-MK"/>
        </w:rPr>
        <w:t xml:space="preserve">, транзиција од традиционалните PSTN мрежи во модерни “Аll-IP” решенија, се поголема искористеност на големопродажните услуги преку ULL и WBA, еднаквото користење на економиите на обем и на интеграција од страна на алтернативните оператори и СМП операторот и високо развиените дистрибутивни и продажни мрежи на алтернативните оператори и СМП операторот. Сите овие причини имаа значителна улога во намалувањето т.е елиминирањето на бариерите за влез на пазарот за фиксна телефонија. </w:t>
      </w:r>
    </w:p>
    <w:p w:rsidR="005814EB" w:rsidRPr="002968EC" w:rsidRDefault="005814EB" w:rsidP="005814EB">
      <w:pPr>
        <w:pStyle w:val="ListParagraph"/>
        <w:spacing w:after="120"/>
        <w:ind w:left="0"/>
        <w:rPr>
          <w:rFonts w:asciiTheme="minorHAnsi" w:hAnsiTheme="minorHAnsi" w:cs="Calibri"/>
          <w:color w:val="000000"/>
          <w:lang w:val="mk-MK" w:eastAsia="mk-MK"/>
        </w:rPr>
      </w:pPr>
      <w:r w:rsidRPr="002968EC">
        <w:rPr>
          <w:rFonts w:asciiTheme="minorHAnsi" w:hAnsiTheme="minorHAnsi" w:cs="Calibri"/>
          <w:color w:val="000000"/>
          <w:lang w:val="mk-MK" w:eastAsia="mk-MK"/>
        </w:rPr>
        <w:t>АЕК смета дека ваквите промени се очекува да продолжат и во иднина.</w:t>
      </w:r>
    </w:p>
    <w:p w:rsidR="000D2A63" w:rsidRPr="002968EC" w:rsidRDefault="000D2A63" w:rsidP="00411D2A">
      <w:pPr>
        <w:rPr>
          <w:rFonts w:asciiTheme="minorHAnsi" w:hAnsiTheme="minorHAnsi"/>
        </w:rPr>
      </w:pPr>
    </w:p>
    <w:p w:rsidR="00610FA8" w:rsidRPr="006E317C" w:rsidRDefault="006E317C" w:rsidP="006E317C">
      <w:pPr>
        <w:pStyle w:val="Heading2"/>
      </w:pPr>
      <w:bookmarkStart w:id="29" w:name="_Toc461617749"/>
      <w:r>
        <w:rPr>
          <w:lang w:val="mk-MK"/>
        </w:rPr>
        <w:lastRenderedPageBreak/>
        <w:t>9</w:t>
      </w:r>
      <w:r w:rsidR="00A63422" w:rsidRPr="006E317C">
        <w:t xml:space="preserve">.2 </w:t>
      </w:r>
      <w:r w:rsidR="00610FA8" w:rsidRPr="006E317C">
        <w:t>Втор критериум - Структура на пазар кој има тенденција кон неефективна конкуренција во рамки на релевантен временски период</w:t>
      </w:r>
      <w:bookmarkEnd w:id="29"/>
    </w:p>
    <w:p w:rsidR="00610FA8" w:rsidRPr="002968EC" w:rsidRDefault="00610FA8" w:rsidP="00610FA8">
      <w:pPr>
        <w:rPr>
          <w:rFonts w:asciiTheme="minorHAnsi" w:hAnsiTheme="minorHAnsi"/>
          <w:lang w:val="mk-MK"/>
        </w:rPr>
      </w:pPr>
    </w:p>
    <w:p w:rsidR="00610FA8" w:rsidRPr="002968EC" w:rsidRDefault="00610FA8" w:rsidP="00610FA8">
      <w:pPr>
        <w:rPr>
          <w:rFonts w:asciiTheme="minorHAnsi" w:eastAsia="Times New Roman" w:hAnsiTheme="minorHAnsi" w:cs="Calibri"/>
          <w:lang w:val="mk-MK"/>
        </w:rPr>
      </w:pPr>
      <w:r w:rsidRPr="002968EC">
        <w:rPr>
          <w:rFonts w:asciiTheme="minorHAnsi" w:eastAsia="Times New Roman" w:hAnsiTheme="minorHAnsi" w:cs="Calibri"/>
          <w:lang w:val="mk-MK"/>
        </w:rPr>
        <w:t>Вториот критериум се однесува</w:t>
      </w:r>
      <w:r w:rsidR="00C37236">
        <w:rPr>
          <w:rFonts w:asciiTheme="minorHAnsi" w:eastAsia="Times New Roman" w:hAnsiTheme="minorHAnsi" w:cs="Calibri"/>
          <w:lang w:val="mk-MK"/>
        </w:rPr>
        <w:t xml:space="preserve"> на анализирањето</w:t>
      </w:r>
      <w:r w:rsidRPr="002968EC">
        <w:rPr>
          <w:rFonts w:asciiTheme="minorHAnsi" w:eastAsia="Times New Roman" w:hAnsiTheme="minorHAnsi" w:cs="Calibri"/>
          <w:lang w:val="mk-MK"/>
        </w:rPr>
        <w:t xml:space="preserve"> дали во отсуство на претходна регулација (</w:t>
      </w:r>
      <w:r w:rsidRPr="002968EC">
        <w:rPr>
          <w:rFonts w:asciiTheme="minorHAnsi" w:eastAsia="Times New Roman" w:hAnsiTheme="minorHAnsi" w:cs="Calibri"/>
        </w:rPr>
        <w:t xml:space="preserve">ex-ante) </w:t>
      </w:r>
      <w:r w:rsidRPr="002968EC">
        <w:rPr>
          <w:rFonts w:asciiTheme="minorHAnsi" w:eastAsia="Times New Roman" w:hAnsiTheme="minorHAnsi" w:cs="Calibri"/>
          <w:lang w:val="mk-MK"/>
        </w:rPr>
        <w:t xml:space="preserve">пазарот има тенденција да има ефикасна конкуренција во временскиот интервал од три години до кога најдоцна треба да се спроведе следна анализа. Според </w:t>
      </w:r>
      <w:r w:rsidRPr="002968EC">
        <w:rPr>
          <w:rFonts w:asciiTheme="minorHAnsi" w:hAnsiTheme="minorHAnsi" w:cs="Calibri"/>
          <w:lang w:val="mk-MK"/>
        </w:rPr>
        <w:t>работниот документ на Европската Комисија бр {(C(2007) 5406)} EXPLANATORY NOTE</w:t>
      </w:r>
      <w:r w:rsidRPr="002968EC">
        <w:rPr>
          <w:rFonts w:asciiTheme="minorHAnsi" w:eastAsia="Times New Roman" w:hAnsiTheme="minorHAnsi" w:cs="Calibri"/>
          <w:lang w:val="mk-MK"/>
        </w:rPr>
        <w:t xml:space="preserve"> со вториот критериум треба да се покаже дали и при евентуалното постоење на високи бариери за влез на пазарот недостасува можноста за ефикасна конкуренција на </w:t>
      </w:r>
      <w:r w:rsidR="0056779B" w:rsidRPr="002968EC">
        <w:rPr>
          <w:rFonts w:asciiTheme="minorHAnsi" w:hAnsiTheme="minorHAnsi" w:cs="Calibri"/>
          <w:color w:val="222222"/>
          <w:lang w:val="mk-MK"/>
        </w:rPr>
        <w:t xml:space="preserve">пазарот </w:t>
      </w:r>
      <w:r w:rsidR="0056779B" w:rsidRPr="002968EC">
        <w:rPr>
          <w:rFonts w:asciiTheme="minorHAnsi" w:hAnsiTheme="minorHAnsi" w:cs="Calibri"/>
          <w:lang w:val="mk-MK"/>
        </w:rPr>
        <w:t xml:space="preserve">за пристап до </w:t>
      </w:r>
      <w:r w:rsidR="008A38F9" w:rsidRPr="002968EC">
        <w:rPr>
          <w:rFonts w:asciiTheme="minorHAnsi" w:hAnsiTheme="minorHAnsi"/>
          <w:lang w:val="mk-MK"/>
        </w:rPr>
        <w:t>јавна електронска комуникациска мрежа на фиксна локација</w:t>
      </w:r>
      <w:r w:rsidR="001728D8" w:rsidRPr="002968EC">
        <w:rPr>
          <w:rFonts w:asciiTheme="minorHAnsi" w:eastAsia="Times New Roman" w:hAnsiTheme="minorHAnsi" w:cs="Calibri"/>
          <w:lang w:val="mk-MK"/>
        </w:rPr>
        <w:t xml:space="preserve"> </w:t>
      </w:r>
      <w:r w:rsidRPr="002968EC">
        <w:rPr>
          <w:rFonts w:asciiTheme="minorHAnsi" w:eastAsia="Times New Roman" w:hAnsiTheme="minorHAnsi" w:cs="Calibri"/>
          <w:lang w:val="mk-MK"/>
        </w:rPr>
        <w:t xml:space="preserve">во рамките на предметниот тригодишен период до следната анализа. </w:t>
      </w:r>
    </w:p>
    <w:p w:rsidR="00610FA8" w:rsidRPr="002968EC" w:rsidRDefault="00610FA8" w:rsidP="00610FA8">
      <w:pPr>
        <w:rPr>
          <w:rFonts w:asciiTheme="minorHAnsi" w:hAnsiTheme="minorHAnsi" w:cs="Calibri"/>
          <w:lang w:val="mk-MK"/>
        </w:rPr>
      </w:pPr>
      <w:r w:rsidRPr="002968EC">
        <w:rPr>
          <w:rFonts w:asciiTheme="minorHAnsi" w:hAnsiTheme="minorHAnsi" w:cs="Calibri"/>
          <w:lang w:val="mk-MK"/>
        </w:rPr>
        <w:t>Анализата на горенаведениот критериум треба да доведе до заклучок дали структурата на пазарот обработена во овој документ се стреми кон развој на ефективна конкуренција. Анализа</w:t>
      </w:r>
      <w:r w:rsidR="0084454D">
        <w:rPr>
          <w:rFonts w:asciiTheme="minorHAnsi" w:hAnsiTheme="minorHAnsi" w:cs="Calibri"/>
          <w:lang w:val="mk-MK"/>
        </w:rPr>
        <w:t>та</w:t>
      </w:r>
      <w:r w:rsidRPr="002968EC">
        <w:rPr>
          <w:rFonts w:asciiTheme="minorHAnsi" w:hAnsiTheme="minorHAnsi" w:cs="Calibri"/>
          <w:lang w:val="mk-MK"/>
        </w:rPr>
        <w:t xml:space="preserve"> на овој критериум би требало да се движи во насока на проверка на условите на пазарот кои водат кон ефективна конкуренција. Исто така потребно е да се утврди дали и покрај постоење на потенцијални </w:t>
      </w:r>
      <w:r w:rsidR="0084454D">
        <w:rPr>
          <w:rFonts w:asciiTheme="minorHAnsi" w:hAnsiTheme="minorHAnsi" w:cs="Calibri"/>
          <w:lang w:val="mk-MK"/>
        </w:rPr>
        <w:t xml:space="preserve">бариери за влез на пазарот, </w:t>
      </w:r>
      <w:r w:rsidRPr="002968EC">
        <w:rPr>
          <w:rFonts w:asciiTheme="minorHAnsi" w:hAnsiTheme="minorHAnsi" w:cs="Calibri"/>
          <w:lang w:val="mk-MK"/>
        </w:rPr>
        <w:t xml:space="preserve"> во перспективен период од три години би можело да се очекува истиот да се развива и движи кон ефективно конкурентен пазар. Желбата за развој на одржлива конкуренција во соодветен временски период, не</w:t>
      </w:r>
      <w:r w:rsidR="0084454D">
        <w:rPr>
          <w:rFonts w:asciiTheme="minorHAnsi" w:hAnsiTheme="minorHAnsi" w:cs="Calibri"/>
          <w:lang w:val="mk-MK"/>
        </w:rPr>
        <w:t xml:space="preserve"> </w:t>
      </w:r>
      <w:r w:rsidRPr="002968EC">
        <w:rPr>
          <w:rFonts w:asciiTheme="minorHAnsi" w:hAnsiTheme="minorHAnsi" w:cs="Calibri"/>
          <w:lang w:val="mk-MK"/>
        </w:rPr>
        <w:t xml:space="preserve">значи дека истото ќе се случи за краток временски период но значи дека со анализата е утврдено дека постои одредена динамика на пазарни настани кои може да доведат до ефикасна пазарна конкуренција. </w:t>
      </w:r>
    </w:p>
    <w:p w:rsidR="00610FA8" w:rsidRPr="002968EC" w:rsidRDefault="00610FA8" w:rsidP="00610FA8">
      <w:pPr>
        <w:rPr>
          <w:rFonts w:asciiTheme="minorHAnsi" w:eastAsia="Times New Roman" w:hAnsiTheme="minorHAnsi" w:cs="Calibri"/>
        </w:rPr>
      </w:pPr>
      <w:r w:rsidRPr="002968EC">
        <w:rPr>
          <w:rFonts w:asciiTheme="minorHAnsi" w:eastAsia="Times New Roman" w:hAnsiTheme="minorHAnsi" w:cs="Calibri"/>
          <w:lang w:val="mk-MK"/>
        </w:rPr>
        <w:t xml:space="preserve">При разгледувањето на овој критериум ЕК препорачува разгледување на неколку показатели кои ја опишуваат динамиката на развој на ефективна конкуренција на пазарот: </w:t>
      </w:r>
    </w:p>
    <w:p w:rsidR="000D2A63" w:rsidRPr="002968EC" w:rsidRDefault="000D2A63" w:rsidP="00610FA8">
      <w:pPr>
        <w:rPr>
          <w:rFonts w:asciiTheme="minorHAnsi" w:eastAsia="Times New Roman" w:hAnsiTheme="minorHAnsi" w:cs="Calibri"/>
        </w:rPr>
      </w:pPr>
    </w:p>
    <w:p w:rsidR="00032CF5" w:rsidRDefault="00610FA8">
      <w:pPr>
        <w:pStyle w:val="ListParagraph"/>
        <w:numPr>
          <w:ilvl w:val="0"/>
          <w:numId w:val="15"/>
        </w:numPr>
        <w:rPr>
          <w:rFonts w:asciiTheme="minorHAnsi" w:hAnsiTheme="minorHAnsi"/>
        </w:rPr>
      </w:pPr>
      <w:r w:rsidRPr="002968EC">
        <w:rPr>
          <w:rFonts w:asciiTheme="minorHAnsi" w:hAnsiTheme="minorHAnsi"/>
        </w:rPr>
        <w:t>пазарен удел</w:t>
      </w:r>
    </w:p>
    <w:p w:rsidR="00032CF5" w:rsidRDefault="00610FA8">
      <w:pPr>
        <w:pStyle w:val="ListParagraph"/>
        <w:numPr>
          <w:ilvl w:val="0"/>
          <w:numId w:val="15"/>
        </w:numPr>
        <w:rPr>
          <w:rFonts w:asciiTheme="minorHAnsi" w:hAnsiTheme="minorHAnsi"/>
        </w:rPr>
      </w:pPr>
      <w:r w:rsidRPr="002968EC">
        <w:rPr>
          <w:rFonts w:asciiTheme="minorHAnsi" w:hAnsiTheme="minorHAnsi"/>
        </w:rPr>
        <w:t>ценовен тренд и ценовно однесување</w:t>
      </w:r>
    </w:p>
    <w:p w:rsidR="00032CF5" w:rsidRDefault="00610FA8">
      <w:pPr>
        <w:pStyle w:val="ListParagraph"/>
        <w:numPr>
          <w:ilvl w:val="0"/>
          <w:numId w:val="15"/>
        </w:numPr>
        <w:rPr>
          <w:rFonts w:asciiTheme="minorHAnsi" w:hAnsiTheme="minorHAnsi"/>
        </w:rPr>
      </w:pPr>
      <w:r w:rsidRPr="002968EC">
        <w:rPr>
          <w:rFonts w:asciiTheme="minorHAnsi" w:hAnsiTheme="minorHAnsi"/>
        </w:rPr>
        <w:t>контрола на инфраструктура која не се дуплира едноставно</w:t>
      </w:r>
    </w:p>
    <w:p w:rsidR="00032CF5" w:rsidRDefault="00233114">
      <w:pPr>
        <w:pStyle w:val="ListParagraph"/>
        <w:numPr>
          <w:ilvl w:val="0"/>
          <w:numId w:val="15"/>
        </w:numPr>
        <w:rPr>
          <w:rFonts w:asciiTheme="minorHAnsi" w:hAnsiTheme="minorHAnsi"/>
        </w:rPr>
      </w:pPr>
      <w:r w:rsidRPr="002968EC">
        <w:rPr>
          <w:rFonts w:asciiTheme="minorHAnsi" w:hAnsiTheme="minorHAnsi"/>
          <w:lang w:val="mk-MK"/>
        </w:rPr>
        <w:t>диверзификација на производи/услуги (пакетирани производи/услуги)</w:t>
      </w:r>
    </w:p>
    <w:p w:rsidR="00032CF5" w:rsidRDefault="00610FA8">
      <w:pPr>
        <w:pStyle w:val="ListParagraph"/>
        <w:numPr>
          <w:ilvl w:val="0"/>
          <w:numId w:val="15"/>
        </w:numPr>
        <w:rPr>
          <w:rFonts w:asciiTheme="minorHAnsi" w:hAnsiTheme="minorHAnsi"/>
        </w:rPr>
      </w:pPr>
      <w:r w:rsidRPr="002968EC">
        <w:rPr>
          <w:rFonts w:asciiTheme="minorHAnsi" w:hAnsiTheme="minorHAnsi"/>
        </w:rPr>
        <w:t>бариери за проширување</w:t>
      </w:r>
    </w:p>
    <w:p w:rsidR="00032CF5" w:rsidRDefault="00610FA8">
      <w:pPr>
        <w:pStyle w:val="ListParagraph"/>
        <w:numPr>
          <w:ilvl w:val="0"/>
          <w:numId w:val="15"/>
        </w:numPr>
        <w:rPr>
          <w:rFonts w:asciiTheme="minorHAnsi" w:hAnsiTheme="minorHAnsi"/>
        </w:rPr>
      </w:pPr>
      <w:r w:rsidRPr="002968EC">
        <w:rPr>
          <w:rFonts w:asciiTheme="minorHAnsi" w:hAnsiTheme="minorHAnsi"/>
        </w:rPr>
        <w:t>потенцијална конкуренција</w:t>
      </w:r>
    </w:p>
    <w:p w:rsidR="000D2A63" w:rsidRPr="002968EC" w:rsidRDefault="000D2A63" w:rsidP="00610FA8">
      <w:pPr>
        <w:rPr>
          <w:rFonts w:asciiTheme="minorHAnsi" w:hAnsiTheme="minorHAnsi" w:cs="Calibri"/>
          <w:i/>
        </w:rPr>
      </w:pPr>
    </w:p>
    <w:p w:rsidR="001452BD" w:rsidRDefault="001452BD" w:rsidP="00610FA8">
      <w:pPr>
        <w:rPr>
          <w:rFonts w:asciiTheme="minorHAnsi" w:hAnsiTheme="minorHAnsi" w:cs="Calibri"/>
          <w:lang w:val="mk-MK"/>
        </w:rPr>
      </w:pPr>
      <w:r w:rsidRPr="002968EC">
        <w:rPr>
          <w:rFonts w:asciiTheme="minorHAnsi" w:hAnsiTheme="minorHAnsi" w:cs="Calibri"/>
          <w:lang w:val="mk-MK"/>
        </w:rPr>
        <w:t>Пред да се започне со анализирање на показателите за динамиката за развој на ефективна конкуренција на пазарот АЕК с</w:t>
      </w:r>
      <w:r w:rsidR="00C71C53" w:rsidRPr="002968EC">
        <w:rPr>
          <w:rFonts w:asciiTheme="minorHAnsi" w:hAnsiTheme="minorHAnsi" w:cs="Calibri"/>
          <w:lang w:val="mk-MK"/>
        </w:rPr>
        <w:t>ака да напомене дека показателите</w:t>
      </w:r>
      <w:r w:rsidRPr="002968EC">
        <w:rPr>
          <w:rFonts w:asciiTheme="minorHAnsi" w:hAnsiTheme="minorHAnsi" w:cs="Calibri"/>
          <w:lang w:val="mk-MK"/>
        </w:rPr>
        <w:t xml:space="preserve"> Контрола на инфраструктурата која не се дуплира едноставно</w:t>
      </w:r>
      <w:r w:rsidR="00C71C53" w:rsidRPr="002968EC">
        <w:rPr>
          <w:rFonts w:asciiTheme="minorHAnsi" w:hAnsiTheme="minorHAnsi" w:cs="Calibri"/>
          <w:lang w:val="mk-MK"/>
        </w:rPr>
        <w:t xml:space="preserve"> и Диверзификација на производи/услуги (пакетирање на производи/услуги) беа анализирани</w:t>
      </w:r>
      <w:r w:rsidRPr="002968EC">
        <w:rPr>
          <w:rFonts w:asciiTheme="minorHAnsi" w:hAnsiTheme="minorHAnsi" w:cs="Calibri"/>
          <w:lang w:val="mk-MK"/>
        </w:rPr>
        <w:t xml:space="preserve"> во првиот критериум </w:t>
      </w:r>
      <w:r w:rsidR="00C71C53" w:rsidRPr="002968EC">
        <w:rPr>
          <w:rFonts w:asciiTheme="minorHAnsi" w:hAnsiTheme="minorHAnsi" w:cs="Calibri"/>
          <w:lang w:val="mk-MK"/>
        </w:rPr>
        <w:t>на три критериум</w:t>
      </w:r>
      <w:r w:rsidR="00BC622D" w:rsidRPr="002968EC">
        <w:rPr>
          <w:rFonts w:asciiTheme="minorHAnsi" w:hAnsiTheme="minorHAnsi" w:cs="Calibri"/>
          <w:lang w:val="mk-MK"/>
        </w:rPr>
        <w:t xml:space="preserve"> тестот. </w:t>
      </w:r>
      <w:r w:rsidRPr="002968EC">
        <w:rPr>
          <w:rFonts w:asciiTheme="minorHAnsi" w:hAnsiTheme="minorHAnsi" w:cs="Calibri"/>
          <w:lang w:val="mk-MK"/>
        </w:rPr>
        <w:t xml:space="preserve"> </w:t>
      </w:r>
    </w:p>
    <w:p w:rsidR="000E4710" w:rsidRDefault="000E4710" w:rsidP="00610FA8">
      <w:pPr>
        <w:rPr>
          <w:rFonts w:asciiTheme="minorHAnsi" w:hAnsiTheme="minorHAnsi" w:cs="Calibri"/>
          <w:lang w:val="mk-MK"/>
        </w:rPr>
      </w:pPr>
    </w:p>
    <w:p w:rsidR="006E317C" w:rsidRPr="002968EC" w:rsidRDefault="006E317C" w:rsidP="00610FA8">
      <w:pPr>
        <w:rPr>
          <w:rFonts w:asciiTheme="minorHAnsi" w:hAnsiTheme="minorHAnsi" w:cs="Calibri"/>
          <w:lang w:val="mk-MK"/>
        </w:rPr>
      </w:pPr>
    </w:p>
    <w:p w:rsidR="00032CF5" w:rsidRDefault="00746A23">
      <w:pPr>
        <w:numPr>
          <w:ilvl w:val="0"/>
          <w:numId w:val="20"/>
        </w:numPr>
        <w:rPr>
          <w:rFonts w:asciiTheme="minorHAnsi" w:hAnsiTheme="minorHAnsi" w:cs="Calibri"/>
          <w:lang w:val="mk-MK"/>
        </w:rPr>
      </w:pPr>
      <w:r w:rsidRPr="002968EC">
        <w:rPr>
          <w:rFonts w:asciiTheme="minorHAnsi" w:hAnsiTheme="minorHAnsi" w:cs="Calibri"/>
          <w:lang w:val="mk-MK"/>
        </w:rPr>
        <w:lastRenderedPageBreak/>
        <w:t>Пазарен удел</w:t>
      </w:r>
    </w:p>
    <w:p w:rsidR="00746A23" w:rsidRPr="002968EC" w:rsidRDefault="00610FA8" w:rsidP="00610FA8">
      <w:pPr>
        <w:rPr>
          <w:rFonts w:asciiTheme="minorHAnsi" w:hAnsiTheme="minorHAnsi" w:cs="Calibri"/>
          <w:lang w:val="mk-MK"/>
        </w:rPr>
      </w:pPr>
      <w:r w:rsidRPr="002968EC">
        <w:rPr>
          <w:rFonts w:asciiTheme="minorHAnsi" w:hAnsiTheme="minorHAnsi" w:cs="Calibri"/>
        </w:rPr>
        <w:t xml:space="preserve">Пазарниот удел на операторите на релевантните пазари е значаен показател за пазарната моќ на истите. </w:t>
      </w:r>
    </w:p>
    <w:p w:rsidR="004D4CF3" w:rsidRPr="002968EC" w:rsidRDefault="00746A23" w:rsidP="004D4CF3">
      <w:pPr>
        <w:rPr>
          <w:rFonts w:asciiTheme="minorHAnsi" w:hAnsiTheme="minorHAnsi" w:cs="Calibri"/>
          <w:lang w:val="mk-MK"/>
        </w:rPr>
      </w:pPr>
      <w:r w:rsidRPr="002968EC">
        <w:rPr>
          <w:rFonts w:asciiTheme="minorHAnsi" w:hAnsiTheme="minorHAnsi" w:cs="Calibri"/>
          <w:lang w:val="mk-MK"/>
        </w:rPr>
        <w:t xml:space="preserve">На пазарот за пристап до јавна електронска комуникациска мрежа на фиксна локација во Р.Македонија  делуваат повеќе оператори. Согласно извештајот за развој на пазарот за електронски комуникации за четвртиот квартал од 2015 година </w:t>
      </w:r>
      <w:r w:rsidR="004D4CF3" w:rsidRPr="002968EC">
        <w:rPr>
          <w:rFonts w:asciiTheme="minorHAnsi" w:hAnsiTheme="minorHAnsi" w:cs="Calibri"/>
          <w:lang w:val="mk-MK"/>
        </w:rPr>
        <w:t>од 32 нотифицирани субјекти во службената евиденција на АЕК 27 субјекти обезбедуваа јавно достапни телефонски услуги на фиксна локација, и тоа:</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1. Македонски Телеком-Скопје,</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2. Оне.ВИП- Скопје,</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3. Близу- Скопје,</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4. Роби- Штип,</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5. Неотел- Скопје,</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6. Инфел Нет Плус- Охрид,</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7. Актон-Скопје,</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8. Пц4алл- Скопје,</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9. Туше- Охрид,</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10. Нетплус- Охрид,</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11. Албан Нет- Дебар,</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12. М- Инженеринг- Штип,</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13. Ријад Нет – Дебар,</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14. Нетплус комуникации- Скопје,</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15. Сторк Импекс- Скопје,</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16. Турк Телеком Интернатионал - Скопје,</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17. ГИВ Иван- Гостивар,</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18. Нет Кабел- Струмица,</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19. Телесмарт Телеком- Скопје,</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20. Алтар Сат-Охрид,</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21. Санет Кабелсат-Струмица,</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lastRenderedPageBreak/>
        <w:t>22. Нет Конект-Скопје,</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23. Кабле Калл – Кичево,</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24. Филаделфија 2002 – Скопје,</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25. ФНС Глобал – Скопје,</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26. Винсакт Кабел – Виница,</w:t>
      </w:r>
      <w:r w:rsidR="00746A23" w:rsidRPr="002968EC">
        <w:rPr>
          <w:rFonts w:asciiTheme="minorHAnsi" w:hAnsiTheme="minorHAnsi" w:cs="Calibri"/>
          <w:lang w:val="mk-MK"/>
        </w:rPr>
        <w:t xml:space="preserve"> </w:t>
      </w:r>
    </w:p>
    <w:p w:rsidR="004D4CF3" w:rsidRPr="002968EC" w:rsidRDefault="004D4CF3" w:rsidP="004D4CF3">
      <w:pPr>
        <w:rPr>
          <w:rFonts w:asciiTheme="minorHAnsi" w:hAnsiTheme="minorHAnsi" w:cs="Calibri"/>
          <w:lang w:val="mk-MK"/>
        </w:rPr>
      </w:pPr>
      <w:r w:rsidRPr="002968EC">
        <w:rPr>
          <w:rFonts w:asciiTheme="minorHAnsi" w:hAnsiTheme="minorHAnsi" w:cs="Calibri"/>
          <w:lang w:val="mk-MK"/>
        </w:rPr>
        <w:t xml:space="preserve">27. Дип Блу Плус </w:t>
      </w:r>
      <w:r w:rsidR="001D2129" w:rsidRPr="002968EC">
        <w:rPr>
          <w:rFonts w:asciiTheme="minorHAnsi" w:hAnsiTheme="minorHAnsi" w:cs="Calibri"/>
          <w:lang w:val="mk-MK"/>
        </w:rPr>
        <w:t>–</w:t>
      </w:r>
      <w:r w:rsidRPr="002968EC">
        <w:rPr>
          <w:rFonts w:asciiTheme="minorHAnsi" w:hAnsiTheme="minorHAnsi" w:cs="Calibri"/>
          <w:lang w:val="mk-MK"/>
        </w:rPr>
        <w:t xml:space="preserve"> Прилеп</w:t>
      </w:r>
    </w:p>
    <w:p w:rsidR="00461238" w:rsidRPr="002968EC" w:rsidRDefault="00461238" w:rsidP="004D4CF3">
      <w:pPr>
        <w:rPr>
          <w:rFonts w:asciiTheme="minorHAnsi" w:hAnsiTheme="minorHAnsi" w:cs="Calibri"/>
          <w:lang w:val="mk-MK"/>
        </w:rPr>
      </w:pPr>
      <w:r w:rsidRPr="002968EC">
        <w:rPr>
          <w:rFonts w:asciiTheme="minorHAnsi" w:hAnsiTheme="minorHAnsi" w:cs="Calibri"/>
          <w:lang w:val="mk-MK"/>
        </w:rPr>
        <w:t>Иако според службената евиденција горенаведените оператори се активни на пазарот само дел од нив имаат активни претплатници. Имено подолу наведените оператори се активни за обезбедување на фиксна телефонија на пазарот на електронски комуникации и имаат активни претплатници според податоците на АЕК заклучно со 01.01.2016 год, односно до периодот опфатен со оваа анализа.</w:t>
      </w:r>
    </w:p>
    <w:p w:rsidR="00032CF5" w:rsidRDefault="00461238">
      <w:pPr>
        <w:pStyle w:val="ListParagraph"/>
        <w:numPr>
          <w:ilvl w:val="0"/>
          <w:numId w:val="11"/>
        </w:numPr>
        <w:rPr>
          <w:rFonts w:asciiTheme="minorHAnsi" w:hAnsiTheme="minorHAnsi"/>
          <w:lang w:val="mk-MK"/>
        </w:rPr>
      </w:pPr>
      <w:r w:rsidRPr="002968EC">
        <w:rPr>
          <w:rFonts w:asciiTheme="minorHAnsi" w:hAnsiTheme="minorHAnsi"/>
          <w:lang w:val="mk-MK"/>
        </w:rPr>
        <w:t>Македонски телеком Скопје</w:t>
      </w:r>
      <w:r w:rsidRPr="002968EC">
        <w:rPr>
          <w:rFonts w:asciiTheme="minorHAnsi" w:hAnsiTheme="minorHAnsi"/>
        </w:rPr>
        <w:t xml:space="preserve">, ул.„Кеј 13-ти Ноември“ бр.6 </w:t>
      </w:r>
      <w:r w:rsidRPr="002968EC">
        <w:rPr>
          <w:rFonts w:asciiTheme="minorHAnsi" w:hAnsiTheme="minorHAnsi"/>
          <w:lang w:val="mk-MK"/>
        </w:rPr>
        <w:t>Скопје,</w:t>
      </w:r>
    </w:p>
    <w:p w:rsidR="00032CF5" w:rsidRDefault="00461238">
      <w:pPr>
        <w:pStyle w:val="ListParagraph"/>
        <w:numPr>
          <w:ilvl w:val="0"/>
          <w:numId w:val="11"/>
        </w:numPr>
        <w:rPr>
          <w:rFonts w:asciiTheme="minorHAnsi" w:hAnsiTheme="minorHAnsi"/>
          <w:lang w:val="mk-MK"/>
        </w:rPr>
      </w:pPr>
      <w:r w:rsidRPr="002968EC">
        <w:rPr>
          <w:rFonts w:asciiTheme="minorHAnsi" w:hAnsiTheme="minorHAnsi"/>
          <w:lang w:val="mk-MK"/>
        </w:rPr>
        <w:t>ОНЕ Скопје</w:t>
      </w:r>
      <w:r w:rsidRPr="002968EC">
        <w:rPr>
          <w:rFonts w:asciiTheme="minorHAnsi" w:hAnsiTheme="minorHAnsi"/>
        </w:rPr>
        <w:t xml:space="preserve">, </w:t>
      </w:r>
      <w:r w:rsidRPr="002968EC">
        <w:rPr>
          <w:rFonts w:asciiTheme="minorHAnsi" w:hAnsiTheme="minorHAnsi"/>
          <w:lang w:val="mk-MK"/>
        </w:rPr>
        <w:t xml:space="preserve"> ул.„Кузман Јосифовски Питу“ бр. 15 Скопје, </w:t>
      </w:r>
    </w:p>
    <w:p w:rsidR="00032CF5" w:rsidRDefault="00461238">
      <w:pPr>
        <w:pStyle w:val="ListParagraph"/>
        <w:numPr>
          <w:ilvl w:val="0"/>
          <w:numId w:val="11"/>
        </w:numPr>
        <w:rPr>
          <w:rFonts w:asciiTheme="minorHAnsi" w:hAnsiTheme="minorHAnsi"/>
          <w:lang w:val="mk-MK"/>
        </w:rPr>
      </w:pPr>
      <w:r w:rsidRPr="002968EC">
        <w:rPr>
          <w:rFonts w:asciiTheme="minorHAnsi" w:hAnsiTheme="minorHAnsi"/>
          <w:lang w:val="mk-MK"/>
        </w:rPr>
        <w:t>БЛИЗУ Скопје</w:t>
      </w:r>
      <w:r w:rsidRPr="002968EC">
        <w:rPr>
          <w:rFonts w:asciiTheme="minorHAnsi" w:hAnsiTheme="minorHAnsi"/>
        </w:rPr>
        <w:t xml:space="preserve">, ул.3-та Македонска Бригада бр.ББ, </w:t>
      </w:r>
    </w:p>
    <w:p w:rsidR="00032CF5" w:rsidRDefault="00461238">
      <w:pPr>
        <w:pStyle w:val="ListParagraph"/>
        <w:numPr>
          <w:ilvl w:val="0"/>
          <w:numId w:val="11"/>
        </w:numPr>
        <w:rPr>
          <w:rFonts w:asciiTheme="minorHAnsi" w:hAnsiTheme="minorHAnsi"/>
          <w:lang w:val="mk-MK"/>
        </w:rPr>
      </w:pPr>
      <w:r w:rsidRPr="002968EC">
        <w:rPr>
          <w:rFonts w:asciiTheme="minorHAnsi" w:hAnsiTheme="minorHAnsi"/>
          <w:lang w:val="mk-MK"/>
        </w:rPr>
        <w:t xml:space="preserve">НЕОТЕЛ Скопје, Бул. „Кузман Јосифовски Питу“ бр. 15 Скопје, </w:t>
      </w:r>
    </w:p>
    <w:p w:rsidR="00032CF5" w:rsidRDefault="00461238">
      <w:pPr>
        <w:pStyle w:val="ListParagraph"/>
        <w:numPr>
          <w:ilvl w:val="0"/>
          <w:numId w:val="11"/>
        </w:numPr>
        <w:rPr>
          <w:rFonts w:asciiTheme="minorHAnsi" w:hAnsiTheme="minorHAnsi"/>
          <w:color w:val="0070C0"/>
          <w:lang w:val="mk-MK"/>
        </w:rPr>
      </w:pPr>
      <w:r w:rsidRPr="002968EC">
        <w:rPr>
          <w:rFonts w:asciiTheme="minorHAnsi" w:hAnsiTheme="minorHAnsi"/>
          <w:lang w:val="mk-MK"/>
        </w:rPr>
        <w:t>РОБИ Штип</w:t>
      </w:r>
      <w:r w:rsidRPr="002968EC">
        <w:rPr>
          <w:rFonts w:asciiTheme="minorHAnsi" w:hAnsiTheme="minorHAnsi"/>
        </w:rPr>
        <w:t xml:space="preserve">, ул. Ванчо Прќе  бр.88 Штип, </w:t>
      </w:r>
    </w:p>
    <w:p w:rsidR="00032CF5" w:rsidRDefault="00461238">
      <w:pPr>
        <w:pStyle w:val="ListParagraph"/>
        <w:numPr>
          <w:ilvl w:val="0"/>
          <w:numId w:val="11"/>
        </w:numPr>
        <w:rPr>
          <w:rFonts w:asciiTheme="minorHAnsi" w:hAnsiTheme="minorHAnsi"/>
          <w:lang w:val="mk-MK"/>
        </w:rPr>
      </w:pPr>
      <w:r w:rsidRPr="002968EC">
        <w:rPr>
          <w:rFonts w:asciiTheme="minorHAnsi" w:hAnsiTheme="minorHAnsi"/>
          <w:lang w:val="mk-MK"/>
        </w:rPr>
        <w:t xml:space="preserve">АЛТРА САТ Охрид, бул. „Македонски Просветители“ бб Т.Ц. Охриѓанка Охрид, </w:t>
      </w:r>
    </w:p>
    <w:p w:rsidR="00032CF5" w:rsidRDefault="00461238">
      <w:pPr>
        <w:pStyle w:val="ListParagraph"/>
        <w:numPr>
          <w:ilvl w:val="0"/>
          <w:numId w:val="11"/>
        </w:numPr>
        <w:rPr>
          <w:rFonts w:asciiTheme="minorHAnsi" w:hAnsiTheme="minorHAnsi"/>
          <w:lang w:val="mk-MK"/>
        </w:rPr>
      </w:pPr>
      <w:r w:rsidRPr="002968EC">
        <w:rPr>
          <w:rFonts w:asciiTheme="minorHAnsi" w:hAnsiTheme="minorHAnsi"/>
          <w:lang w:val="mk-MK"/>
        </w:rPr>
        <w:t>ИНФЕЛ НЕТПЛУС Охрид</w:t>
      </w:r>
      <w:r w:rsidRPr="002968EC">
        <w:rPr>
          <w:rFonts w:asciiTheme="minorHAnsi" w:hAnsiTheme="minorHAnsi"/>
        </w:rPr>
        <w:t xml:space="preserve">, ул. Богомилска бр.Б1, 6000 Охрид,  </w:t>
      </w:r>
    </w:p>
    <w:p w:rsidR="00032CF5" w:rsidRDefault="00461238">
      <w:pPr>
        <w:pStyle w:val="ListParagraph"/>
        <w:numPr>
          <w:ilvl w:val="0"/>
          <w:numId w:val="11"/>
        </w:numPr>
        <w:rPr>
          <w:rFonts w:asciiTheme="minorHAnsi" w:hAnsiTheme="minorHAnsi"/>
          <w:lang w:val="mk-MK"/>
        </w:rPr>
      </w:pPr>
      <w:r w:rsidRPr="002968EC">
        <w:rPr>
          <w:rFonts w:asciiTheme="minorHAnsi" w:hAnsiTheme="minorHAnsi"/>
          <w:lang w:val="mk-MK"/>
        </w:rPr>
        <w:t xml:space="preserve">ГИВ Гостивар Гостивар, Бул.„Браќа Гиноски“ бр.217 Гостивар, </w:t>
      </w:r>
    </w:p>
    <w:p w:rsidR="00461238" w:rsidRPr="002968EC" w:rsidRDefault="00461238" w:rsidP="004D4CF3">
      <w:pPr>
        <w:rPr>
          <w:rFonts w:asciiTheme="minorHAnsi" w:hAnsiTheme="minorHAnsi" w:cs="Calibri"/>
          <w:lang w:val="mk-MK"/>
        </w:rPr>
      </w:pPr>
    </w:p>
    <w:p w:rsidR="00461238" w:rsidRPr="002968EC" w:rsidRDefault="00461238" w:rsidP="004D4CF3">
      <w:pPr>
        <w:rPr>
          <w:rFonts w:asciiTheme="minorHAnsi" w:hAnsiTheme="minorHAnsi" w:cs="Calibri"/>
          <w:lang w:val="mk-MK"/>
        </w:rPr>
      </w:pPr>
      <w:r w:rsidRPr="002968EC">
        <w:rPr>
          <w:rFonts w:asciiTheme="minorHAnsi" w:hAnsiTheme="minorHAnsi" w:cs="Calibri"/>
          <w:lang w:val="mk-MK"/>
        </w:rPr>
        <w:t xml:space="preserve"> </w:t>
      </w:r>
      <w:r w:rsidR="007F05C7" w:rsidRPr="002968EC">
        <w:rPr>
          <w:rFonts w:asciiTheme="minorHAnsi" w:hAnsiTheme="minorHAnsi" w:cs="Calibri"/>
          <w:lang w:val="mk-MK"/>
        </w:rPr>
        <w:t xml:space="preserve">Со утврдување на големината на пазарот и учеството на секој поединечен учесник се утврдува дали некој оператор поседува значителна пазарна моќ на пазарот или истиот се стреми кон ефикасна конкуренција. Со самиот факт што </w:t>
      </w:r>
      <w:r w:rsidR="0056779B" w:rsidRPr="002968EC">
        <w:rPr>
          <w:rFonts w:asciiTheme="minorHAnsi" w:hAnsiTheme="minorHAnsi" w:cs="Calibri"/>
          <w:lang w:val="mk-MK"/>
        </w:rPr>
        <w:t>МКТ</w:t>
      </w:r>
      <w:r w:rsidR="00610FA8" w:rsidRPr="002968EC">
        <w:rPr>
          <w:rFonts w:asciiTheme="minorHAnsi" w:hAnsiTheme="minorHAnsi" w:cs="Calibri"/>
          <w:lang w:val="mk-MK"/>
        </w:rPr>
        <w:t xml:space="preserve"> не е единствениот оператор кој обезбедува услуга </w:t>
      </w:r>
      <w:r w:rsidR="0056779B" w:rsidRPr="002968EC">
        <w:rPr>
          <w:rFonts w:asciiTheme="minorHAnsi" w:hAnsiTheme="minorHAnsi" w:cs="Calibri"/>
          <w:lang w:val="mk-MK"/>
        </w:rPr>
        <w:t xml:space="preserve">пристап до </w:t>
      </w:r>
      <w:r w:rsidR="008A38F9" w:rsidRPr="002968EC">
        <w:rPr>
          <w:rFonts w:asciiTheme="minorHAnsi" w:hAnsiTheme="minorHAnsi"/>
          <w:lang w:val="mk-MK"/>
        </w:rPr>
        <w:t>јавна електронска комуникациска мрежа на фиксна локација</w:t>
      </w:r>
      <w:r w:rsidR="00610FA8" w:rsidRPr="002968EC">
        <w:rPr>
          <w:rFonts w:asciiTheme="minorHAnsi" w:hAnsiTheme="minorHAnsi" w:cs="Calibri"/>
          <w:lang w:val="mk-MK"/>
        </w:rPr>
        <w:t xml:space="preserve"> на овој м</w:t>
      </w:r>
      <w:r w:rsidR="0056779B" w:rsidRPr="002968EC">
        <w:rPr>
          <w:rFonts w:asciiTheme="minorHAnsi" w:hAnsiTheme="minorHAnsi" w:cs="Calibri"/>
          <w:lang w:val="mk-MK"/>
        </w:rPr>
        <w:t>ал</w:t>
      </w:r>
      <w:r w:rsidR="00610FA8" w:rsidRPr="002968EC">
        <w:rPr>
          <w:rFonts w:asciiTheme="minorHAnsi" w:hAnsiTheme="minorHAnsi" w:cs="Calibri"/>
          <w:lang w:val="mk-MK"/>
        </w:rPr>
        <w:t>опродажен пазар</w:t>
      </w:r>
      <w:r w:rsidR="007F05C7" w:rsidRPr="002968EC">
        <w:rPr>
          <w:rFonts w:asciiTheme="minorHAnsi" w:hAnsiTheme="minorHAnsi" w:cs="Calibri"/>
          <w:lang w:val="mk-MK"/>
        </w:rPr>
        <w:t xml:space="preserve"> може да се заклучи дека на пазарот постои конкуренција</w:t>
      </w:r>
      <w:r w:rsidR="00610FA8" w:rsidRPr="002968EC">
        <w:rPr>
          <w:rFonts w:asciiTheme="minorHAnsi" w:hAnsiTheme="minorHAnsi" w:cs="Calibri"/>
          <w:lang w:val="mk-MK"/>
        </w:rPr>
        <w:t>.</w:t>
      </w:r>
    </w:p>
    <w:p w:rsidR="00461238" w:rsidRPr="002968EC" w:rsidRDefault="00461238" w:rsidP="00461238">
      <w:pPr>
        <w:autoSpaceDE w:val="0"/>
        <w:ind w:firstLine="17"/>
        <w:rPr>
          <w:rFonts w:asciiTheme="minorHAnsi" w:hAnsiTheme="minorHAnsi" w:cs="Calibri"/>
          <w:noProof/>
          <w:lang w:val="mk-MK"/>
        </w:rPr>
      </w:pPr>
      <w:r w:rsidRPr="002968EC">
        <w:rPr>
          <w:rFonts w:asciiTheme="minorHAnsi" w:hAnsiTheme="minorHAnsi" w:cs="Calibri"/>
          <w:lang w:val="mk-MK"/>
        </w:rPr>
        <w:t xml:space="preserve">Промените во пазарниот удел помеѓу анализите ќе ни го покажат трендот на движење на пазарот, што ќе ни даде сознание дали состојбата на пазарот се стреми кон ефективна конкуренција или сеуште постои оператор/и со значителна пазарна моќ. Со спроведувањето на првата а по извесно време и втората анализа на овој релевантен пазар операторот Македонски Телеком АД е одреден дека поседува значителна пазарна моќ. </w:t>
      </w:r>
      <w:r w:rsidR="00CC36BF" w:rsidRPr="002968EC">
        <w:rPr>
          <w:rFonts w:asciiTheme="minorHAnsi" w:hAnsiTheme="minorHAnsi" w:cs="Calibri"/>
          <w:lang w:val="mk-MK"/>
        </w:rPr>
        <w:t>АЕК смета дека во периодот од спроведувањето на првата анализа до периодот опфатен со третата анализа</w:t>
      </w:r>
      <w:r w:rsidRPr="002968EC">
        <w:rPr>
          <w:rFonts w:asciiTheme="minorHAnsi" w:hAnsiTheme="minorHAnsi" w:cs="Calibri"/>
          <w:lang w:val="mk-MK"/>
        </w:rPr>
        <w:t xml:space="preserve"> операторот Македонски Телеком АД се соочува со зголемена конкуренција на пазарот на пристап до </w:t>
      </w:r>
      <w:r w:rsidRPr="002968EC">
        <w:rPr>
          <w:rFonts w:asciiTheme="minorHAnsi" w:hAnsiTheme="minorHAnsi"/>
          <w:lang w:val="mk-MK"/>
        </w:rPr>
        <w:t>јавна електронска комуникациска мрежа на фиксна локација</w:t>
      </w:r>
      <w:r w:rsidRPr="002968EC">
        <w:rPr>
          <w:rFonts w:asciiTheme="minorHAnsi" w:hAnsiTheme="minorHAnsi" w:cs="Calibri"/>
          <w:lang w:val="mk-MK"/>
        </w:rPr>
        <w:t xml:space="preserve"> од страна на алтернативните оператори кои ја користат услугата за изнајмување на големо на претплатничка линија или физички пристап – битстрим или разврзана локална јамка (користејќи ја мрежата на МКТ), како и алтернативни оператори кои обезбедуваат управуван ВОИП во пакет со услугата широкопојасен пристап а за тоа користат сопствена мрежна инфраструктура (кабелски, </w:t>
      </w:r>
      <w:r w:rsidRPr="002968EC">
        <w:rPr>
          <w:rFonts w:asciiTheme="minorHAnsi" w:hAnsiTheme="minorHAnsi" w:cs="Calibri"/>
        </w:rPr>
        <w:t>Wimax</w:t>
      </w:r>
      <w:r w:rsidRPr="002968EC">
        <w:rPr>
          <w:rFonts w:asciiTheme="minorHAnsi" w:hAnsiTheme="minorHAnsi" w:cs="Calibri"/>
          <w:lang w:val="mk-MK"/>
        </w:rPr>
        <w:t xml:space="preserve"> или безжична мрежа).</w:t>
      </w:r>
      <w:r w:rsidRPr="002968EC">
        <w:rPr>
          <w:rFonts w:asciiTheme="minorHAnsi" w:hAnsiTheme="minorHAnsi" w:cs="Calibri"/>
          <w:noProof/>
        </w:rPr>
        <w:t xml:space="preserve"> </w:t>
      </w:r>
    </w:p>
    <w:p w:rsidR="00461238" w:rsidRPr="002968EC" w:rsidRDefault="00461238" w:rsidP="00461238">
      <w:pPr>
        <w:autoSpaceDE w:val="0"/>
        <w:ind w:firstLine="17"/>
        <w:rPr>
          <w:rFonts w:asciiTheme="minorHAnsi" w:hAnsiTheme="minorHAnsi" w:cs="Calibri"/>
          <w:noProof/>
          <w:lang w:val="mk-MK"/>
        </w:rPr>
      </w:pPr>
      <w:r w:rsidRPr="002968EC">
        <w:rPr>
          <w:rFonts w:asciiTheme="minorHAnsi" w:hAnsiTheme="minorHAnsi" w:cs="Calibri"/>
          <w:noProof/>
          <w:lang w:val="mk-MK"/>
        </w:rPr>
        <w:lastRenderedPageBreak/>
        <w:t>Во следниот графикон подолу е прикажан трендот на движење на малопродажниот пазар на фи</w:t>
      </w:r>
      <w:r w:rsidR="00CC36BF" w:rsidRPr="002968EC">
        <w:rPr>
          <w:rFonts w:asciiTheme="minorHAnsi" w:hAnsiTheme="minorHAnsi" w:cs="Calibri"/>
          <w:noProof/>
          <w:lang w:val="mk-MK"/>
        </w:rPr>
        <w:t>ксна телефонија заклучно со 2015</w:t>
      </w:r>
      <w:r w:rsidRPr="002968EC">
        <w:rPr>
          <w:rFonts w:asciiTheme="minorHAnsi" w:hAnsiTheme="minorHAnsi" w:cs="Calibri"/>
          <w:noProof/>
          <w:lang w:val="mk-MK"/>
        </w:rPr>
        <w:t xml:space="preserve"> год.</w:t>
      </w:r>
    </w:p>
    <w:p w:rsidR="00CC36BF" w:rsidRPr="002968EC" w:rsidRDefault="00E0707D" w:rsidP="00461238">
      <w:pPr>
        <w:autoSpaceDE w:val="0"/>
        <w:ind w:firstLine="17"/>
        <w:rPr>
          <w:rFonts w:asciiTheme="minorHAnsi" w:hAnsiTheme="minorHAnsi" w:cs="Calibri"/>
          <w:lang w:val="mk-MK"/>
        </w:rPr>
      </w:pPr>
      <w:r>
        <w:rPr>
          <w:rFonts w:asciiTheme="minorHAnsi" w:hAnsiTheme="minorHAnsi" w:cs="Calibri"/>
          <w:noProof/>
        </w:rPr>
        <w:drawing>
          <wp:inline distT="0" distB="0" distL="0" distR="0">
            <wp:extent cx="5594350" cy="280035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4454D" w:rsidRPr="0084454D" w:rsidRDefault="000E4710" w:rsidP="000E4710">
      <w:pPr>
        <w:pStyle w:val="Caption"/>
        <w:rPr>
          <w:rFonts w:asciiTheme="minorHAnsi" w:hAnsiTheme="minorHAnsi" w:cs="Calibri"/>
          <w:b w:val="0"/>
          <w:lang w:val="mk-MK"/>
        </w:rPr>
      </w:pPr>
      <w:bookmarkStart w:id="30" w:name="_Toc461546199"/>
      <w:r>
        <w:t xml:space="preserve">Графикон </w:t>
      </w:r>
      <w:fldSimple w:instr=" SEQ Графикон \* ARABIC ">
        <w:r w:rsidR="00870C45">
          <w:rPr>
            <w:noProof/>
          </w:rPr>
          <w:t>6</w:t>
        </w:r>
      </w:fldSimple>
      <w:r>
        <w:rPr>
          <w:lang w:val="mk-MK"/>
        </w:rPr>
        <w:t xml:space="preserve"> </w:t>
      </w:r>
      <w:r w:rsidR="0084454D" w:rsidRPr="0084454D">
        <w:rPr>
          <w:rFonts w:asciiTheme="minorHAnsi" w:hAnsiTheme="minorHAnsi" w:cs="Calibri"/>
          <w:lang w:val="mk-MK"/>
        </w:rPr>
        <w:t>Пазарен удел според број на претплатници</w:t>
      </w:r>
      <w:bookmarkEnd w:id="30"/>
    </w:p>
    <w:p w:rsidR="00FA409F" w:rsidRPr="002968EC" w:rsidRDefault="00F2624B" w:rsidP="00F2624B">
      <w:pPr>
        <w:autoSpaceDE w:val="0"/>
        <w:rPr>
          <w:rFonts w:asciiTheme="minorHAnsi" w:hAnsiTheme="minorHAnsi" w:cs="Calibri"/>
          <w:lang w:val="mk-MK"/>
        </w:rPr>
      </w:pPr>
      <w:r w:rsidRPr="002968EC">
        <w:rPr>
          <w:rFonts w:asciiTheme="minorHAnsi" w:hAnsiTheme="minorHAnsi" w:cs="Calibri"/>
          <w:lang w:val="mk-MK"/>
        </w:rPr>
        <w:t>На графикот</w:t>
      </w:r>
      <w:r w:rsidR="00C37236">
        <w:rPr>
          <w:rFonts w:asciiTheme="minorHAnsi" w:hAnsiTheme="minorHAnsi" w:cs="Calibri"/>
          <w:lang w:val="mk-MK"/>
        </w:rPr>
        <w:t xml:space="preserve"> 7</w:t>
      </w:r>
      <w:r w:rsidRPr="002968EC">
        <w:rPr>
          <w:rFonts w:asciiTheme="minorHAnsi" w:hAnsiTheme="minorHAnsi" w:cs="Calibri"/>
          <w:lang w:val="mk-MK"/>
        </w:rPr>
        <w:t xml:space="preserve"> е прикажан развојот на пазарниот удел на пазарот на фиксна телефонија од 2009 до 2015 год., помеѓу операторот Македонски Телеком АД и алтернативните оператори кои преку широкопојасен пристап до мрежа обезбедуваат услуга пристап врзана во пакет со управувани ВОИП услуги. На крајот на</w:t>
      </w:r>
      <w:r w:rsidRPr="002968EC">
        <w:rPr>
          <w:rFonts w:asciiTheme="minorHAnsi" w:hAnsiTheme="minorHAnsi" w:cs="Calibri"/>
        </w:rPr>
        <w:t xml:space="preserve"> 201</w:t>
      </w:r>
      <w:r w:rsidRPr="002968EC">
        <w:rPr>
          <w:rFonts w:asciiTheme="minorHAnsi" w:hAnsiTheme="minorHAnsi" w:cs="Calibri"/>
          <w:lang w:val="mk-MK"/>
        </w:rPr>
        <w:t xml:space="preserve">5г., пазарниот удел на Македонски Телеком АД изнесува </w:t>
      </w:r>
      <w:r w:rsidR="00FA409F" w:rsidRPr="002968EC">
        <w:rPr>
          <w:rFonts w:asciiTheme="minorHAnsi" w:hAnsiTheme="minorHAnsi" w:cs="Calibri"/>
          <w:lang w:val="mk-MK"/>
        </w:rPr>
        <w:t>60,59</w:t>
      </w:r>
      <w:r w:rsidRPr="002968EC">
        <w:rPr>
          <w:rFonts w:asciiTheme="minorHAnsi" w:hAnsiTheme="minorHAnsi" w:cs="Calibri"/>
          <w:lang w:val="mk-MK"/>
        </w:rPr>
        <w:t xml:space="preserve">% и е опаднат за </w:t>
      </w:r>
      <w:r w:rsidRPr="002968EC">
        <w:rPr>
          <w:rFonts w:asciiTheme="minorHAnsi" w:hAnsiTheme="minorHAnsi" w:cs="Calibri"/>
        </w:rPr>
        <w:t>2</w:t>
      </w:r>
      <w:r w:rsidR="00FA409F" w:rsidRPr="002968EC">
        <w:rPr>
          <w:rFonts w:asciiTheme="minorHAnsi" w:hAnsiTheme="minorHAnsi" w:cs="Calibri"/>
          <w:lang w:val="mk-MK"/>
        </w:rPr>
        <w:t>2</w:t>
      </w:r>
      <w:r w:rsidR="00FA409F" w:rsidRPr="002968EC">
        <w:rPr>
          <w:rFonts w:asciiTheme="minorHAnsi" w:hAnsiTheme="minorHAnsi" w:cs="Calibri"/>
        </w:rPr>
        <w:t>,</w:t>
      </w:r>
      <w:r w:rsidR="00FA409F" w:rsidRPr="002968EC">
        <w:rPr>
          <w:rFonts w:asciiTheme="minorHAnsi" w:hAnsiTheme="minorHAnsi" w:cs="Calibri"/>
          <w:lang w:val="mk-MK"/>
        </w:rPr>
        <w:t>99% во однос на 2009</w:t>
      </w:r>
      <w:r w:rsidRPr="002968EC">
        <w:rPr>
          <w:rFonts w:asciiTheme="minorHAnsi" w:hAnsiTheme="minorHAnsi" w:cs="Calibri"/>
          <w:lang w:val="mk-MK"/>
        </w:rPr>
        <w:t>г.</w:t>
      </w:r>
      <w:r w:rsidR="00FA409F" w:rsidRPr="002968EC">
        <w:rPr>
          <w:rFonts w:asciiTheme="minorHAnsi" w:hAnsiTheme="minorHAnsi" w:cs="Calibri"/>
          <w:lang w:val="mk-MK"/>
        </w:rPr>
        <w:t xml:space="preserve"> за колку што всушност  пропорционално пораснал уделот на алтернативните оператори во наведениот период.</w:t>
      </w:r>
    </w:p>
    <w:p w:rsidR="00F2624B" w:rsidRPr="002968EC" w:rsidRDefault="00FA409F" w:rsidP="00F2624B">
      <w:pPr>
        <w:autoSpaceDE w:val="0"/>
        <w:rPr>
          <w:rFonts w:asciiTheme="minorHAnsi" w:hAnsiTheme="minorHAnsi" w:cs="Calibri"/>
          <w:lang w:val="mk-MK"/>
        </w:rPr>
      </w:pPr>
      <w:r w:rsidRPr="002968EC">
        <w:rPr>
          <w:rFonts w:asciiTheme="minorHAnsi" w:hAnsiTheme="minorHAnsi" w:cs="Calibri"/>
          <w:lang w:val="mk-MK"/>
        </w:rPr>
        <w:t>Исто така од графиконт може да се заклучи дека уделот на Мекедонски Телеком се намалува од година во година со исклучок на малиот раст од 2014 до 2015 година кој што раст всушност се должи на спојувањето на операторите Т-Мобиле АД Скопје и Македонски Телеком АД Скопје.</w:t>
      </w:r>
    </w:p>
    <w:p w:rsidR="00C215FA" w:rsidRPr="002968EC" w:rsidRDefault="00C215FA" w:rsidP="00C215FA">
      <w:pPr>
        <w:autoSpaceDE w:val="0"/>
        <w:spacing w:after="0"/>
        <w:rPr>
          <w:rFonts w:asciiTheme="minorHAnsi" w:hAnsiTheme="minorHAnsi" w:cs="Calibri"/>
          <w:lang w:val="mk-MK"/>
        </w:rPr>
      </w:pPr>
      <w:r w:rsidRPr="002968EC">
        <w:rPr>
          <w:rFonts w:asciiTheme="minorHAnsi" w:hAnsiTheme="minorHAnsi" w:cs="Calibri"/>
          <w:lang w:val="mk-MK"/>
        </w:rPr>
        <w:t xml:space="preserve">Од горенаведените податоци </w:t>
      </w:r>
      <w:r w:rsidR="00DC74C4" w:rsidRPr="002968EC">
        <w:rPr>
          <w:rFonts w:asciiTheme="minorHAnsi" w:hAnsiTheme="minorHAnsi" w:cs="Calibri"/>
          <w:lang w:val="mk-MK"/>
        </w:rPr>
        <w:t>АЕК</w:t>
      </w:r>
      <w:r w:rsidRPr="002968EC">
        <w:rPr>
          <w:rFonts w:asciiTheme="minorHAnsi" w:hAnsiTheme="minorHAnsi" w:cs="Calibri"/>
          <w:lang w:val="mk-MK"/>
        </w:rPr>
        <w:t xml:space="preserve"> заклучи дека пазарот за пристап до јавна електронска комуникациска мрежа на фиксна локација се движи во насока на ефективна конкуренција. Пазарниот удел на прогласениот СМП оператор со претходните две анализи константно опаѓа на сметка на зголемувањето на пазарниот удел на алтернативните оператори.</w:t>
      </w:r>
    </w:p>
    <w:p w:rsidR="00C215FA" w:rsidRPr="002968EC" w:rsidRDefault="00C215FA" w:rsidP="00F2624B">
      <w:pPr>
        <w:autoSpaceDE w:val="0"/>
        <w:spacing w:after="0"/>
        <w:rPr>
          <w:rFonts w:asciiTheme="minorHAnsi" w:hAnsiTheme="minorHAnsi" w:cs="Calibri"/>
        </w:rPr>
      </w:pPr>
    </w:p>
    <w:p w:rsidR="00C215FA" w:rsidRPr="002968EC" w:rsidRDefault="00343EA8" w:rsidP="00C215FA">
      <w:pPr>
        <w:autoSpaceDE w:val="0"/>
        <w:ind w:firstLine="17"/>
        <w:rPr>
          <w:rFonts w:asciiTheme="minorHAnsi" w:hAnsiTheme="minorHAnsi" w:cs="Calibri"/>
          <w:noProof/>
        </w:rPr>
      </w:pPr>
      <w:r w:rsidRPr="002968EC">
        <w:rPr>
          <w:rFonts w:asciiTheme="minorHAnsi" w:hAnsiTheme="minorHAnsi" w:cs="Calibri"/>
          <w:lang w:val="mk-MK"/>
        </w:rPr>
        <w:t>Во периодот помеѓу првата и третата анализа</w:t>
      </w:r>
      <w:r w:rsidR="00F2624B" w:rsidRPr="002968EC">
        <w:rPr>
          <w:rFonts w:asciiTheme="minorHAnsi" w:hAnsiTheme="minorHAnsi" w:cs="Calibri"/>
          <w:lang w:val="mk-MK"/>
        </w:rPr>
        <w:t xml:space="preserve">, услугата за пристап до јавна електронска комуникациска мрежа на фиксна локација, освен од </w:t>
      </w:r>
      <w:r w:rsidR="00173FB2">
        <w:rPr>
          <w:rFonts w:asciiTheme="minorHAnsi" w:hAnsiTheme="minorHAnsi" w:cs="Calibri"/>
          <w:lang w:val="mk-MK"/>
        </w:rPr>
        <w:t>МКТ</w:t>
      </w:r>
      <w:r w:rsidR="00F2624B" w:rsidRPr="002968EC">
        <w:rPr>
          <w:rFonts w:asciiTheme="minorHAnsi" w:hAnsiTheme="minorHAnsi" w:cs="Calibri"/>
          <w:lang w:val="mk-MK"/>
        </w:rPr>
        <w:t xml:space="preserve"> беше обезбедувана и од страна на дел од алтернативните оператори и тоа преку користење на некои од големопродажните услуги за пристап до мрежа кои ги обезбедува операторот </w:t>
      </w:r>
      <w:r w:rsidR="00173FB2">
        <w:rPr>
          <w:rFonts w:asciiTheme="minorHAnsi" w:hAnsiTheme="minorHAnsi" w:cs="Calibri"/>
          <w:lang w:val="mk-MK"/>
        </w:rPr>
        <w:t>МКТ</w:t>
      </w:r>
      <w:r w:rsidR="00F2624B" w:rsidRPr="002968EC">
        <w:rPr>
          <w:rFonts w:asciiTheme="minorHAnsi" w:hAnsiTheme="minorHAnsi" w:cs="Calibri"/>
          <w:lang w:val="mk-MK"/>
        </w:rPr>
        <w:t xml:space="preserve"> (на пример разврзан пристап до локална јамка или изнајмување на големо на претплатничка линија)</w:t>
      </w:r>
      <w:r w:rsidR="00C215FA" w:rsidRPr="002968EC">
        <w:rPr>
          <w:rFonts w:asciiTheme="minorHAnsi" w:hAnsiTheme="minorHAnsi" w:cs="Calibri"/>
        </w:rPr>
        <w:t>,</w:t>
      </w:r>
      <w:r w:rsidR="00F2624B" w:rsidRPr="002968EC">
        <w:rPr>
          <w:rFonts w:asciiTheme="minorHAnsi" w:hAnsiTheme="minorHAnsi" w:cs="Calibri"/>
          <w:lang w:val="mk-MK"/>
        </w:rPr>
        <w:t xml:space="preserve"> </w:t>
      </w:r>
      <w:r w:rsidR="00C215FA" w:rsidRPr="002968EC">
        <w:rPr>
          <w:rFonts w:asciiTheme="minorHAnsi" w:hAnsiTheme="minorHAnsi" w:cs="Calibri"/>
          <w:lang w:val="mk-MK"/>
        </w:rPr>
        <w:t xml:space="preserve">како и алтернативни оператори кои обезбедуваат управуван ВОИП во пакет со услугата широкопојасен пристап а за тоа користат сопствена мрежна инфраструктура (кабелски, </w:t>
      </w:r>
      <w:r w:rsidR="00C215FA" w:rsidRPr="002968EC">
        <w:rPr>
          <w:rFonts w:asciiTheme="minorHAnsi" w:hAnsiTheme="minorHAnsi" w:cs="Calibri"/>
        </w:rPr>
        <w:t>Wimax</w:t>
      </w:r>
      <w:r w:rsidR="00C215FA" w:rsidRPr="002968EC">
        <w:rPr>
          <w:rFonts w:asciiTheme="minorHAnsi" w:hAnsiTheme="minorHAnsi" w:cs="Calibri"/>
          <w:lang w:val="mk-MK"/>
        </w:rPr>
        <w:t xml:space="preserve"> или безжична мрежа).</w:t>
      </w:r>
      <w:r w:rsidR="00C215FA" w:rsidRPr="002968EC">
        <w:rPr>
          <w:rFonts w:asciiTheme="minorHAnsi" w:hAnsiTheme="minorHAnsi" w:cs="Calibri"/>
          <w:noProof/>
        </w:rPr>
        <w:t xml:space="preserve"> </w:t>
      </w:r>
    </w:p>
    <w:p w:rsidR="00C710F8" w:rsidRDefault="00E0707D" w:rsidP="00C710F8">
      <w:pPr>
        <w:rPr>
          <w:noProof/>
          <w:lang w:val="mk-MK"/>
        </w:rPr>
      </w:pPr>
      <w:r>
        <w:rPr>
          <w:noProof/>
        </w:rPr>
        <w:lastRenderedPageBreak/>
        <w:drawing>
          <wp:inline distT="0" distB="0" distL="0" distR="0">
            <wp:extent cx="6350000" cy="3060700"/>
            <wp:effectExtent l="0" t="0" r="0" b="0"/>
            <wp:docPr id="8"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6B40" w:rsidRPr="00173FB2" w:rsidRDefault="000E4710" w:rsidP="00C710F8">
      <w:pPr>
        <w:pStyle w:val="Caption"/>
        <w:rPr>
          <w:noProof/>
          <w:lang w:val="mk-MK"/>
        </w:rPr>
      </w:pPr>
      <w:bookmarkStart w:id="31" w:name="_Toc461546200"/>
      <w:r>
        <w:t xml:space="preserve">Графикон </w:t>
      </w:r>
      <w:fldSimple w:instr=" SEQ Графикон \* ARABIC ">
        <w:r w:rsidR="00870C45">
          <w:rPr>
            <w:noProof/>
          </w:rPr>
          <w:t>7</w:t>
        </w:r>
      </w:fldSimple>
      <w:r w:rsidR="00173FB2" w:rsidRPr="00173FB2">
        <w:rPr>
          <w:noProof/>
          <w:lang w:val="mk-MK"/>
        </w:rPr>
        <w:t xml:space="preserve"> Пазарен удел според технологија на пристап</w:t>
      </w:r>
      <w:bookmarkEnd w:id="31"/>
    </w:p>
    <w:p w:rsidR="00F56B40" w:rsidRPr="002968EC" w:rsidRDefault="00F56B40" w:rsidP="00F56B40">
      <w:pPr>
        <w:autoSpaceDE w:val="0"/>
        <w:spacing w:after="0"/>
        <w:rPr>
          <w:rFonts w:asciiTheme="minorHAnsi" w:hAnsiTheme="minorHAnsi" w:cs="Calibri"/>
          <w:lang w:val="mk-MK"/>
        </w:rPr>
      </w:pPr>
      <w:r w:rsidRPr="002968EC">
        <w:rPr>
          <w:rFonts w:asciiTheme="minorHAnsi" w:hAnsiTheme="minorHAnsi" w:cs="Calibri"/>
          <w:lang w:val="mk-MK"/>
        </w:rPr>
        <w:t>Во графикон бр</w:t>
      </w:r>
      <w:r w:rsidR="00C37236">
        <w:rPr>
          <w:rFonts w:asciiTheme="minorHAnsi" w:hAnsiTheme="minorHAnsi" w:cs="Calibri"/>
          <w:lang w:val="mk-MK"/>
        </w:rPr>
        <w:t xml:space="preserve"> 8</w:t>
      </w:r>
      <w:r w:rsidRPr="002968EC">
        <w:rPr>
          <w:rFonts w:asciiTheme="minorHAnsi" w:hAnsiTheme="minorHAnsi" w:cs="Calibri"/>
          <w:lang w:val="mk-MK"/>
        </w:rPr>
        <w:t xml:space="preserve">  е даден пазарниот уделот на фиксни линии поделен според технологија на пристап. Како што може да се забележи најголем удел во 201</w:t>
      </w:r>
      <w:r w:rsidRPr="002968EC">
        <w:rPr>
          <w:rFonts w:asciiTheme="minorHAnsi" w:hAnsiTheme="minorHAnsi" w:cs="Calibri"/>
        </w:rPr>
        <w:t>5</w:t>
      </w:r>
      <w:r w:rsidRPr="002968EC">
        <w:rPr>
          <w:rFonts w:asciiTheme="minorHAnsi" w:hAnsiTheme="minorHAnsi" w:cs="Calibri"/>
          <w:lang w:val="mk-MK"/>
        </w:rPr>
        <w:t xml:space="preserve"> година има бројот на </w:t>
      </w:r>
      <w:r w:rsidRPr="002968EC">
        <w:rPr>
          <w:rFonts w:asciiTheme="minorHAnsi" w:hAnsiTheme="minorHAnsi" w:cs="Calibri"/>
        </w:rPr>
        <w:t xml:space="preserve">(VoIP) </w:t>
      </w:r>
      <w:r w:rsidRPr="002968EC">
        <w:rPr>
          <w:rFonts w:asciiTheme="minorHAnsi" w:hAnsiTheme="minorHAnsi" w:cs="Calibri"/>
          <w:lang w:val="mk-MK"/>
        </w:rPr>
        <w:t>линии преку бакарна мрежа кои учествуваат со 5</w:t>
      </w:r>
      <w:r w:rsidRPr="002968EC">
        <w:rPr>
          <w:rFonts w:asciiTheme="minorHAnsi" w:hAnsiTheme="minorHAnsi" w:cs="Calibri"/>
        </w:rPr>
        <w:t>9</w:t>
      </w:r>
      <w:r w:rsidRPr="002968EC">
        <w:rPr>
          <w:rFonts w:asciiTheme="minorHAnsi" w:hAnsiTheme="minorHAnsi" w:cs="Calibri"/>
          <w:lang w:val="mk-MK"/>
        </w:rPr>
        <w:t>,</w:t>
      </w:r>
      <w:r w:rsidRPr="002968EC">
        <w:rPr>
          <w:rFonts w:asciiTheme="minorHAnsi" w:hAnsiTheme="minorHAnsi" w:cs="Calibri"/>
        </w:rPr>
        <w:t>99</w:t>
      </w:r>
      <w:r w:rsidRPr="002968EC">
        <w:rPr>
          <w:rFonts w:asciiTheme="minorHAnsi" w:hAnsiTheme="minorHAnsi" w:cs="Calibri"/>
          <w:lang w:val="mk-MK"/>
        </w:rPr>
        <w:t>%, по кои што следуваат линиите преку кабелски (коа</w:t>
      </w:r>
      <w:r w:rsidR="00173FB2">
        <w:rPr>
          <w:rFonts w:asciiTheme="minorHAnsi" w:hAnsiTheme="minorHAnsi" w:cs="Calibri"/>
          <w:lang w:val="mk-MK"/>
        </w:rPr>
        <w:t>кс</w:t>
      </w:r>
      <w:r w:rsidRPr="002968EC">
        <w:rPr>
          <w:rFonts w:asciiTheme="minorHAnsi" w:hAnsiTheme="minorHAnsi" w:cs="Calibri"/>
          <w:lang w:val="mk-MK"/>
        </w:rPr>
        <w:t xml:space="preserve">ијални </w:t>
      </w:r>
      <w:r w:rsidRPr="002968EC">
        <w:rPr>
          <w:rFonts w:asciiTheme="minorHAnsi" w:hAnsiTheme="minorHAnsi" w:cs="Calibri"/>
        </w:rPr>
        <w:t>VoIP)</w:t>
      </w:r>
      <w:r w:rsidRPr="002968EC">
        <w:rPr>
          <w:rFonts w:asciiTheme="minorHAnsi" w:hAnsiTheme="minorHAnsi" w:cs="Calibri"/>
          <w:lang w:val="mk-MK"/>
        </w:rPr>
        <w:t xml:space="preserve"> мрежи со </w:t>
      </w:r>
      <w:r w:rsidRPr="002968EC">
        <w:rPr>
          <w:rFonts w:asciiTheme="minorHAnsi" w:hAnsiTheme="minorHAnsi" w:cs="Calibri"/>
        </w:rPr>
        <w:t>17</w:t>
      </w:r>
      <w:r w:rsidRPr="002968EC">
        <w:rPr>
          <w:rFonts w:asciiTheme="minorHAnsi" w:hAnsiTheme="minorHAnsi" w:cs="Calibri"/>
          <w:lang w:val="mk-MK"/>
        </w:rPr>
        <w:t>,</w:t>
      </w:r>
      <w:r w:rsidRPr="002968EC">
        <w:rPr>
          <w:rFonts w:asciiTheme="minorHAnsi" w:hAnsiTheme="minorHAnsi" w:cs="Calibri"/>
        </w:rPr>
        <w:t>3</w:t>
      </w:r>
      <w:r w:rsidRPr="002968EC">
        <w:rPr>
          <w:rFonts w:asciiTheme="minorHAnsi" w:hAnsiTheme="minorHAnsi" w:cs="Calibri"/>
          <w:lang w:val="mk-MK"/>
        </w:rPr>
        <w:t>4%</w:t>
      </w:r>
      <w:r w:rsidRPr="002968EC">
        <w:rPr>
          <w:rFonts w:asciiTheme="minorHAnsi" w:hAnsiTheme="minorHAnsi" w:cs="Calibri"/>
        </w:rPr>
        <w:t>.</w:t>
      </w:r>
      <w:r w:rsidRPr="002968EC">
        <w:rPr>
          <w:rFonts w:asciiTheme="minorHAnsi" w:hAnsiTheme="minorHAnsi" w:cs="Calibri"/>
          <w:lang w:val="mk-MK"/>
        </w:rPr>
        <w:t xml:space="preserve"> Од графиконот исто така може да се забележи дека</w:t>
      </w:r>
      <w:r w:rsidR="00173FB2">
        <w:rPr>
          <w:rFonts w:asciiTheme="minorHAnsi" w:hAnsiTheme="minorHAnsi" w:cs="Calibri"/>
        </w:rPr>
        <w:t xml:space="preserve"> </w:t>
      </w:r>
      <w:r w:rsidR="00173FB2">
        <w:rPr>
          <w:rFonts w:asciiTheme="minorHAnsi" w:hAnsiTheme="minorHAnsi" w:cs="Calibri"/>
          <w:lang w:val="mk-MK"/>
        </w:rPr>
        <w:t>в</w:t>
      </w:r>
      <w:r w:rsidR="00695495" w:rsidRPr="002968EC">
        <w:rPr>
          <w:rFonts w:asciiTheme="minorHAnsi" w:hAnsiTheme="minorHAnsi" w:cs="Calibri"/>
        </w:rPr>
        <w:t xml:space="preserve">o 2015 </w:t>
      </w:r>
      <w:r w:rsidR="00695495" w:rsidRPr="002968EC">
        <w:rPr>
          <w:rFonts w:asciiTheme="minorHAnsi" w:hAnsiTheme="minorHAnsi" w:cs="Calibri"/>
          <w:lang w:val="mk-MK"/>
        </w:rPr>
        <w:t>година</w:t>
      </w:r>
      <w:r w:rsidRPr="002968EC">
        <w:rPr>
          <w:rFonts w:asciiTheme="minorHAnsi" w:hAnsiTheme="minorHAnsi" w:cs="Calibri"/>
          <w:lang w:val="mk-MK"/>
        </w:rPr>
        <w:t xml:space="preserve"> споредено со 201</w:t>
      </w:r>
      <w:r w:rsidRPr="002968EC">
        <w:rPr>
          <w:rFonts w:asciiTheme="minorHAnsi" w:hAnsiTheme="minorHAnsi" w:cs="Calibri"/>
        </w:rPr>
        <w:t>4</w:t>
      </w:r>
      <w:r w:rsidRPr="002968EC">
        <w:rPr>
          <w:rFonts w:asciiTheme="minorHAnsi" w:hAnsiTheme="minorHAnsi" w:cs="Calibri"/>
          <w:lang w:val="mk-MK"/>
        </w:rPr>
        <w:t xml:space="preserve"> година раст се забележува кај линиите преку кабелски мрежи од </w:t>
      </w:r>
      <w:r w:rsidRPr="002968EC">
        <w:rPr>
          <w:rFonts w:asciiTheme="minorHAnsi" w:hAnsiTheme="minorHAnsi" w:cs="Calibri"/>
        </w:rPr>
        <w:t>2</w:t>
      </w:r>
      <w:r w:rsidRPr="002968EC">
        <w:rPr>
          <w:rFonts w:asciiTheme="minorHAnsi" w:hAnsiTheme="minorHAnsi" w:cs="Calibri"/>
          <w:lang w:val="mk-MK"/>
        </w:rPr>
        <w:t>,</w:t>
      </w:r>
      <w:r w:rsidRPr="002968EC">
        <w:rPr>
          <w:rFonts w:asciiTheme="minorHAnsi" w:hAnsiTheme="minorHAnsi" w:cs="Calibri"/>
        </w:rPr>
        <w:t>83</w:t>
      </w:r>
      <w:r w:rsidRPr="002968EC">
        <w:rPr>
          <w:rFonts w:asciiTheme="minorHAnsi" w:hAnsiTheme="minorHAnsi" w:cs="Calibri"/>
          <w:lang w:val="mk-MK"/>
        </w:rPr>
        <w:t xml:space="preserve"> процент</w:t>
      </w:r>
      <w:r w:rsidR="00695495" w:rsidRPr="002968EC">
        <w:rPr>
          <w:rFonts w:asciiTheme="minorHAnsi" w:hAnsiTheme="minorHAnsi" w:cs="Calibri"/>
          <w:lang w:val="mk-MK"/>
        </w:rPr>
        <w:t>и</w:t>
      </w:r>
      <w:r w:rsidRPr="002968EC">
        <w:rPr>
          <w:rFonts w:asciiTheme="minorHAnsi" w:hAnsiTheme="minorHAnsi" w:cs="Calibri"/>
        </w:rPr>
        <w:t xml:space="preserve"> </w:t>
      </w:r>
      <w:r w:rsidRPr="002968EC">
        <w:rPr>
          <w:rFonts w:asciiTheme="minorHAnsi" w:hAnsiTheme="minorHAnsi" w:cs="Calibri"/>
          <w:lang w:val="mk-MK"/>
        </w:rPr>
        <w:t>во однос на вкупниот пазар, потоа следуваат FTTH-линиите кои како удел во вкупниот број на линии</w:t>
      </w:r>
      <w:r w:rsidR="00695495" w:rsidRPr="002968EC">
        <w:rPr>
          <w:rFonts w:asciiTheme="minorHAnsi" w:hAnsiTheme="minorHAnsi" w:cs="Calibri"/>
          <w:lang w:val="mk-MK"/>
        </w:rPr>
        <w:t xml:space="preserve"> во 2015 година</w:t>
      </w:r>
      <w:r w:rsidRPr="002968EC">
        <w:rPr>
          <w:rFonts w:asciiTheme="minorHAnsi" w:hAnsiTheme="minorHAnsi" w:cs="Calibri"/>
          <w:lang w:val="mk-MK"/>
        </w:rPr>
        <w:t xml:space="preserve"> про</w:t>
      </w:r>
      <w:r w:rsidR="00695495" w:rsidRPr="002968EC">
        <w:rPr>
          <w:rFonts w:asciiTheme="minorHAnsi" w:hAnsiTheme="minorHAnsi" w:cs="Calibri"/>
          <w:lang w:val="mk-MK"/>
        </w:rPr>
        <w:t>кажуваат раст од 1.16</w:t>
      </w:r>
      <w:r w:rsidRPr="002968EC">
        <w:rPr>
          <w:rFonts w:asciiTheme="minorHAnsi" w:hAnsiTheme="minorHAnsi" w:cs="Calibri"/>
          <w:lang w:val="mk-MK"/>
        </w:rPr>
        <w:t>% проценти</w:t>
      </w:r>
      <w:r w:rsidR="00695495" w:rsidRPr="002968EC">
        <w:rPr>
          <w:rFonts w:asciiTheme="minorHAnsi" w:hAnsiTheme="minorHAnsi" w:cs="Calibri"/>
          <w:lang w:val="mk-MK"/>
        </w:rPr>
        <w:t xml:space="preserve"> споредено со 2014 година, </w:t>
      </w:r>
      <w:r w:rsidRPr="002968EC">
        <w:rPr>
          <w:rFonts w:asciiTheme="minorHAnsi" w:hAnsiTheme="minorHAnsi" w:cs="Calibri"/>
          <w:lang w:val="mk-MK"/>
        </w:rPr>
        <w:t xml:space="preserve">додека кај сите останати технологии се забележува намалување на пазарниот удел. Линиите со еден говорен канал </w:t>
      </w:r>
      <w:r w:rsidR="00695495" w:rsidRPr="002968EC">
        <w:rPr>
          <w:rFonts w:asciiTheme="minorHAnsi" w:hAnsiTheme="minorHAnsi" w:cs="Calibri"/>
          <w:lang w:val="mk-MK"/>
        </w:rPr>
        <w:t>во периодот од 2014 до 2015</w:t>
      </w:r>
      <w:r w:rsidRPr="002968EC">
        <w:rPr>
          <w:rFonts w:asciiTheme="minorHAnsi" w:hAnsiTheme="minorHAnsi" w:cs="Calibri"/>
          <w:lang w:val="mk-MK"/>
        </w:rPr>
        <w:t xml:space="preserve"> година бележат намалување </w:t>
      </w:r>
      <w:r w:rsidR="00695495" w:rsidRPr="002968EC">
        <w:rPr>
          <w:rFonts w:asciiTheme="minorHAnsi" w:hAnsiTheme="minorHAnsi" w:cs="Calibri"/>
          <w:lang w:val="mk-MK"/>
        </w:rPr>
        <w:t>од 1.05</w:t>
      </w:r>
      <w:r w:rsidRPr="002968EC">
        <w:rPr>
          <w:rFonts w:asciiTheme="minorHAnsi" w:hAnsiTheme="minorHAnsi" w:cs="Calibri"/>
          <w:lang w:val="mk-MK"/>
        </w:rPr>
        <w:t xml:space="preserve"> проценти, додека кај линиите преку безжични технологии се забележува нама</w:t>
      </w:r>
      <w:r w:rsidR="00695495" w:rsidRPr="002968EC">
        <w:rPr>
          <w:rFonts w:asciiTheme="minorHAnsi" w:hAnsiTheme="minorHAnsi" w:cs="Calibri"/>
          <w:lang w:val="mk-MK"/>
        </w:rPr>
        <w:t>лување од 0,76</w:t>
      </w:r>
      <w:r w:rsidRPr="002968EC">
        <w:rPr>
          <w:rFonts w:asciiTheme="minorHAnsi" w:hAnsiTheme="minorHAnsi" w:cs="Calibri"/>
          <w:lang w:val="mk-MK"/>
        </w:rPr>
        <w:t xml:space="preserve"> проценти во однос на вкупниот пазар. </w:t>
      </w:r>
    </w:p>
    <w:p w:rsidR="0094006E" w:rsidRPr="002968EC" w:rsidRDefault="00695495" w:rsidP="0094006E">
      <w:pPr>
        <w:autoSpaceDE w:val="0"/>
        <w:spacing w:after="0"/>
        <w:rPr>
          <w:rFonts w:asciiTheme="minorHAnsi" w:hAnsiTheme="minorHAnsi" w:cs="Calibri"/>
          <w:lang w:val="mk-MK"/>
        </w:rPr>
      </w:pPr>
      <w:r w:rsidRPr="002968EC">
        <w:rPr>
          <w:rFonts w:asciiTheme="minorHAnsi" w:hAnsiTheme="minorHAnsi" w:cs="Calibri"/>
          <w:lang w:val="mk-MK"/>
        </w:rPr>
        <w:t xml:space="preserve">Од податоците во горенаведениот графикон може да се заклучи дека линиите преку коаксијална мрежа </w:t>
      </w:r>
      <w:r w:rsidRPr="002968EC">
        <w:rPr>
          <w:rFonts w:asciiTheme="minorHAnsi" w:hAnsiTheme="minorHAnsi" w:cs="Calibri"/>
        </w:rPr>
        <w:t>VoIP</w:t>
      </w:r>
      <w:r w:rsidR="00DC74C4" w:rsidRPr="002968EC">
        <w:rPr>
          <w:rFonts w:asciiTheme="minorHAnsi" w:hAnsiTheme="minorHAnsi" w:cs="Calibri"/>
          <w:lang w:val="mk-MK"/>
        </w:rPr>
        <w:t xml:space="preserve"> како и </w:t>
      </w:r>
      <w:r w:rsidR="00DC74C4" w:rsidRPr="002968EC">
        <w:rPr>
          <w:rFonts w:asciiTheme="minorHAnsi" w:hAnsiTheme="minorHAnsi" w:cs="Calibri"/>
        </w:rPr>
        <w:t>FTTH-</w:t>
      </w:r>
      <w:r w:rsidR="00DC74C4" w:rsidRPr="002968EC">
        <w:rPr>
          <w:rFonts w:asciiTheme="minorHAnsi" w:hAnsiTheme="minorHAnsi" w:cs="Calibri"/>
          <w:lang w:val="mk-MK"/>
        </w:rPr>
        <w:t>линиите</w:t>
      </w:r>
      <w:r w:rsidRPr="002968EC">
        <w:rPr>
          <w:rFonts w:asciiTheme="minorHAnsi" w:hAnsiTheme="minorHAnsi" w:cs="Calibri"/>
        </w:rPr>
        <w:t xml:space="preserve"> </w:t>
      </w:r>
      <w:r w:rsidRPr="002968EC">
        <w:rPr>
          <w:rFonts w:asciiTheme="minorHAnsi" w:hAnsiTheme="minorHAnsi" w:cs="Calibri"/>
          <w:lang w:val="mk-MK"/>
        </w:rPr>
        <w:t>се во п</w:t>
      </w:r>
      <w:r w:rsidR="00DC74C4" w:rsidRPr="002968EC">
        <w:rPr>
          <w:rFonts w:asciiTheme="minorHAnsi" w:hAnsiTheme="minorHAnsi" w:cs="Calibri"/>
          <w:lang w:val="mk-MK"/>
        </w:rPr>
        <w:t>остојан развој низ годините</w:t>
      </w:r>
      <w:r w:rsidRPr="002968EC">
        <w:rPr>
          <w:rFonts w:asciiTheme="minorHAnsi" w:hAnsiTheme="minorHAnsi" w:cs="Calibri"/>
          <w:lang w:val="mk-MK"/>
        </w:rPr>
        <w:t xml:space="preserve"> </w:t>
      </w:r>
      <w:r w:rsidR="0094006E" w:rsidRPr="002968EC">
        <w:rPr>
          <w:rFonts w:asciiTheme="minorHAnsi" w:hAnsiTheme="minorHAnsi" w:cs="Calibri"/>
          <w:lang w:val="mk-MK"/>
        </w:rPr>
        <w:t>што всушност претставува движење на пазарот кон ефективна конкуренција. Имено се поголемото користење на технологиите преку кои алтернативните оператори ги обезбедуваат своите услуги доведува до заклучок дека конкуренцијата на пазарот за пристап до јавна електронска комуникациска мрежа на фиксна локација се зголемува од година во година.</w:t>
      </w:r>
    </w:p>
    <w:p w:rsidR="00DC74C4" w:rsidRPr="002968EC" w:rsidRDefault="00DC74C4" w:rsidP="00DC74C4">
      <w:pPr>
        <w:autoSpaceDE w:val="0"/>
        <w:rPr>
          <w:rFonts w:asciiTheme="minorHAnsi" w:hAnsiTheme="minorHAnsi" w:cs="Calibri"/>
          <w:lang w:val="mk-MK"/>
        </w:rPr>
      </w:pPr>
    </w:p>
    <w:p w:rsidR="00DC74C4" w:rsidRDefault="00DC74C4" w:rsidP="00DC74C4">
      <w:pPr>
        <w:autoSpaceDE w:val="0"/>
        <w:rPr>
          <w:rFonts w:asciiTheme="minorHAnsi" w:hAnsiTheme="minorHAnsi" w:cs="Calibri"/>
          <w:lang w:val="mk-MK"/>
        </w:rPr>
      </w:pPr>
      <w:r w:rsidRPr="002968EC">
        <w:rPr>
          <w:rFonts w:asciiTheme="minorHAnsi" w:hAnsiTheme="minorHAnsi" w:cs="Calibri"/>
          <w:lang w:val="mk-MK"/>
        </w:rPr>
        <w:t xml:space="preserve">Според горенаведеното од аспект на овој критериум може да се заклучи дека операторот МКТ не е повеќе оператор со значителна пазарна моќ на малопродажниот пазар за пристап до </w:t>
      </w:r>
      <w:r w:rsidRPr="002968EC">
        <w:rPr>
          <w:rFonts w:asciiTheme="minorHAnsi" w:hAnsiTheme="minorHAnsi"/>
          <w:lang w:val="mk-MK"/>
        </w:rPr>
        <w:t>јавна електронска комуникациска мрежа на фиксна локација</w:t>
      </w:r>
      <w:r w:rsidRPr="002968EC">
        <w:rPr>
          <w:rFonts w:asciiTheme="minorHAnsi" w:hAnsiTheme="minorHAnsi" w:cs="Calibri"/>
          <w:lang w:val="mk-MK"/>
        </w:rPr>
        <w:t xml:space="preserve"> односно пазарот се движи во насока на ефективна конкуренција.</w:t>
      </w:r>
    </w:p>
    <w:p w:rsidR="00173FB2" w:rsidRDefault="00173FB2" w:rsidP="00DC74C4">
      <w:pPr>
        <w:autoSpaceDE w:val="0"/>
        <w:rPr>
          <w:rFonts w:asciiTheme="minorHAnsi" w:hAnsiTheme="minorHAnsi" w:cs="Calibri"/>
          <w:lang w:val="mk-MK"/>
        </w:rPr>
      </w:pPr>
    </w:p>
    <w:p w:rsidR="00173FB2" w:rsidRDefault="00173FB2" w:rsidP="00DC74C4">
      <w:pPr>
        <w:autoSpaceDE w:val="0"/>
        <w:rPr>
          <w:rFonts w:asciiTheme="minorHAnsi" w:hAnsiTheme="minorHAnsi" w:cs="Calibri"/>
          <w:lang w:val="mk-MK"/>
        </w:rPr>
      </w:pPr>
    </w:p>
    <w:p w:rsidR="00173FB2" w:rsidRPr="002968EC" w:rsidRDefault="00173FB2" w:rsidP="00DC74C4">
      <w:pPr>
        <w:autoSpaceDE w:val="0"/>
        <w:rPr>
          <w:rFonts w:asciiTheme="minorHAnsi" w:hAnsiTheme="minorHAnsi" w:cs="Calibri"/>
          <w:lang w:val="mk-MK"/>
        </w:rPr>
      </w:pPr>
    </w:p>
    <w:p w:rsidR="00032CF5" w:rsidRDefault="00C71C53">
      <w:pPr>
        <w:numPr>
          <w:ilvl w:val="0"/>
          <w:numId w:val="21"/>
        </w:numPr>
        <w:autoSpaceDE w:val="0"/>
        <w:spacing w:after="0"/>
        <w:rPr>
          <w:rFonts w:asciiTheme="minorHAnsi" w:hAnsiTheme="minorHAnsi" w:cs="Calibri"/>
          <w:lang w:val="mk-MK"/>
        </w:rPr>
      </w:pPr>
      <w:r w:rsidRPr="002968EC">
        <w:rPr>
          <w:rFonts w:asciiTheme="minorHAnsi" w:hAnsiTheme="minorHAnsi" w:cs="Calibri"/>
          <w:lang w:val="mk-MK"/>
        </w:rPr>
        <w:t xml:space="preserve">Бариери за проширување </w:t>
      </w:r>
    </w:p>
    <w:p w:rsidR="00C71C53" w:rsidRPr="002968EC" w:rsidRDefault="00C71C53" w:rsidP="00C71C53">
      <w:pPr>
        <w:autoSpaceDE w:val="0"/>
        <w:spacing w:after="0"/>
        <w:rPr>
          <w:rFonts w:asciiTheme="minorHAnsi" w:hAnsiTheme="minorHAnsi" w:cs="Calibri"/>
          <w:lang w:val="mk-MK"/>
        </w:rPr>
      </w:pPr>
    </w:p>
    <w:p w:rsidR="0069656F" w:rsidRPr="002968EC" w:rsidRDefault="00C71C53" w:rsidP="00C71C53">
      <w:pPr>
        <w:autoSpaceDE w:val="0"/>
        <w:spacing w:after="0"/>
        <w:rPr>
          <w:rFonts w:asciiTheme="minorHAnsi" w:hAnsiTheme="minorHAnsi" w:cs="Calibri"/>
          <w:lang w:val="mk-MK"/>
        </w:rPr>
      </w:pPr>
      <w:r w:rsidRPr="002968EC">
        <w:rPr>
          <w:rFonts w:asciiTheme="minorHAnsi" w:hAnsiTheme="minorHAnsi" w:cs="Calibri"/>
          <w:lang w:val="mk-MK"/>
        </w:rPr>
        <w:t>Инсталираниот капацитет на мрежите кои о</w:t>
      </w:r>
      <w:r w:rsidR="00F2193B" w:rsidRPr="002968EC">
        <w:rPr>
          <w:rFonts w:asciiTheme="minorHAnsi" w:hAnsiTheme="minorHAnsi" w:cs="Calibri"/>
          <w:lang w:val="mk-MK"/>
        </w:rPr>
        <w:t xml:space="preserve">возможуваат пристап до јавна електронска комуникациска мрежа на фиксна локација е значителен. Покривањето на безжичните мрежи на алтернативните оператори е на целата територија на државата, исто така постојат и други кабелски и оптички мрежи во сопственост на други алтернативни оператори кои имаат значително покривање на територијата на државата. Проширувањето на понудите за пристап до мрежа на фиксна локација во случај на зголемувањето на побарувачката на истите би можела да се оставари без </w:t>
      </w:r>
      <w:r w:rsidR="0069656F" w:rsidRPr="002968EC">
        <w:rPr>
          <w:rFonts w:asciiTheme="minorHAnsi" w:hAnsiTheme="minorHAnsi" w:cs="Calibri"/>
          <w:lang w:val="mk-MK"/>
        </w:rPr>
        <w:t>дополнителни трошоци направени од страна на операторите.</w:t>
      </w:r>
    </w:p>
    <w:p w:rsidR="0069656F" w:rsidRPr="002968EC" w:rsidRDefault="0069656F" w:rsidP="00C71C53">
      <w:pPr>
        <w:autoSpaceDE w:val="0"/>
        <w:spacing w:after="0"/>
        <w:rPr>
          <w:rFonts w:asciiTheme="minorHAnsi" w:hAnsiTheme="minorHAnsi" w:cs="Calibri"/>
          <w:lang w:val="mk-MK"/>
        </w:rPr>
      </w:pPr>
    </w:p>
    <w:p w:rsidR="00C71C53" w:rsidRPr="002968EC" w:rsidRDefault="0069656F" w:rsidP="00C71C53">
      <w:pPr>
        <w:autoSpaceDE w:val="0"/>
        <w:spacing w:after="0"/>
        <w:rPr>
          <w:rFonts w:asciiTheme="minorHAnsi" w:hAnsiTheme="minorHAnsi" w:cs="Calibri"/>
          <w:lang w:val="mk-MK"/>
        </w:rPr>
      </w:pPr>
      <w:r w:rsidRPr="002968EC">
        <w:rPr>
          <w:rFonts w:asciiTheme="minorHAnsi" w:hAnsiTheme="minorHAnsi" w:cs="Calibri"/>
          <w:lang w:val="mk-MK"/>
        </w:rPr>
        <w:t xml:space="preserve">Во согласност со горекажаното АЕК дојде до заклучок дека на пазарот за пристап до </w:t>
      </w:r>
      <w:r w:rsidRPr="002968EC">
        <w:rPr>
          <w:rFonts w:asciiTheme="minorHAnsi" w:hAnsiTheme="minorHAnsi"/>
          <w:lang w:val="mk-MK"/>
        </w:rPr>
        <w:t>јавна електронска комуникациска мрежа на фиксна локација</w:t>
      </w:r>
      <w:r w:rsidR="00F2193B" w:rsidRPr="002968EC">
        <w:rPr>
          <w:rFonts w:asciiTheme="minorHAnsi" w:hAnsiTheme="minorHAnsi" w:cs="Calibri"/>
          <w:lang w:val="mk-MK"/>
        </w:rPr>
        <w:t xml:space="preserve"> </w:t>
      </w:r>
      <w:r w:rsidRPr="002968EC">
        <w:rPr>
          <w:rFonts w:asciiTheme="minorHAnsi" w:hAnsiTheme="minorHAnsi" w:cs="Calibri"/>
          <w:lang w:val="mk-MK"/>
        </w:rPr>
        <w:t>не постојат бариери за проширување.</w:t>
      </w:r>
    </w:p>
    <w:p w:rsidR="0069656F" w:rsidRPr="002968EC" w:rsidRDefault="0069656F" w:rsidP="00C71C53">
      <w:pPr>
        <w:autoSpaceDE w:val="0"/>
        <w:spacing w:after="0"/>
        <w:rPr>
          <w:rFonts w:asciiTheme="minorHAnsi" w:hAnsiTheme="minorHAnsi" w:cs="Calibri"/>
          <w:lang w:val="mk-MK"/>
        </w:rPr>
      </w:pPr>
    </w:p>
    <w:p w:rsidR="00032CF5" w:rsidRDefault="0069656F">
      <w:pPr>
        <w:numPr>
          <w:ilvl w:val="0"/>
          <w:numId w:val="22"/>
        </w:numPr>
        <w:autoSpaceDE w:val="0"/>
        <w:spacing w:after="0"/>
        <w:rPr>
          <w:rFonts w:asciiTheme="minorHAnsi" w:hAnsiTheme="minorHAnsi" w:cs="Calibri"/>
          <w:lang w:val="mk-MK"/>
        </w:rPr>
      </w:pPr>
      <w:r w:rsidRPr="002968EC">
        <w:rPr>
          <w:rFonts w:asciiTheme="minorHAnsi" w:hAnsiTheme="minorHAnsi" w:cs="Calibri"/>
          <w:lang w:val="mk-MK"/>
        </w:rPr>
        <w:t>Потенцијална конкуренција</w:t>
      </w:r>
    </w:p>
    <w:p w:rsidR="0069656F" w:rsidRPr="002968EC" w:rsidRDefault="0069656F" w:rsidP="0069656F">
      <w:pPr>
        <w:autoSpaceDE w:val="0"/>
        <w:spacing w:after="0"/>
        <w:rPr>
          <w:rFonts w:asciiTheme="minorHAnsi" w:hAnsiTheme="minorHAnsi" w:cs="Calibri"/>
          <w:lang w:val="mk-MK"/>
        </w:rPr>
      </w:pPr>
    </w:p>
    <w:p w:rsidR="00D6111E" w:rsidRPr="002968EC" w:rsidRDefault="0069656F" w:rsidP="0069656F">
      <w:pPr>
        <w:rPr>
          <w:rFonts w:asciiTheme="minorHAnsi" w:hAnsiTheme="minorHAnsi"/>
          <w:lang w:val="mk-MK"/>
        </w:rPr>
      </w:pPr>
      <w:r w:rsidRPr="002968EC">
        <w:rPr>
          <w:rFonts w:asciiTheme="minorHAnsi" w:hAnsiTheme="minorHAnsi"/>
          <w:lang w:val="mk-MK"/>
        </w:rPr>
        <w:t>На малопродажниот пазар за пристап до јавна електронска комуникациска мрежа на ф</w:t>
      </w:r>
      <w:r w:rsidR="00173FB2">
        <w:rPr>
          <w:rFonts w:asciiTheme="minorHAnsi" w:hAnsiTheme="minorHAnsi"/>
          <w:lang w:val="mk-MK"/>
        </w:rPr>
        <w:t>иксна локација во моментот има 8</w:t>
      </w:r>
      <w:r w:rsidRPr="002968EC">
        <w:rPr>
          <w:rFonts w:asciiTheme="minorHAnsi" w:hAnsiTheme="minorHAnsi"/>
          <w:lang w:val="mk-MK"/>
        </w:rPr>
        <w:t xml:space="preserve"> активни оператори кои ја обезбедуваат оваа услуга. Поголем дел од операторите ја обезбедуваат услугата преку сопствена мрежна инфраструктура но има и оператори кои преку користење на големопродажните услуги за пристап до мрежа на МКТ се ја</w:t>
      </w:r>
      <w:r w:rsidR="00DC3B71" w:rsidRPr="002968EC">
        <w:rPr>
          <w:rFonts w:asciiTheme="minorHAnsi" w:hAnsiTheme="minorHAnsi"/>
          <w:lang w:val="mk-MK"/>
        </w:rPr>
        <w:t>вуваат како учесници на пазарот</w:t>
      </w:r>
      <w:r w:rsidRPr="002968EC">
        <w:rPr>
          <w:rFonts w:asciiTheme="minorHAnsi" w:hAnsiTheme="minorHAnsi"/>
          <w:lang w:val="mk-MK"/>
        </w:rPr>
        <w:t xml:space="preserve">. Според службената евиденција на АЕК , на пазарот на фиксна телефонија континуирано во периодот кој го опфаќа оваа анализа има пад на бројот на претплатници. </w:t>
      </w:r>
      <w:r w:rsidR="00D6111E" w:rsidRPr="002968EC">
        <w:rPr>
          <w:rFonts w:asciiTheme="minorHAnsi" w:hAnsiTheme="minorHAnsi"/>
          <w:lang w:val="mk-MK"/>
        </w:rPr>
        <w:t>Сепак од податоците кои што беа анализирани во погоренаведените поточки односно во делот пазарен удел би можело да се заклучи дека иако бројот на претплатници опаѓа од година во година бројот на корисници на алтернативните оператори расте на сметка на намалувањет</w:t>
      </w:r>
      <w:r w:rsidR="00173FB2">
        <w:rPr>
          <w:rFonts w:asciiTheme="minorHAnsi" w:hAnsiTheme="minorHAnsi"/>
          <w:lang w:val="mk-MK"/>
        </w:rPr>
        <w:t>о</w:t>
      </w:r>
      <w:r w:rsidR="00D6111E" w:rsidRPr="002968EC">
        <w:rPr>
          <w:rFonts w:asciiTheme="minorHAnsi" w:hAnsiTheme="minorHAnsi"/>
          <w:lang w:val="mk-MK"/>
        </w:rPr>
        <w:t xml:space="preserve"> на бројот на претплатници на СМП операторот МКТ. Ваквото движење на бројот на претплатниците и менувањето на пазарниот удел на пазарот укажува на фактот дека пазарот се движи во насока на ефективна конкуренција.</w:t>
      </w:r>
    </w:p>
    <w:p w:rsidR="00D6111E" w:rsidRPr="002968EC" w:rsidRDefault="00173FB2" w:rsidP="0069656F">
      <w:pPr>
        <w:rPr>
          <w:rFonts w:asciiTheme="minorHAnsi" w:hAnsiTheme="minorHAnsi"/>
          <w:lang w:val="mk-MK"/>
        </w:rPr>
      </w:pPr>
      <w:r>
        <w:rPr>
          <w:rFonts w:asciiTheme="minorHAnsi" w:hAnsiTheme="minorHAnsi"/>
          <w:lang w:val="mk-MK"/>
        </w:rPr>
        <w:t>Постои појава на</w:t>
      </w:r>
      <w:r w:rsidR="0069656F" w:rsidRPr="002968EC">
        <w:rPr>
          <w:rFonts w:asciiTheme="minorHAnsi" w:hAnsiTheme="minorHAnsi"/>
          <w:lang w:val="mk-MK"/>
        </w:rPr>
        <w:t xml:space="preserve"> нови помали оператори кои ја обезбедуваат услугата пристап</w:t>
      </w:r>
      <w:r w:rsidR="00D6111E" w:rsidRPr="002968EC">
        <w:rPr>
          <w:rFonts w:asciiTheme="minorHAnsi" w:hAnsiTheme="minorHAnsi"/>
          <w:lang w:val="mk-MK"/>
        </w:rPr>
        <w:t xml:space="preserve"> но во ис</w:t>
      </w:r>
      <w:r w:rsidR="00BD1B9B" w:rsidRPr="002968EC">
        <w:rPr>
          <w:rFonts w:asciiTheme="minorHAnsi" w:hAnsiTheme="minorHAnsi"/>
          <w:lang w:val="mk-MK"/>
        </w:rPr>
        <w:t>то време на пазарот се случија</w:t>
      </w:r>
      <w:r w:rsidR="00DC3B71" w:rsidRPr="002968EC">
        <w:rPr>
          <w:rFonts w:asciiTheme="minorHAnsi" w:hAnsiTheme="minorHAnsi"/>
          <w:lang w:val="mk-MK"/>
        </w:rPr>
        <w:t xml:space="preserve"> и с</w:t>
      </w:r>
      <w:r w:rsidR="00D6111E" w:rsidRPr="002968EC">
        <w:rPr>
          <w:rFonts w:asciiTheme="minorHAnsi" w:hAnsiTheme="minorHAnsi"/>
          <w:lang w:val="mk-MK"/>
        </w:rPr>
        <w:t>појувања на некои помали оператори кон поголемите оператори со што се зголемува територијата на покривање</w:t>
      </w:r>
      <w:r w:rsidR="00BD1B9B" w:rsidRPr="002968EC">
        <w:rPr>
          <w:rFonts w:asciiTheme="minorHAnsi" w:hAnsiTheme="minorHAnsi"/>
          <w:lang w:val="mk-MK"/>
        </w:rPr>
        <w:t>, пазарниот удел и сопствената мрежна инфраструктура</w:t>
      </w:r>
      <w:r w:rsidR="00D6111E" w:rsidRPr="002968EC">
        <w:rPr>
          <w:rFonts w:asciiTheme="minorHAnsi" w:hAnsiTheme="minorHAnsi"/>
          <w:lang w:val="mk-MK"/>
        </w:rPr>
        <w:t xml:space="preserve"> на алтернативните оператори.</w:t>
      </w:r>
    </w:p>
    <w:p w:rsidR="00BD1B9B" w:rsidRPr="002968EC" w:rsidRDefault="00BD1B9B" w:rsidP="00BD1B9B">
      <w:pPr>
        <w:spacing w:before="120" w:after="240"/>
        <w:rPr>
          <w:rFonts w:asciiTheme="minorHAnsi" w:hAnsiTheme="minorHAnsi"/>
        </w:rPr>
      </w:pPr>
      <w:r w:rsidRPr="002968EC">
        <w:rPr>
          <w:rFonts w:asciiTheme="minorHAnsi" w:hAnsiTheme="minorHAnsi"/>
          <w:lang w:val="mk-MK"/>
        </w:rPr>
        <w:t>Се случи спојување на еден од поголемите кабелски оператори а тоа е операторот БЛИЗУ СКОПЈЕ кон новиот оператор Друштво за комуникациски услуги ОНЕ.ВИП ДОО Скопје.</w:t>
      </w:r>
      <w:r w:rsidRPr="002968EC">
        <w:rPr>
          <w:rFonts w:asciiTheme="minorHAnsi" w:hAnsiTheme="minorHAnsi"/>
        </w:rPr>
        <w:t xml:space="preserve"> </w:t>
      </w:r>
      <w:r w:rsidRPr="002968EC">
        <w:rPr>
          <w:rFonts w:asciiTheme="minorHAnsi" w:hAnsiTheme="minorHAnsi"/>
          <w:lang w:val="mk-MK"/>
        </w:rPr>
        <w:t xml:space="preserve">Со Допис доставен на АЕК од 08.08.2014 година од Друштвото за телекомуникациски инженеринг, софтвер, трговија и услуги БЛИЗУ МЕДИА ЕНД БРОУДБЕНД ДООЕЛ Скопје, регулаторот беше информиран за промена на сопственоста и новиот сопственик на компанијата е </w:t>
      </w:r>
      <w:r w:rsidRPr="002968EC">
        <w:rPr>
          <w:rFonts w:asciiTheme="minorHAnsi" w:hAnsiTheme="minorHAnsi"/>
        </w:rPr>
        <w:t>“</w:t>
      </w:r>
      <w:r w:rsidRPr="002968EC">
        <w:rPr>
          <w:rFonts w:asciiTheme="minorHAnsi" w:hAnsiTheme="minorHAnsi"/>
          <w:lang w:val="mk-MK"/>
        </w:rPr>
        <w:t>мобилком Мазедониен Бетеилунгунгсверввалтунг Гмбх</w:t>
      </w:r>
      <w:r w:rsidRPr="002968EC">
        <w:rPr>
          <w:rFonts w:asciiTheme="minorHAnsi" w:hAnsiTheme="minorHAnsi"/>
        </w:rPr>
        <w:t>”</w:t>
      </w:r>
      <w:r w:rsidRPr="002968EC">
        <w:rPr>
          <w:rFonts w:asciiTheme="minorHAnsi" w:hAnsiTheme="minorHAnsi"/>
          <w:lang w:val="mk-MK"/>
        </w:rPr>
        <w:t xml:space="preserve"> со седиште на улица Ласалштрасе бр 9 во Виена. Оваа компанија истовремено е и сопственик на поранешниот ВИП ОПЕРАТОР ДООЕЛ Скопје односно има поголем сопственички удел во новиот оператор Друштво за комуникациски услуги ОНЕ.ВИП ДОО Скопје. Ова превземање што се случи на пазарот на електронските комуникации во август 2014 година, е важно за пазарот за пристап до јавна електронска </w:t>
      </w:r>
      <w:r w:rsidRPr="002968EC">
        <w:rPr>
          <w:rFonts w:asciiTheme="minorHAnsi" w:hAnsiTheme="minorHAnsi"/>
          <w:lang w:val="mk-MK"/>
        </w:rPr>
        <w:lastRenderedPageBreak/>
        <w:t>комуникациска мрежа на фиксна локација поради тоа што операторот БЛИЗУ МЕДИА ЕНД БРОУДБЕНД ДООЕЛ Скопје е еден од двата најголеми</w:t>
      </w:r>
      <w:r w:rsidR="00173FB2">
        <w:rPr>
          <w:rFonts w:asciiTheme="minorHAnsi" w:hAnsiTheme="minorHAnsi"/>
          <w:lang w:val="mk-MK"/>
        </w:rPr>
        <w:t xml:space="preserve"> кабелски оператори на пазарот.</w:t>
      </w:r>
    </w:p>
    <w:p w:rsidR="00BD1B9B" w:rsidRPr="002968EC" w:rsidRDefault="00BD1B9B" w:rsidP="00BD1B9B">
      <w:pPr>
        <w:spacing w:before="120" w:after="240"/>
        <w:rPr>
          <w:rFonts w:asciiTheme="minorHAnsi" w:hAnsiTheme="minorHAnsi"/>
          <w:lang w:val="mk-MK"/>
        </w:rPr>
      </w:pPr>
      <w:r w:rsidRPr="002968EC">
        <w:rPr>
          <w:rFonts w:asciiTheme="minorHAnsi" w:hAnsiTheme="minorHAnsi"/>
          <w:lang w:val="mk-MK"/>
        </w:rPr>
        <w:t>Операторите ОНЕ ДОО Скопје и ВИП ОПЕРАТОР ДООЕЛ Скопје имаа доставено нотификација за прекин и нотификација за започнување со работа на ново</w:t>
      </w:r>
      <w:r w:rsidR="00173FB2">
        <w:rPr>
          <w:rFonts w:asciiTheme="minorHAnsi" w:hAnsiTheme="minorHAnsi"/>
          <w:lang w:val="mk-MK"/>
        </w:rPr>
        <w:t xml:space="preserve"> </w:t>
      </w:r>
      <w:r w:rsidRPr="002968EC">
        <w:rPr>
          <w:rFonts w:asciiTheme="minorHAnsi" w:hAnsiTheme="minorHAnsi"/>
          <w:lang w:val="mk-MK"/>
        </w:rPr>
        <w:t>настанатиот оператор Друштво за комуникациски услуги ОНЕ.ВИП ДОО Скопје (во продолжение: ОНЕ.ВИП ДОО) под бр. уп1-бр.0701-747 од 01.10.2015. За нив од страна на АЕК се изготвени решенија за прекин и започнување со работа  на ден 01.10.2015 година. Со Допис бр 0201-1845/1 од 03.05.2016 година АЕК беше известена дека Друштвото за телекомуникациски инженеринг, софтвер, трговија и услуги БЛИЗУ МЕДИА ЕНД БРОУДБЕНД ДООЕЛ престанува да постои  и истото се спојува кон операторот ОНЕ.ВИП ДОО. Со ова спојување операторот ОНЕ.ВИП ДОО значително ја зајакнува сопствената пазарна позиција што е од големо значење за конкретниот релевантен малопродажен пазар за пристап</w:t>
      </w:r>
      <w:r w:rsidR="00173FB2">
        <w:rPr>
          <w:rFonts w:asciiTheme="minorHAnsi" w:hAnsiTheme="minorHAnsi"/>
          <w:lang w:val="mk-MK"/>
        </w:rPr>
        <w:t xml:space="preserve"> до јавна електронска комуникациска мрежа</w:t>
      </w:r>
      <w:r w:rsidRPr="002968EC">
        <w:rPr>
          <w:rFonts w:asciiTheme="minorHAnsi" w:hAnsiTheme="minorHAnsi"/>
          <w:lang w:val="mk-MK"/>
        </w:rPr>
        <w:t xml:space="preserve"> на фиксна локација.</w:t>
      </w:r>
    </w:p>
    <w:p w:rsidR="00BD1B9B" w:rsidRPr="002968EC" w:rsidRDefault="00BD1B9B" w:rsidP="00BD1B9B">
      <w:pPr>
        <w:spacing w:before="120" w:after="240"/>
        <w:rPr>
          <w:rFonts w:asciiTheme="minorHAnsi" w:hAnsiTheme="minorHAnsi"/>
          <w:lang w:val="mk-MK"/>
        </w:rPr>
      </w:pPr>
      <w:r w:rsidRPr="002968EC">
        <w:rPr>
          <w:rFonts w:asciiTheme="minorHAnsi" w:hAnsiTheme="minorHAnsi"/>
          <w:lang w:val="mk-MK"/>
        </w:rPr>
        <w:t xml:space="preserve">Операторот БЛИЗУ МЕДИА ЕНД БРОУДБЕНД ДООЕЛ  во изминатите неколку години спроведе неколку спојување на помали кабелски оператори </w:t>
      </w:r>
      <w:r w:rsidR="00173FB2">
        <w:rPr>
          <w:rFonts w:asciiTheme="minorHAnsi" w:hAnsiTheme="minorHAnsi"/>
          <w:lang w:val="mk-MK"/>
        </w:rPr>
        <w:t>преку кои континуирано ја зголеми</w:t>
      </w:r>
      <w:r w:rsidRPr="002968EC">
        <w:rPr>
          <w:rFonts w:asciiTheme="minorHAnsi" w:hAnsiTheme="minorHAnsi"/>
          <w:lang w:val="mk-MK"/>
        </w:rPr>
        <w:t xml:space="preserve"> сопствената пазарна позиција и настап на подрачје и градови каде претходно не поседува сопствена кабелска мрежна инфраструктура. Согласно податоците од Комисијата за заштита на конкуренција тоа се следните спојувања: </w:t>
      </w:r>
    </w:p>
    <w:p w:rsidR="00BD1B9B" w:rsidRPr="002968EC" w:rsidRDefault="00BD1B9B" w:rsidP="00BD1B9B">
      <w:pPr>
        <w:spacing w:before="120" w:after="0"/>
        <w:rPr>
          <w:rFonts w:asciiTheme="minorHAnsi" w:hAnsiTheme="minorHAnsi"/>
          <w:lang w:val="mk-MK"/>
        </w:rPr>
      </w:pPr>
      <w:r w:rsidRPr="002968EC">
        <w:rPr>
          <w:rFonts w:asciiTheme="minorHAnsi" w:hAnsiTheme="minorHAnsi"/>
          <w:lang w:val="mk-MK"/>
        </w:rPr>
        <w:t xml:space="preserve">Гив од Гостивар, Г-Он од Дебар, Г-Катв од Струга, Алтра Сат од Охрид, Инел Интернационал од Кавадарци, Ани Кабел од Скопје, Астра Плус од Кочани, Филаделфија 2002 од Кочани, Кабел Риз од Кочани, Систем Кабел од Скопје, Спејс Тел Нет од Скопје, Каблекал од Кичево, Нет - Кабел од Струмица, Кабел - нет од Струмица, Студио Андес од Радовиш, ИП Системс од Куманово и БТВ – Нет од Битола. Преку спојување на овие локални помали оператори  операторот Близу сериозно го зголемил сопствениот пазарен удел како и сопствената мрежна инфраструктура. </w:t>
      </w:r>
    </w:p>
    <w:p w:rsidR="00BD1B9B" w:rsidRPr="002968EC" w:rsidRDefault="00BD1B9B" w:rsidP="0069656F">
      <w:pPr>
        <w:rPr>
          <w:rFonts w:asciiTheme="minorHAnsi" w:hAnsiTheme="minorHAnsi"/>
          <w:lang w:val="mk-MK"/>
        </w:rPr>
      </w:pPr>
    </w:p>
    <w:p w:rsidR="00DC3B71" w:rsidRPr="002968EC" w:rsidRDefault="0069656F" w:rsidP="0069656F">
      <w:pPr>
        <w:rPr>
          <w:rFonts w:asciiTheme="minorHAnsi" w:hAnsiTheme="minorHAnsi"/>
          <w:lang w:val="mk-MK"/>
        </w:rPr>
      </w:pPr>
      <w:r w:rsidRPr="002968EC">
        <w:rPr>
          <w:rFonts w:asciiTheme="minorHAnsi" w:hAnsiTheme="minorHAnsi"/>
          <w:lang w:val="mk-MK"/>
        </w:rPr>
        <w:t>АЕК очекува дека и во ид</w:t>
      </w:r>
      <w:r w:rsidR="00DC3B71" w:rsidRPr="002968EC">
        <w:rPr>
          <w:rFonts w:asciiTheme="minorHAnsi" w:hAnsiTheme="minorHAnsi"/>
          <w:lang w:val="mk-MK"/>
        </w:rPr>
        <w:t>нина би се појавиле нови</w:t>
      </w:r>
      <w:r w:rsidRPr="002968EC">
        <w:rPr>
          <w:rFonts w:asciiTheme="minorHAnsi" w:hAnsiTheme="minorHAnsi"/>
          <w:lang w:val="mk-MK"/>
        </w:rPr>
        <w:t xml:space="preserve"> оператори, пред се поради либералниот влез на овој пазар, </w:t>
      </w:r>
      <w:r w:rsidR="00DC3B71" w:rsidRPr="002968EC">
        <w:rPr>
          <w:rFonts w:asciiTheme="minorHAnsi" w:hAnsiTheme="minorHAnsi"/>
          <w:lang w:val="mk-MK"/>
        </w:rPr>
        <w:t>кои од горенаведените причини на технолошкиот развој на мрежите и непостоењето на други бариери за влез на пазарот би можеле</w:t>
      </w:r>
      <w:r w:rsidRPr="002968EC">
        <w:rPr>
          <w:rFonts w:asciiTheme="minorHAnsi" w:hAnsiTheme="minorHAnsi"/>
          <w:lang w:val="mk-MK"/>
        </w:rPr>
        <w:t xml:space="preserve"> нивната моќ да</w:t>
      </w:r>
      <w:r w:rsidR="00DC3B71" w:rsidRPr="002968EC">
        <w:rPr>
          <w:rFonts w:asciiTheme="minorHAnsi" w:hAnsiTheme="minorHAnsi"/>
          <w:lang w:val="mk-MK"/>
        </w:rPr>
        <w:t xml:space="preserve"> ја</w:t>
      </w:r>
      <w:r w:rsidRPr="002968EC">
        <w:rPr>
          <w:rFonts w:asciiTheme="minorHAnsi" w:hAnsiTheme="minorHAnsi"/>
          <w:lang w:val="mk-MK"/>
        </w:rPr>
        <w:t xml:space="preserve"> развијат </w:t>
      </w:r>
      <w:r w:rsidR="00DC3B71" w:rsidRPr="002968EC">
        <w:rPr>
          <w:rFonts w:asciiTheme="minorHAnsi" w:hAnsiTheme="minorHAnsi"/>
          <w:lang w:val="mk-MK"/>
        </w:rPr>
        <w:t xml:space="preserve">во голем степен што би допринело до развој на </w:t>
      </w:r>
      <w:r w:rsidRPr="002968EC">
        <w:rPr>
          <w:rFonts w:asciiTheme="minorHAnsi" w:hAnsiTheme="minorHAnsi"/>
          <w:lang w:val="mk-MK"/>
        </w:rPr>
        <w:t>потенцијална</w:t>
      </w:r>
      <w:r w:rsidR="00DC3B71" w:rsidRPr="002968EC">
        <w:rPr>
          <w:rFonts w:asciiTheme="minorHAnsi" w:hAnsiTheme="minorHAnsi"/>
          <w:lang w:val="mk-MK"/>
        </w:rPr>
        <w:t>та</w:t>
      </w:r>
      <w:r w:rsidRPr="002968EC">
        <w:rPr>
          <w:rFonts w:asciiTheme="minorHAnsi" w:hAnsiTheme="minorHAnsi"/>
          <w:lang w:val="mk-MK"/>
        </w:rPr>
        <w:t xml:space="preserve"> конкуренција на пазарот</w:t>
      </w:r>
      <w:r w:rsidR="00DC3B71" w:rsidRPr="002968EC">
        <w:rPr>
          <w:rFonts w:asciiTheme="minorHAnsi" w:hAnsiTheme="minorHAnsi"/>
          <w:lang w:val="mk-MK"/>
        </w:rPr>
        <w:t>.</w:t>
      </w:r>
    </w:p>
    <w:p w:rsidR="002B0410" w:rsidRDefault="00DC3B71" w:rsidP="006E317C">
      <w:pPr>
        <w:rPr>
          <w:rFonts w:asciiTheme="minorHAnsi" w:hAnsiTheme="minorHAnsi"/>
          <w:lang w:val="mk-MK"/>
        </w:rPr>
      </w:pPr>
      <w:r w:rsidRPr="002968EC">
        <w:rPr>
          <w:rFonts w:asciiTheme="minorHAnsi" w:hAnsiTheme="minorHAnsi"/>
          <w:lang w:val="mk-MK"/>
        </w:rPr>
        <w:t>Според горенаведеното</w:t>
      </w:r>
      <w:r w:rsidR="0069656F" w:rsidRPr="002968EC">
        <w:rPr>
          <w:rFonts w:asciiTheme="minorHAnsi" w:hAnsiTheme="minorHAnsi"/>
          <w:lang w:val="mk-MK"/>
        </w:rPr>
        <w:t>, АЕК констатира дека</w:t>
      </w:r>
      <w:r w:rsidRPr="002968EC">
        <w:rPr>
          <w:rFonts w:asciiTheme="minorHAnsi" w:hAnsiTheme="minorHAnsi"/>
          <w:lang w:val="mk-MK"/>
        </w:rPr>
        <w:t xml:space="preserve"> на пазарот</w:t>
      </w:r>
      <w:r w:rsidR="0069656F" w:rsidRPr="002968EC">
        <w:rPr>
          <w:rFonts w:asciiTheme="minorHAnsi" w:hAnsiTheme="minorHAnsi"/>
          <w:lang w:val="mk-MK"/>
        </w:rPr>
        <w:t xml:space="preserve"> за при</w:t>
      </w:r>
      <w:r w:rsidRPr="002968EC">
        <w:rPr>
          <w:rFonts w:asciiTheme="minorHAnsi" w:hAnsiTheme="minorHAnsi"/>
          <w:lang w:val="mk-MK"/>
        </w:rPr>
        <w:t>с</w:t>
      </w:r>
      <w:r w:rsidR="0069656F" w:rsidRPr="002968EC">
        <w:rPr>
          <w:rFonts w:asciiTheme="minorHAnsi" w:hAnsiTheme="minorHAnsi"/>
          <w:lang w:val="mk-MK"/>
        </w:rPr>
        <w:t>тап до јавна електронска комуник</w:t>
      </w:r>
      <w:r w:rsidRPr="002968EC">
        <w:rPr>
          <w:rFonts w:asciiTheme="minorHAnsi" w:hAnsiTheme="minorHAnsi"/>
          <w:lang w:val="mk-MK"/>
        </w:rPr>
        <w:t>ациска мрежа на фиксна локација постои ефективна конкуренција која што во иднина би можела дополнително да се зголеми со појава и влез на нови оператори на пазарот.</w:t>
      </w:r>
    </w:p>
    <w:p w:rsidR="005F2E77" w:rsidRPr="002968EC" w:rsidRDefault="00DC3B71" w:rsidP="002B0410">
      <w:pPr>
        <w:numPr>
          <w:ilvl w:val="0"/>
          <w:numId w:val="38"/>
        </w:numPr>
        <w:rPr>
          <w:rFonts w:asciiTheme="minorHAnsi" w:hAnsiTheme="minorHAnsi"/>
          <w:lang w:val="mk-MK"/>
        </w:rPr>
      </w:pPr>
      <w:r w:rsidRPr="002968EC">
        <w:rPr>
          <w:rFonts w:asciiTheme="minorHAnsi" w:hAnsiTheme="minorHAnsi"/>
          <w:lang w:val="mk-MK"/>
        </w:rPr>
        <w:t xml:space="preserve">Заклучок за </w:t>
      </w:r>
      <w:r w:rsidR="00F52D53" w:rsidRPr="002968EC">
        <w:rPr>
          <w:rFonts w:asciiTheme="minorHAnsi" w:hAnsiTheme="minorHAnsi" w:cs="Calibri"/>
          <w:lang w:val="mk-MK"/>
        </w:rPr>
        <w:t>Структура на пазар кој има тенденција кон неефективна конкуренција во рамки на релевантен временски период</w:t>
      </w:r>
    </w:p>
    <w:p w:rsidR="00F52D53" w:rsidRPr="002968EC" w:rsidRDefault="00F52D53" w:rsidP="0096484A">
      <w:pPr>
        <w:rPr>
          <w:rFonts w:asciiTheme="minorHAnsi" w:hAnsiTheme="minorHAnsi" w:cs="Arial"/>
          <w:color w:val="222222"/>
          <w:lang w:val="mk-MK"/>
        </w:rPr>
      </w:pPr>
      <w:r w:rsidRPr="002968EC">
        <w:rPr>
          <w:rFonts w:asciiTheme="minorHAnsi" w:hAnsiTheme="minorHAnsi" w:cs="Arial"/>
          <w:color w:val="222222"/>
          <w:lang w:val="mk-MK"/>
        </w:rPr>
        <w:t>Во претходниот критериум беше заклучено дека не постојат релевантни бариери за влез на разгледуваниот пазар. Во овој дел, беше дополнително забележано дека компаниите кои што влегле на релевантниот пазар започнале со нудење на услуги конкурентни на услугите на СМП операторот со што успеале да ја зголемат својата база на претплатници.</w:t>
      </w:r>
      <w:r w:rsidR="00E343FB" w:rsidRPr="002968EC">
        <w:rPr>
          <w:rFonts w:asciiTheme="minorHAnsi" w:hAnsiTheme="minorHAnsi" w:cs="Arial"/>
          <w:color w:val="222222"/>
          <w:lang w:val="mk-MK"/>
        </w:rPr>
        <w:t xml:space="preserve"> Ваквиот податок</w:t>
      </w:r>
      <w:r w:rsidR="0096484A">
        <w:rPr>
          <w:rFonts w:asciiTheme="minorHAnsi" w:hAnsiTheme="minorHAnsi" w:cs="Arial"/>
          <w:color w:val="222222"/>
          <w:lang w:val="mk-MK"/>
        </w:rPr>
        <w:t xml:space="preserve"> </w:t>
      </w:r>
      <w:r w:rsidRPr="002968EC">
        <w:rPr>
          <w:rFonts w:asciiTheme="minorHAnsi" w:hAnsiTheme="minorHAnsi" w:cs="Arial"/>
          <w:color w:val="222222"/>
          <w:lang w:val="mk-MK"/>
        </w:rPr>
        <w:lastRenderedPageBreak/>
        <w:t>покажува</w:t>
      </w:r>
      <w:r w:rsidR="0096484A">
        <w:rPr>
          <w:rFonts w:asciiTheme="minorHAnsi" w:hAnsiTheme="minorHAnsi" w:cs="Arial"/>
          <w:color w:val="222222"/>
          <w:lang w:val="mk-MK"/>
        </w:rPr>
        <w:t xml:space="preserve">, од една страна, непостоење на </w:t>
      </w:r>
      <w:r w:rsidRPr="002968EC">
        <w:rPr>
          <w:rFonts w:asciiTheme="minorHAnsi" w:hAnsiTheme="minorHAnsi" w:cs="Arial"/>
          <w:color w:val="222222"/>
          <w:lang w:val="mk-MK"/>
        </w:rPr>
        <w:t>бариери за влез на пазарот а, од друга страна, релативно еластична побарувачка.</w:t>
      </w:r>
    </w:p>
    <w:p w:rsidR="00F52D53" w:rsidRPr="002968EC" w:rsidRDefault="0096484A" w:rsidP="0096484A">
      <w:pPr>
        <w:rPr>
          <w:rFonts w:asciiTheme="minorHAnsi" w:hAnsiTheme="minorHAnsi" w:cs="Arial"/>
          <w:color w:val="222222"/>
          <w:lang w:val="mk-MK"/>
        </w:rPr>
      </w:pPr>
      <w:r>
        <w:rPr>
          <w:rFonts w:asciiTheme="minorHAnsi" w:hAnsiTheme="minorHAnsi" w:cs="Arial"/>
          <w:color w:val="222222"/>
          <w:lang w:val="mk-MK"/>
        </w:rPr>
        <w:t xml:space="preserve">Овој фактор, игра многу </w:t>
      </w:r>
      <w:r w:rsidR="00F52D53" w:rsidRPr="002968EC">
        <w:rPr>
          <w:rFonts w:asciiTheme="minorHAnsi" w:hAnsiTheme="minorHAnsi" w:cs="Arial"/>
          <w:color w:val="222222"/>
          <w:lang w:val="mk-MK"/>
        </w:rPr>
        <w:t>важна улога во оценката за вториот кумулативен критериум, со оглед на тоа, што е наведено во Препораката за</w:t>
      </w:r>
      <w:r>
        <w:rPr>
          <w:rFonts w:asciiTheme="minorHAnsi" w:hAnsiTheme="minorHAnsi" w:cs="Arial"/>
          <w:color w:val="222222"/>
          <w:lang w:val="mk-MK"/>
        </w:rPr>
        <w:t xml:space="preserve"> релевантни пазари од страна на </w:t>
      </w:r>
      <w:r w:rsidR="00F52D53" w:rsidRPr="002968EC">
        <w:rPr>
          <w:rFonts w:asciiTheme="minorHAnsi" w:hAnsiTheme="minorHAnsi" w:cs="Arial"/>
          <w:color w:val="222222"/>
          <w:lang w:val="mk-MK"/>
        </w:rPr>
        <w:t>Европската к</w:t>
      </w:r>
      <w:r>
        <w:rPr>
          <w:rFonts w:asciiTheme="minorHAnsi" w:hAnsiTheme="minorHAnsi" w:cs="Arial"/>
          <w:color w:val="222222"/>
          <w:lang w:val="mk-MK"/>
        </w:rPr>
        <w:t xml:space="preserve">омисија "(...) потребно е да се </w:t>
      </w:r>
      <w:r w:rsidR="00F52D53" w:rsidRPr="002968EC">
        <w:rPr>
          <w:rFonts w:asciiTheme="minorHAnsi" w:hAnsiTheme="minorHAnsi" w:cs="Arial"/>
          <w:color w:val="222222"/>
          <w:lang w:val="mk-MK"/>
        </w:rPr>
        <w:t>испита дали индустријата</w:t>
      </w:r>
      <w:r w:rsidR="00B8145A" w:rsidRPr="002968EC">
        <w:rPr>
          <w:rFonts w:asciiTheme="minorHAnsi" w:hAnsiTheme="minorHAnsi" w:cs="Arial"/>
          <w:color w:val="222222"/>
          <w:lang w:val="mk-MK"/>
        </w:rPr>
        <w:t xml:space="preserve"> доживува чести и успешни влегувања на нови учесници</w:t>
      </w:r>
      <w:r w:rsidR="00F52D53" w:rsidRPr="002968EC">
        <w:rPr>
          <w:rFonts w:asciiTheme="minorHAnsi" w:hAnsiTheme="minorHAnsi" w:cs="Arial"/>
          <w:color w:val="222222"/>
          <w:lang w:val="mk-MK"/>
        </w:rPr>
        <w:t xml:space="preserve"> и дали влезот</w:t>
      </w:r>
      <w:r>
        <w:rPr>
          <w:rFonts w:asciiTheme="minorHAnsi" w:hAnsiTheme="minorHAnsi" w:cs="Arial"/>
          <w:color w:val="222222"/>
          <w:lang w:val="mk-MK"/>
        </w:rPr>
        <w:t xml:space="preserve"> </w:t>
      </w:r>
      <w:r w:rsidR="00B8145A" w:rsidRPr="002968EC">
        <w:rPr>
          <w:rFonts w:asciiTheme="minorHAnsi" w:hAnsiTheme="minorHAnsi" w:cs="Arial"/>
          <w:color w:val="222222"/>
          <w:lang w:val="mk-MK"/>
        </w:rPr>
        <w:t xml:space="preserve">кој што </w:t>
      </w:r>
      <w:r w:rsidR="00E343FB" w:rsidRPr="002968EC">
        <w:rPr>
          <w:rFonts w:asciiTheme="minorHAnsi" w:hAnsiTheme="minorHAnsi" w:cs="Arial"/>
          <w:color w:val="222222"/>
          <w:lang w:val="mk-MK"/>
        </w:rPr>
        <w:t>се остварил</w:t>
      </w:r>
      <w:r w:rsidR="00F52D53" w:rsidRPr="002968EC">
        <w:rPr>
          <w:rFonts w:asciiTheme="minorHAnsi" w:hAnsiTheme="minorHAnsi" w:cs="Arial"/>
          <w:color w:val="222222"/>
          <w:lang w:val="mk-MK"/>
        </w:rPr>
        <w:t xml:space="preserve"> или е веројатно во иднина да биде</w:t>
      </w:r>
      <w:r w:rsidR="00E343FB" w:rsidRPr="002968EC">
        <w:rPr>
          <w:rFonts w:asciiTheme="minorHAnsi" w:hAnsiTheme="minorHAnsi" w:cs="Arial"/>
          <w:color w:val="222222"/>
          <w:lang w:val="mk-MK"/>
        </w:rPr>
        <w:t xml:space="preserve"> остварен</w:t>
      </w:r>
      <w:r w:rsidR="00B8145A" w:rsidRPr="002968EC">
        <w:rPr>
          <w:rFonts w:asciiTheme="minorHAnsi" w:hAnsiTheme="minorHAnsi" w:cs="Arial"/>
          <w:color w:val="222222"/>
          <w:lang w:val="mk-MK"/>
        </w:rPr>
        <w:t xml:space="preserve"> е</w:t>
      </w:r>
      <w:r w:rsidR="00F9211C" w:rsidRPr="002968EC">
        <w:rPr>
          <w:rFonts w:asciiTheme="minorHAnsi" w:hAnsiTheme="minorHAnsi" w:cs="Arial"/>
          <w:color w:val="222222"/>
          <w:lang w:val="mk-MK"/>
        </w:rPr>
        <w:t xml:space="preserve"> доволно непосреден и постојан за да ја</w:t>
      </w:r>
      <w:r w:rsidR="00F52D53" w:rsidRPr="002968EC">
        <w:rPr>
          <w:rFonts w:asciiTheme="minorHAnsi" w:hAnsiTheme="minorHAnsi" w:cs="Arial"/>
          <w:color w:val="222222"/>
          <w:lang w:val="mk-MK"/>
        </w:rPr>
        <w:t xml:space="preserve"> ограничи пазарна моќ ".</w:t>
      </w:r>
    </w:p>
    <w:p w:rsidR="00F9211C" w:rsidRPr="002968EC" w:rsidRDefault="002817EF" w:rsidP="00F52D53">
      <w:pPr>
        <w:rPr>
          <w:rFonts w:asciiTheme="minorHAnsi" w:hAnsiTheme="minorHAnsi" w:cs="Arial"/>
          <w:color w:val="222222"/>
          <w:lang w:val="mk-MK"/>
        </w:rPr>
      </w:pPr>
      <w:r w:rsidRPr="002968EC">
        <w:rPr>
          <w:rFonts w:asciiTheme="minorHAnsi" w:hAnsiTheme="minorHAnsi" w:cs="Arial"/>
          <w:color w:val="222222"/>
          <w:lang w:val="mk-MK"/>
        </w:rPr>
        <w:t>Во с</w:t>
      </w:r>
      <w:r w:rsidR="00F9211C" w:rsidRPr="002968EC">
        <w:rPr>
          <w:rFonts w:asciiTheme="minorHAnsi" w:hAnsiTheme="minorHAnsi" w:cs="Arial"/>
          <w:color w:val="222222"/>
          <w:lang w:val="mk-MK"/>
        </w:rPr>
        <w:t>екторот кој покажува чести и успешни влезови на оператори на пазарот, што е</w:t>
      </w:r>
      <w:r w:rsidR="00F9211C" w:rsidRPr="002968EC">
        <w:rPr>
          <w:rFonts w:asciiTheme="minorHAnsi" w:hAnsiTheme="minorHAnsi" w:cs="Arial"/>
          <w:color w:val="222222"/>
          <w:lang w:val="mk-MK"/>
        </w:rPr>
        <w:br/>
        <w:t>докажано со зголемување на пазарниот удел на алтерна</w:t>
      </w:r>
      <w:r w:rsidRPr="002968EC">
        <w:rPr>
          <w:rFonts w:asciiTheme="minorHAnsi" w:hAnsiTheme="minorHAnsi" w:cs="Arial"/>
          <w:color w:val="222222"/>
          <w:lang w:val="mk-MK"/>
        </w:rPr>
        <w:t>тивните оператори, како и ценовната осетливост на страната на претплатниците во поглед на цената на услугите може да се заклучи дека постои конкурентен притисок при формирање на цената за пристап до јавна електронска комуникациска мрежа на фиксна локација.</w:t>
      </w:r>
      <w:r w:rsidR="00F9211C" w:rsidRPr="002968EC">
        <w:rPr>
          <w:rFonts w:asciiTheme="minorHAnsi" w:hAnsiTheme="minorHAnsi" w:cs="Arial"/>
          <w:color w:val="222222"/>
          <w:lang w:val="mk-MK"/>
        </w:rPr>
        <w:t xml:space="preserve"> </w:t>
      </w:r>
    </w:p>
    <w:p w:rsidR="002817EF" w:rsidRPr="002968EC" w:rsidRDefault="002817EF" w:rsidP="00F52D53">
      <w:pPr>
        <w:rPr>
          <w:rFonts w:asciiTheme="minorHAnsi" w:hAnsiTheme="minorHAnsi" w:cs="Arial"/>
          <w:color w:val="222222"/>
          <w:lang w:val="mk-MK"/>
        </w:rPr>
      </w:pPr>
      <w:r w:rsidRPr="002968EC">
        <w:rPr>
          <w:rFonts w:asciiTheme="minorHAnsi" w:hAnsiTheme="minorHAnsi" w:cs="Arial"/>
          <w:color w:val="222222"/>
          <w:lang w:val="mk-MK"/>
        </w:rPr>
        <w:t xml:space="preserve">Анализата исто така, покажа дека пазарниот удел на операторот МКТ се намалува со текот на годините, додека алтернативните оператори се повеќе го зголемуваат својот удел во понудите на пристап до јавна телефонска мрежа на фиксна локација. </w:t>
      </w:r>
    </w:p>
    <w:p w:rsidR="00063D70" w:rsidRPr="002968EC" w:rsidRDefault="002817EF" w:rsidP="00F52D53">
      <w:pPr>
        <w:rPr>
          <w:rFonts w:asciiTheme="minorHAnsi" w:hAnsiTheme="minorHAnsi" w:cs="Arial"/>
          <w:color w:val="222222"/>
          <w:lang w:val="mk-MK"/>
        </w:rPr>
      </w:pPr>
      <w:r w:rsidRPr="002968EC">
        <w:rPr>
          <w:rFonts w:asciiTheme="minorHAnsi" w:hAnsiTheme="minorHAnsi" w:cs="Arial"/>
          <w:color w:val="222222"/>
          <w:lang w:val="mk-MK"/>
        </w:rPr>
        <w:t xml:space="preserve">Дополнително, АЕК би сакала да истакне дека </w:t>
      </w:r>
      <w:r w:rsidR="00063D70" w:rsidRPr="002968EC">
        <w:rPr>
          <w:rFonts w:asciiTheme="minorHAnsi" w:hAnsiTheme="minorHAnsi" w:cs="Arial"/>
          <w:color w:val="222222"/>
          <w:lang w:val="mk-MK"/>
        </w:rPr>
        <w:t xml:space="preserve">релевантниот пазар покажува </w:t>
      </w:r>
      <w:r w:rsidRPr="002968EC">
        <w:rPr>
          <w:rFonts w:asciiTheme="minorHAnsi" w:hAnsiTheme="minorHAnsi" w:cs="Arial"/>
          <w:color w:val="222222"/>
          <w:lang w:val="mk-MK"/>
        </w:rPr>
        <w:t>з</w:t>
      </w:r>
      <w:r w:rsidR="00063D70" w:rsidRPr="002968EC">
        <w:rPr>
          <w:rFonts w:asciiTheme="minorHAnsi" w:hAnsiTheme="minorHAnsi" w:cs="Arial"/>
          <w:color w:val="222222"/>
          <w:lang w:val="mk-MK"/>
        </w:rPr>
        <w:t>големена конкурентна динамика во обезбедувањето на нови видови на пристап</w:t>
      </w:r>
      <w:r w:rsidRPr="002968EC">
        <w:rPr>
          <w:rFonts w:asciiTheme="minorHAnsi" w:hAnsiTheme="minorHAnsi" w:cs="Arial"/>
          <w:color w:val="222222"/>
          <w:lang w:val="mk-MK"/>
        </w:rPr>
        <w:t xml:space="preserve"> </w:t>
      </w:r>
      <w:r w:rsidR="00063D70" w:rsidRPr="002968EC">
        <w:rPr>
          <w:rFonts w:asciiTheme="minorHAnsi" w:hAnsiTheme="minorHAnsi" w:cs="Arial"/>
          <w:color w:val="222222"/>
          <w:lang w:val="mk-MK"/>
        </w:rPr>
        <w:t xml:space="preserve">преку кои е овозможено обезбедувањето на фиксни телефонски услуги. </w:t>
      </w:r>
    </w:p>
    <w:p w:rsidR="005F2E77" w:rsidRPr="002968EC" w:rsidRDefault="00063D70">
      <w:pPr>
        <w:rPr>
          <w:rFonts w:asciiTheme="minorHAnsi" w:hAnsiTheme="minorHAnsi" w:cs="Arial"/>
          <w:color w:val="222222"/>
          <w:lang w:val="mk-MK"/>
        </w:rPr>
      </w:pPr>
      <w:r w:rsidRPr="002968EC">
        <w:rPr>
          <w:rFonts w:asciiTheme="minorHAnsi" w:hAnsiTheme="minorHAnsi" w:cs="Arial"/>
          <w:color w:val="222222"/>
          <w:lang w:val="mk-MK"/>
        </w:rPr>
        <w:t xml:space="preserve">Имено пристапот преку коаксијална кабелска мрежа </w:t>
      </w:r>
      <w:r w:rsidR="0096484A">
        <w:rPr>
          <w:rFonts w:asciiTheme="minorHAnsi" w:hAnsiTheme="minorHAnsi" w:cs="Arial"/>
          <w:color w:val="222222"/>
          <w:lang w:val="mk-MK"/>
        </w:rPr>
        <w:t>ВоИП</w:t>
      </w:r>
      <w:r w:rsidRPr="002968EC">
        <w:rPr>
          <w:rFonts w:asciiTheme="minorHAnsi" w:hAnsiTheme="minorHAnsi" w:cs="Arial"/>
          <w:color w:val="222222"/>
        </w:rPr>
        <w:t xml:space="preserve"> </w:t>
      </w:r>
      <w:r w:rsidRPr="002968EC">
        <w:rPr>
          <w:rFonts w:asciiTheme="minorHAnsi" w:hAnsiTheme="minorHAnsi" w:cs="Arial"/>
          <w:color w:val="222222"/>
          <w:lang w:val="mk-MK"/>
        </w:rPr>
        <w:t xml:space="preserve">кој што има покривање скоро на целата територија на државата се обезбедува со релативно ниски маргинални трошоци. </w:t>
      </w:r>
      <w:r w:rsidR="00E343FB" w:rsidRPr="002968EC">
        <w:rPr>
          <w:rFonts w:asciiTheme="minorHAnsi" w:hAnsiTheme="minorHAnsi" w:cs="Arial"/>
          <w:color w:val="222222"/>
          <w:lang w:val="mk-MK"/>
        </w:rPr>
        <w:t xml:space="preserve">Зголеменото користење на пакетирани услуги </w:t>
      </w:r>
      <w:r w:rsidRPr="002968EC">
        <w:rPr>
          <w:rFonts w:asciiTheme="minorHAnsi" w:hAnsiTheme="minorHAnsi" w:cs="Arial"/>
          <w:color w:val="222222"/>
          <w:lang w:val="mk-MK"/>
        </w:rPr>
        <w:t xml:space="preserve">во кои услугата пристап до мрежа на фиксна локација е вклучен а исто така го намалуваат трошокот за обезбедување на услугата </w:t>
      </w:r>
      <w:r w:rsidR="00E343FB" w:rsidRPr="002968EC">
        <w:rPr>
          <w:rFonts w:asciiTheme="minorHAnsi" w:hAnsiTheme="minorHAnsi" w:cs="Arial"/>
          <w:color w:val="222222"/>
          <w:lang w:val="mk-MK"/>
        </w:rPr>
        <w:t>допринсуваат за зголемување на конкурентскиот притисок на релевантниот пазар.</w:t>
      </w:r>
    </w:p>
    <w:p w:rsidR="005F2E77" w:rsidRPr="002968EC" w:rsidRDefault="00E343FB">
      <w:pPr>
        <w:rPr>
          <w:rFonts w:asciiTheme="minorHAnsi" w:hAnsiTheme="minorHAnsi" w:cs="Calibri"/>
        </w:rPr>
      </w:pPr>
      <w:r w:rsidRPr="002968EC">
        <w:rPr>
          <w:rFonts w:asciiTheme="minorHAnsi" w:hAnsiTheme="minorHAnsi" w:cs="Arial"/>
          <w:color w:val="222222"/>
          <w:lang w:val="mk-MK"/>
        </w:rPr>
        <w:t xml:space="preserve">Во врска со вториот критериум кој што се однесува на </w:t>
      </w:r>
      <w:r w:rsidRPr="002968EC">
        <w:rPr>
          <w:rFonts w:asciiTheme="minorHAnsi" w:hAnsiTheme="minorHAnsi" w:cs="Calibri"/>
          <w:lang w:val="mk-MK"/>
        </w:rPr>
        <w:t xml:space="preserve">Структура на пазар кој има тенденција кон неефективна конкуренција во рамки на релевантен временски период АЕК смета дека анализираните </w:t>
      </w:r>
      <w:r w:rsidR="00296CCF" w:rsidRPr="002968EC">
        <w:rPr>
          <w:rFonts w:asciiTheme="minorHAnsi" w:hAnsiTheme="minorHAnsi" w:cs="Calibri"/>
          <w:lang w:val="mk-MK"/>
        </w:rPr>
        <w:t>податоци покажуваат дека истиот не е исполнет.</w:t>
      </w:r>
    </w:p>
    <w:p w:rsidR="00B441B9" w:rsidRPr="002968EC" w:rsidRDefault="006E317C" w:rsidP="006E317C">
      <w:pPr>
        <w:pStyle w:val="Heading2"/>
        <w:rPr>
          <w:lang w:val="mk-MK"/>
        </w:rPr>
      </w:pPr>
      <w:bookmarkStart w:id="32" w:name="_Toc461617750"/>
      <w:r>
        <w:rPr>
          <w:lang w:val="mk-MK"/>
        </w:rPr>
        <w:t>9.</w:t>
      </w:r>
      <w:r w:rsidRPr="006E317C">
        <w:rPr>
          <w:lang w:val="mk-MK"/>
        </w:rPr>
        <w:t xml:space="preserve">3 </w:t>
      </w:r>
      <w:r w:rsidR="00B441B9" w:rsidRPr="006E317C">
        <w:rPr>
          <w:lang w:val="mk-MK"/>
        </w:rPr>
        <w:t xml:space="preserve">Трет критерум - Недоволност на Законот за </w:t>
      </w:r>
      <w:r w:rsidR="003727AA" w:rsidRPr="006E317C">
        <w:rPr>
          <w:lang w:val="mk-MK"/>
        </w:rPr>
        <w:t xml:space="preserve">заштита на </w:t>
      </w:r>
      <w:r w:rsidR="00B441B9" w:rsidRPr="006E317C">
        <w:rPr>
          <w:lang w:val="mk-MK"/>
        </w:rPr>
        <w:t>конкуренција ( во услови на непостоење на ех-анте регулација) за регулирање на релевантниот пазар</w:t>
      </w:r>
      <w:bookmarkEnd w:id="32"/>
    </w:p>
    <w:p w:rsidR="00B441B9" w:rsidRPr="002968EC" w:rsidRDefault="00B441B9" w:rsidP="00B441B9">
      <w:pPr>
        <w:rPr>
          <w:rFonts w:asciiTheme="minorHAnsi" w:hAnsiTheme="minorHAnsi" w:cs="Arial"/>
          <w:color w:val="222222"/>
          <w:lang w:val="mk-MK"/>
        </w:rPr>
      </w:pPr>
    </w:p>
    <w:p w:rsidR="00B441B9" w:rsidRPr="002968EC" w:rsidRDefault="00B441B9" w:rsidP="00B441B9">
      <w:pPr>
        <w:rPr>
          <w:rFonts w:asciiTheme="minorHAnsi" w:hAnsiTheme="minorHAnsi" w:cs="Arial"/>
          <w:color w:val="222222"/>
          <w:lang w:val="mk-MK"/>
        </w:rPr>
      </w:pPr>
      <w:r w:rsidRPr="002968EC">
        <w:rPr>
          <w:rFonts w:asciiTheme="minorHAnsi" w:hAnsiTheme="minorHAnsi" w:cs="Arial"/>
          <w:color w:val="222222"/>
          <w:lang w:val="mk-MK"/>
        </w:rPr>
        <w:t>Третиот критериум се однесува на проценката дали правото на заштита на конкуренцијата е доволно за надминување на неефикасна конкурентна средина која што се претпоставува дека постои на пазарот.</w:t>
      </w:r>
    </w:p>
    <w:p w:rsidR="00B441B9" w:rsidRPr="002968EC" w:rsidRDefault="00B441B9" w:rsidP="00B441B9">
      <w:pPr>
        <w:rPr>
          <w:rFonts w:asciiTheme="minorHAnsi" w:hAnsiTheme="minorHAnsi" w:cs="Arial"/>
          <w:color w:val="222222"/>
          <w:lang w:val="mk-MK"/>
        </w:rPr>
      </w:pPr>
      <w:r w:rsidRPr="002968EC">
        <w:rPr>
          <w:rFonts w:asciiTheme="minorHAnsi" w:hAnsiTheme="minorHAnsi" w:cs="Arial"/>
          <w:color w:val="222222"/>
        </w:rPr>
        <w:t xml:space="preserve">Во </w:t>
      </w:r>
      <w:r w:rsidR="0096484A">
        <w:rPr>
          <w:rFonts w:asciiTheme="minorHAnsi" w:hAnsiTheme="minorHAnsi" w:cs="Arial"/>
          <w:color w:val="222222"/>
          <w:lang w:val="mk-MK"/>
        </w:rPr>
        <w:t>Р.</w:t>
      </w:r>
      <w:r w:rsidRPr="002968EC">
        <w:rPr>
          <w:rFonts w:asciiTheme="minorHAnsi" w:hAnsiTheme="minorHAnsi" w:cs="Arial"/>
          <w:color w:val="222222"/>
        </w:rPr>
        <w:t xml:space="preserve">Македонија органот овластен да го применува правото на заштита на конкуренцијата е </w:t>
      </w:r>
      <w:r w:rsidRPr="002968EC">
        <w:rPr>
          <w:rFonts w:asciiTheme="minorHAnsi" w:hAnsiTheme="minorHAnsi" w:cs="Arial"/>
          <w:color w:val="222222"/>
          <w:lang w:val="mk-MK"/>
        </w:rPr>
        <w:t>Комисијата за заштита на конкуренцијата</w:t>
      </w:r>
      <w:r w:rsidRPr="002968EC">
        <w:rPr>
          <w:rFonts w:asciiTheme="minorHAnsi" w:hAnsiTheme="minorHAnsi" w:cs="Arial"/>
          <w:color w:val="222222"/>
        </w:rPr>
        <w:t>. Нејзината</w:t>
      </w:r>
      <w:r w:rsidRPr="002968EC">
        <w:rPr>
          <w:rFonts w:asciiTheme="minorHAnsi" w:hAnsiTheme="minorHAnsi" w:cs="Arial"/>
          <w:color w:val="222222"/>
          <w:lang w:val="mk-MK"/>
        </w:rPr>
        <w:t xml:space="preserve"> основна</w:t>
      </w:r>
      <w:r w:rsidRPr="002968EC">
        <w:rPr>
          <w:rFonts w:asciiTheme="minorHAnsi" w:hAnsiTheme="minorHAnsi" w:cs="Arial"/>
          <w:color w:val="222222"/>
        </w:rPr>
        <w:t xml:space="preserve"> дејност </w:t>
      </w:r>
      <w:r w:rsidRPr="002968EC">
        <w:rPr>
          <w:rFonts w:asciiTheme="minorHAnsi" w:hAnsiTheme="minorHAnsi" w:cs="Arial"/>
          <w:color w:val="222222"/>
          <w:lang w:val="mk-MK"/>
        </w:rPr>
        <w:t>претставува</w:t>
      </w:r>
      <w:r w:rsidRPr="002968EC">
        <w:rPr>
          <w:rFonts w:asciiTheme="minorHAnsi" w:hAnsiTheme="minorHAnsi" w:cs="Arial"/>
          <w:color w:val="222222"/>
        </w:rPr>
        <w:t xml:space="preserve"> ex-post регулација</w:t>
      </w:r>
      <w:r w:rsidRPr="002968EC">
        <w:rPr>
          <w:rFonts w:asciiTheme="minorHAnsi" w:hAnsiTheme="minorHAnsi" w:cs="Arial"/>
          <w:color w:val="222222"/>
          <w:lang w:val="mk-MK"/>
        </w:rPr>
        <w:t xml:space="preserve"> на пазарите</w:t>
      </w:r>
      <w:r w:rsidRPr="002968EC">
        <w:rPr>
          <w:rFonts w:asciiTheme="minorHAnsi" w:hAnsiTheme="minorHAnsi" w:cs="Arial"/>
          <w:color w:val="222222"/>
        </w:rPr>
        <w:t xml:space="preserve">. Во тој случај регулаторни мерки се применуваат кога ќе се утврди дека од даден учесник на пазарот се извршени активности кои доведуваат до нарушување на конкуренцијата. Тоа е и суштинската разлика во однос на примената на ex-ante регулација, </w:t>
      </w:r>
      <w:r w:rsidRPr="002968EC">
        <w:rPr>
          <w:rFonts w:asciiTheme="minorHAnsi" w:hAnsiTheme="minorHAnsi" w:cs="Arial"/>
          <w:color w:val="222222"/>
        </w:rPr>
        <w:lastRenderedPageBreak/>
        <w:t xml:space="preserve">каде наметнувањето на одредени обврски има за цел да го спречи нарушувањето на условите за конкуренција. Во случај на ex-ante регулација контролата се врши превентивно, за разлика од принципот типичен за активностите на Комисијата за </w:t>
      </w:r>
      <w:r w:rsidRPr="002968EC">
        <w:rPr>
          <w:rFonts w:asciiTheme="minorHAnsi" w:hAnsiTheme="minorHAnsi" w:cs="Arial"/>
          <w:color w:val="222222"/>
          <w:lang w:val="mk-MK"/>
        </w:rPr>
        <w:t>з</w:t>
      </w:r>
      <w:r w:rsidRPr="002968EC">
        <w:rPr>
          <w:rFonts w:asciiTheme="minorHAnsi" w:hAnsiTheme="minorHAnsi" w:cs="Arial"/>
          <w:color w:val="222222"/>
        </w:rPr>
        <w:t xml:space="preserve">аштита на </w:t>
      </w:r>
      <w:r w:rsidRPr="002968EC">
        <w:rPr>
          <w:rFonts w:asciiTheme="minorHAnsi" w:hAnsiTheme="minorHAnsi" w:cs="Arial"/>
          <w:color w:val="222222"/>
          <w:lang w:val="mk-MK"/>
        </w:rPr>
        <w:t>к</w:t>
      </w:r>
      <w:r w:rsidRPr="002968EC">
        <w:rPr>
          <w:rFonts w:asciiTheme="minorHAnsi" w:hAnsiTheme="minorHAnsi" w:cs="Arial"/>
          <w:color w:val="222222"/>
        </w:rPr>
        <w:t>онкуренцијата за подоцнежна контрола.</w:t>
      </w:r>
    </w:p>
    <w:p w:rsidR="00B441B9" w:rsidRPr="002968EC" w:rsidRDefault="00B441B9" w:rsidP="00B441B9">
      <w:pPr>
        <w:rPr>
          <w:rFonts w:asciiTheme="minorHAnsi" w:hAnsiTheme="minorHAnsi" w:cs="Arial"/>
          <w:color w:val="222222"/>
          <w:lang w:val="mk-MK"/>
        </w:rPr>
      </w:pPr>
      <w:r w:rsidRPr="002968EC">
        <w:rPr>
          <w:rFonts w:asciiTheme="minorHAnsi" w:hAnsiTheme="minorHAnsi" w:cs="Arial"/>
          <w:color w:val="222222"/>
          <w:lang w:val="mk-MK"/>
        </w:rPr>
        <w:t>Согласно член 11</w:t>
      </w:r>
      <w:r w:rsidRPr="002968EC">
        <w:rPr>
          <w:rFonts w:asciiTheme="minorHAnsi" w:hAnsiTheme="minorHAnsi" w:cs="Arial"/>
          <w:color w:val="222222"/>
        </w:rPr>
        <w:t xml:space="preserve"> </w:t>
      </w:r>
      <w:r w:rsidRPr="002968EC">
        <w:rPr>
          <w:rFonts w:asciiTheme="minorHAnsi" w:hAnsiTheme="minorHAnsi" w:cs="Arial"/>
          <w:color w:val="222222"/>
          <w:lang w:val="mk-MK"/>
        </w:rPr>
        <w:t xml:space="preserve">„Злоупотреба на доминантна позиција“ став (1) од Законот за заштита на конкуренција „забранета е секоја злоупотреба на доминантната позиција од едно или повеќе претпријатија на релевантниот пазар или негов суштински дел“. Во член 11 став (2) од истиот закон се дадени 6 особени случаи на злоупотреба на доминантна позиција, при што оваа листа не е исцрпна и конечна. Односно, доколку за одредено однесување кое не е наведено во овие 6 особени случаи се утврди дека претставува злоупотреба на доминантна позицијаа, истото може да се подведе под општата забрана за злоупотреба на доминантна позиција. </w:t>
      </w:r>
    </w:p>
    <w:p w:rsidR="00B441B9" w:rsidRPr="002968EC" w:rsidRDefault="00B441B9" w:rsidP="00B441B9">
      <w:pPr>
        <w:rPr>
          <w:rFonts w:asciiTheme="minorHAnsi" w:hAnsiTheme="minorHAnsi" w:cs="Arial"/>
          <w:color w:val="222222"/>
          <w:lang w:val="mk-MK"/>
        </w:rPr>
      </w:pPr>
      <w:r w:rsidRPr="002968EC">
        <w:rPr>
          <w:rFonts w:asciiTheme="minorHAnsi" w:hAnsiTheme="minorHAnsi" w:cs="Arial"/>
          <w:color w:val="222222"/>
        </w:rPr>
        <w:t xml:space="preserve">Во член 48 </w:t>
      </w:r>
      <w:r w:rsidRPr="002968EC">
        <w:rPr>
          <w:rFonts w:asciiTheme="minorHAnsi" w:hAnsiTheme="minorHAnsi" w:cs="Arial"/>
          <w:color w:val="222222"/>
          <w:lang w:val="mk-MK"/>
        </w:rPr>
        <w:t xml:space="preserve">„Истражување во одделни сектори на економијата и одделни видови на договори став (1) </w:t>
      </w:r>
      <w:r w:rsidRPr="002968EC">
        <w:rPr>
          <w:rFonts w:asciiTheme="minorHAnsi" w:hAnsiTheme="minorHAnsi" w:cs="Arial"/>
          <w:color w:val="222222"/>
        </w:rPr>
        <w:t>од Законот за заштита на конкуренција</w:t>
      </w:r>
      <w:r w:rsidRPr="002968EC">
        <w:rPr>
          <w:rFonts w:asciiTheme="minorHAnsi" w:hAnsiTheme="minorHAnsi" w:cs="Arial"/>
          <w:color w:val="222222"/>
          <w:lang w:val="mk-MK"/>
        </w:rPr>
        <w:t>, е определено дека „ако постојат околности кои укажуваат на можноста конкуренцијата да биде нарушена,</w:t>
      </w:r>
      <w:r w:rsidRPr="002968EC">
        <w:rPr>
          <w:rFonts w:asciiTheme="minorHAnsi" w:hAnsiTheme="minorHAnsi" w:cs="Arial"/>
          <w:color w:val="222222"/>
        </w:rPr>
        <w:t xml:space="preserve"> </w:t>
      </w:r>
      <w:r w:rsidRPr="002968EC">
        <w:rPr>
          <w:rFonts w:asciiTheme="minorHAnsi" w:hAnsiTheme="minorHAnsi" w:cs="Arial"/>
          <w:color w:val="222222"/>
          <w:lang w:val="mk-MK"/>
        </w:rPr>
        <w:t xml:space="preserve">КЗК </w:t>
      </w:r>
      <w:r w:rsidRPr="002968EC">
        <w:rPr>
          <w:rFonts w:asciiTheme="minorHAnsi" w:hAnsiTheme="minorHAnsi" w:cs="Arial"/>
          <w:color w:val="222222"/>
        </w:rPr>
        <w:t>може да спроведе истражување во определен сектор на економијата</w:t>
      </w:r>
      <w:r w:rsidRPr="002968EC">
        <w:rPr>
          <w:rFonts w:asciiTheme="minorHAnsi" w:hAnsiTheme="minorHAnsi" w:cs="Arial"/>
          <w:color w:val="222222"/>
          <w:lang w:val="mk-MK"/>
        </w:rPr>
        <w:t xml:space="preserve"> или за определен вид на договори во различни сектори на економијата“. </w:t>
      </w:r>
      <w:r w:rsidRPr="002968EC">
        <w:rPr>
          <w:rFonts w:asciiTheme="minorHAnsi" w:hAnsiTheme="minorHAnsi" w:cs="Arial"/>
          <w:color w:val="222222"/>
        </w:rPr>
        <w:t xml:space="preserve"> </w:t>
      </w:r>
    </w:p>
    <w:p w:rsidR="00B441B9" w:rsidRPr="002968EC" w:rsidRDefault="00B441B9" w:rsidP="00B441B9">
      <w:pPr>
        <w:rPr>
          <w:rFonts w:asciiTheme="minorHAnsi" w:hAnsiTheme="minorHAnsi" w:cs="Arial"/>
          <w:color w:val="222222"/>
          <w:lang w:val="mk-MK"/>
        </w:rPr>
      </w:pPr>
      <w:r w:rsidRPr="002968EC">
        <w:rPr>
          <w:rFonts w:asciiTheme="minorHAnsi" w:hAnsiTheme="minorHAnsi" w:cs="Arial"/>
          <w:color w:val="222222"/>
        </w:rPr>
        <w:t>Во членот 52</w:t>
      </w:r>
      <w:r w:rsidRPr="002968EC">
        <w:rPr>
          <w:rFonts w:asciiTheme="minorHAnsi" w:hAnsiTheme="minorHAnsi" w:cs="Arial"/>
          <w:color w:val="222222"/>
          <w:lang w:val="mk-MK"/>
        </w:rPr>
        <w:t xml:space="preserve"> „Мерки за воспоставување на ефективна конкуренција“ став (1) е дефинирано дека КЗК</w:t>
      </w:r>
      <w:r w:rsidRPr="002968EC">
        <w:rPr>
          <w:rFonts w:asciiTheme="minorHAnsi" w:hAnsiTheme="minorHAnsi" w:cs="Arial"/>
          <w:color w:val="222222"/>
        </w:rPr>
        <w:t xml:space="preserve"> </w:t>
      </w:r>
      <w:r w:rsidRPr="002968EC">
        <w:rPr>
          <w:rFonts w:asciiTheme="minorHAnsi" w:hAnsiTheme="minorHAnsi" w:cs="Arial"/>
          <w:color w:val="222222"/>
          <w:lang w:val="mk-MK"/>
        </w:rPr>
        <w:t>„</w:t>
      </w:r>
      <w:r w:rsidRPr="002968EC">
        <w:rPr>
          <w:rFonts w:asciiTheme="minorHAnsi" w:hAnsiTheme="minorHAnsi" w:cs="Arial"/>
          <w:color w:val="222222"/>
        </w:rPr>
        <w:t>може на сторителот на прекршокот со решение да му наложи потребни мерки на однесување и структурни мерки за отстранување на штетните последици од нарушувањето на конкуренцијата настанати со прекршокот и да определи рокови за нивно извршување</w:t>
      </w:r>
      <w:r w:rsidRPr="002968EC">
        <w:rPr>
          <w:rFonts w:asciiTheme="minorHAnsi" w:hAnsiTheme="minorHAnsi" w:cs="Arial"/>
          <w:color w:val="222222"/>
          <w:lang w:val="mk-MK"/>
        </w:rPr>
        <w:t>“</w:t>
      </w:r>
      <w:r w:rsidRPr="002968EC">
        <w:rPr>
          <w:rFonts w:asciiTheme="minorHAnsi" w:hAnsiTheme="minorHAnsi" w:cs="Arial"/>
          <w:color w:val="222222"/>
        </w:rPr>
        <w:t xml:space="preserve">. </w:t>
      </w:r>
    </w:p>
    <w:p w:rsidR="00B441B9" w:rsidRPr="002968EC" w:rsidRDefault="00B441B9" w:rsidP="00B441B9">
      <w:pPr>
        <w:rPr>
          <w:rFonts w:asciiTheme="minorHAnsi" w:hAnsiTheme="minorHAnsi" w:cs="Arial"/>
          <w:color w:val="222222"/>
          <w:lang w:val="mk-MK"/>
        </w:rPr>
      </w:pPr>
      <w:r w:rsidRPr="002968EC">
        <w:rPr>
          <w:rFonts w:asciiTheme="minorHAnsi" w:hAnsiTheme="minorHAnsi" w:cs="Arial"/>
          <w:color w:val="222222"/>
        </w:rPr>
        <w:t>Во член 59</w:t>
      </w:r>
      <w:r w:rsidRPr="002968EC">
        <w:rPr>
          <w:rFonts w:asciiTheme="minorHAnsi" w:hAnsiTheme="minorHAnsi" w:cs="Arial"/>
          <w:color w:val="222222"/>
          <w:lang w:val="mk-MK"/>
        </w:rPr>
        <w:t xml:space="preserve"> „Потешки прекршоци“ став (1) точка 2) „</w:t>
      </w:r>
      <w:r w:rsidRPr="002968EC">
        <w:rPr>
          <w:rFonts w:asciiTheme="minorHAnsi" w:hAnsiTheme="minorHAnsi" w:cs="Arial"/>
          <w:color w:val="222222"/>
        </w:rPr>
        <w:t>Комисијата за одлучување по прекршок на претпријатието односно здружението на претпријатија</w:t>
      </w:r>
      <w:r w:rsidRPr="002968EC">
        <w:rPr>
          <w:rFonts w:asciiTheme="minorHAnsi" w:hAnsiTheme="minorHAnsi" w:cs="Arial"/>
          <w:color w:val="222222"/>
          <w:lang w:val="mk-MK"/>
        </w:rPr>
        <w:t xml:space="preserve"> </w:t>
      </w:r>
      <w:r w:rsidRPr="002968EC">
        <w:rPr>
          <w:rFonts w:asciiTheme="minorHAnsi" w:hAnsiTheme="minorHAnsi" w:cs="Arial"/>
          <w:color w:val="222222"/>
        </w:rPr>
        <w:t xml:space="preserve">со </w:t>
      </w:r>
      <w:r w:rsidRPr="002968EC">
        <w:rPr>
          <w:rFonts w:asciiTheme="minorHAnsi" w:hAnsiTheme="minorHAnsi" w:cs="Arial"/>
          <w:color w:val="222222"/>
          <w:lang w:val="mk-MK"/>
        </w:rPr>
        <w:t>р</w:t>
      </w:r>
      <w:r w:rsidRPr="002968EC">
        <w:rPr>
          <w:rFonts w:asciiTheme="minorHAnsi" w:hAnsiTheme="minorHAnsi" w:cs="Arial"/>
          <w:color w:val="222222"/>
        </w:rPr>
        <w:t xml:space="preserve">ешение ќе му изрече глоба во износ </w:t>
      </w:r>
      <w:r w:rsidRPr="002968EC">
        <w:rPr>
          <w:rFonts w:asciiTheme="minorHAnsi" w:hAnsiTheme="minorHAnsi" w:cs="Arial"/>
          <w:color w:val="222222"/>
          <w:lang w:val="mk-MK"/>
        </w:rPr>
        <w:t>до</w:t>
      </w:r>
      <w:r w:rsidRPr="002968EC">
        <w:rPr>
          <w:rFonts w:asciiTheme="minorHAnsi" w:hAnsiTheme="minorHAnsi" w:cs="Arial"/>
          <w:color w:val="222222"/>
        </w:rPr>
        <w:t xml:space="preserve"> 10% од вредноста на вкупниот годишен приход остварен </w:t>
      </w:r>
      <w:r w:rsidRPr="002968EC">
        <w:rPr>
          <w:rFonts w:asciiTheme="minorHAnsi" w:hAnsiTheme="minorHAnsi" w:cs="Arial"/>
          <w:color w:val="222222"/>
          <w:lang w:val="mk-MK"/>
        </w:rPr>
        <w:t>во</w:t>
      </w:r>
      <w:r w:rsidRPr="002968EC">
        <w:rPr>
          <w:rFonts w:asciiTheme="minorHAnsi" w:hAnsiTheme="minorHAnsi" w:cs="Arial"/>
          <w:color w:val="222222"/>
        </w:rPr>
        <w:t xml:space="preserve"> последната деловна година, изразена во апсолутен и номинален износ за која претпријатието или здружението на претпријатија има составена годишна сметка ако стори злоупотреба на доминантна позиција во смисла на член 11</w:t>
      </w:r>
      <w:r w:rsidRPr="002968EC">
        <w:rPr>
          <w:rFonts w:asciiTheme="minorHAnsi" w:hAnsiTheme="minorHAnsi" w:cs="Arial"/>
          <w:color w:val="222222"/>
          <w:lang w:val="mk-MK"/>
        </w:rPr>
        <w:t xml:space="preserve"> </w:t>
      </w:r>
      <w:r w:rsidRPr="002968EC">
        <w:rPr>
          <w:rFonts w:asciiTheme="minorHAnsi" w:hAnsiTheme="minorHAnsi" w:cs="Arial"/>
          <w:color w:val="222222"/>
        </w:rPr>
        <w:t>од Законот за заштита на конкуренција</w:t>
      </w:r>
      <w:r w:rsidRPr="002968EC">
        <w:rPr>
          <w:rFonts w:asciiTheme="minorHAnsi" w:hAnsiTheme="minorHAnsi" w:cs="Arial"/>
          <w:color w:val="222222"/>
          <w:lang w:val="mk-MK"/>
        </w:rPr>
        <w:t>“</w:t>
      </w:r>
      <w:r w:rsidRPr="002968EC">
        <w:rPr>
          <w:rFonts w:asciiTheme="minorHAnsi" w:hAnsiTheme="minorHAnsi" w:cs="Arial"/>
          <w:color w:val="222222"/>
        </w:rPr>
        <w:t>.</w:t>
      </w:r>
    </w:p>
    <w:p w:rsidR="00B441B9" w:rsidRDefault="00B441B9" w:rsidP="00B441B9">
      <w:pPr>
        <w:rPr>
          <w:rFonts w:asciiTheme="minorHAnsi" w:hAnsiTheme="minorHAnsi" w:cs="Arial"/>
          <w:color w:val="222222"/>
          <w:lang w:val="mk-MK"/>
        </w:rPr>
      </w:pPr>
      <w:r w:rsidRPr="002968EC">
        <w:rPr>
          <w:rFonts w:asciiTheme="minorHAnsi" w:hAnsiTheme="minorHAnsi" w:cs="Arial"/>
          <w:color w:val="222222"/>
        </w:rPr>
        <w:t>Искуствата на АЕК во врска со регулацијата на пазар</w:t>
      </w:r>
      <w:r w:rsidRPr="002968EC">
        <w:rPr>
          <w:rFonts w:asciiTheme="minorHAnsi" w:hAnsiTheme="minorHAnsi" w:cs="Arial"/>
          <w:color w:val="222222"/>
          <w:lang w:val="mk-MK"/>
        </w:rPr>
        <w:t xml:space="preserve"> на електронските комуникации</w:t>
      </w:r>
      <w:r w:rsidRPr="002968EC">
        <w:rPr>
          <w:rFonts w:asciiTheme="minorHAnsi" w:hAnsiTheme="minorHAnsi" w:cs="Arial"/>
          <w:color w:val="222222"/>
        </w:rPr>
        <w:t xml:space="preserve"> укажуваат дека операторот кој поседува значителна пазарна моќ може да </w:t>
      </w:r>
      <w:r w:rsidRPr="002968EC">
        <w:rPr>
          <w:rFonts w:asciiTheme="minorHAnsi" w:hAnsiTheme="minorHAnsi" w:cs="Arial"/>
          <w:color w:val="222222"/>
          <w:lang w:val="mk-MK"/>
        </w:rPr>
        <w:t>превземе</w:t>
      </w:r>
      <w:r w:rsidRPr="002968EC">
        <w:rPr>
          <w:rFonts w:asciiTheme="minorHAnsi" w:hAnsiTheme="minorHAnsi" w:cs="Arial"/>
          <w:color w:val="222222"/>
        </w:rPr>
        <w:t xml:space="preserve"> широк спектар на постапки со цел одложување</w:t>
      </w:r>
      <w:r w:rsidRPr="002968EC">
        <w:rPr>
          <w:rFonts w:asciiTheme="minorHAnsi" w:hAnsiTheme="minorHAnsi" w:cs="Arial"/>
          <w:color w:val="222222"/>
          <w:lang w:val="mk-MK"/>
        </w:rPr>
        <w:t xml:space="preserve"> </w:t>
      </w:r>
      <w:r w:rsidRPr="002968EC">
        <w:rPr>
          <w:rFonts w:asciiTheme="minorHAnsi" w:hAnsiTheme="minorHAnsi" w:cs="Arial"/>
          <w:color w:val="222222"/>
        </w:rPr>
        <w:t>и/или спречув</w:t>
      </w:r>
      <w:r w:rsidR="00C248D5" w:rsidRPr="002968EC">
        <w:rPr>
          <w:rFonts w:asciiTheme="minorHAnsi" w:hAnsiTheme="minorHAnsi" w:cs="Arial"/>
          <w:color w:val="222222"/>
        </w:rPr>
        <w:t>ање на ефективната конкуренција</w:t>
      </w:r>
      <w:r w:rsidR="00C248D5" w:rsidRPr="002968EC">
        <w:rPr>
          <w:rFonts w:asciiTheme="minorHAnsi" w:hAnsiTheme="minorHAnsi" w:cs="Arial"/>
          <w:color w:val="222222"/>
          <w:lang w:val="mk-MK"/>
        </w:rPr>
        <w:t xml:space="preserve">. </w:t>
      </w:r>
      <w:r w:rsidRPr="002968EC">
        <w:rPr>
          <w:rFonts w:asciiTheme="minorHAnsi" w:hAnsiTheme="minorHAnsi" w:cs="Arial"/>
          <w:color w:val="222222"/>
          <w:lang w:val="mk-MK"/>
        </w:rPr>
        <w:t>Меѓутоа</w:t>
      </w:r>
      <w:r w:rsidR="00C248D5" w:rsidRPr="002968EC">
        <w:rPr>
          <w:rFonts w:asciiTheme="minorHAnsi" w:hAnsiTheme="minorHAnsi" w:cs="Arial"/>
          <w:color w:val="222222"/>
          <w:lang w:val="mk-MK"/>
        </w:rPr>
        <w:t xml:space="preserve"> како</w:t>
      </w:r>
      <w:r w:rsidRPr="002968EC">
        <w:rPr>
          <w:rFonts w:asciiTheme="minorHAnsi" w:hAnsiTheme="minorHAnsi" w:cs="Arial"/>
          <w:color w:val="222222"/>
          <w:lang w:val="mk-MK"/>
        </w:rPr>
        <w:t xml:space="preserve"> </w:t>
      </w:r>
      <w:r w:rsidR="00C248D5" w:rsidRPr="002968EC">
        <w:rPr>
          <w:rFonts w:asciiTheme="minorHAnsi" w:hAnsiTheme="minorHAnsi" w:cs="Arial"/>
          <w:color w:val="222222"/>
          <w:lang w:val="mk-MK"/>
        </w:rPr>
        <w:t>што наведовме во претходните два критериуми</w:t>
      </w:r>
      <w:r w:rsidRPr="002968EC">
        <w:rPr>
          <w:rFonts w:asciiTheme="minorHAnsi" w:hAnsiTheme="minorHAnsi" w:cs="Arial"/>
          <w:color w:val="222222"/>
          <w:lang w:val="mk-MK"/>
        </w:rPr>
        <w:t xml:space="preserve"> појавата на паралелни мрежни инфраструктури од кои некои се развиени скоро на целата територијата на РМ</w:t>
      </w:r>
      <w:r w:rsidRPr="002968EC">
        <w:rPr>
          <w:rFonts w:asciiTheme="minorHAnsi" w:hAnsiTheme="minorHAnsi" w:cs="Arial"/>
          <w:color w:val="222222"/>
        </w:rPr>
        <w:t>,</w:t>
      </w:r>
      <w:r w:rsidR="00C248D5" w:rsidRPr="002968EC">
        <w:rPr>
          <w:rFonts w:asciiTheme="minorHAnsi" w:hAnsiTheme="minorHAnsi" w:cs="Arial"/>
          <w:color w:val="222222"/>
          <w:lang w:val="mk-MK"/>
        </w:rPr>
        <w:t xml:space="preserve"> зголемувањето на пазарниот удел од година во година на алтернативните опратори, непостоењето на бариери за влез на пазарот и ред други подкритериуми</w:t>
      </w:r>
      <w:r w:rsidRPr="002968EC">
        <w:rPr>
          <w:rFonts w:asciiTheme="minorHAnsi" w:hAnsiTheme="minorHAnsi" w:cs="Arial"/>
          <w:color w:val="222222"/>
        </w:rPr>
        <w:t xml:space="preserve"> </w:t>
      </w:r>
      <w:r w:rsidR="00C248D5" w:rsidRPr="002968EC">
        <w:rPr>
          <w:rFonts w:asciiTheme="minorHAnsi" w:hAnsiTheme="minorHAnsi" w:cs="Arial"/>
          <w:color w:val="222222"/>
          <w:lang w:val="mk-MK"/>
        </w:rPr>
        <w:t xml:space="preserve">допринесуваат АЕК да </w:t>
      </w:r>
      <w:r w:rsidRPr="002968EC">
        <w:rPr>
          <w:rFonts w:asciiTheme="minorHAnsi" w:hAnsiTheme="minorHAnsi" w:cs="Arial"/>
          <w:color w:val="222222"/>
          <w:lang w:val="mk-MK"/>
        </w:rPr>
        <w:t>заклучи</w:t>
      </w:r>
      <w:r w:rsidR="00C248D5" w:rsidRPr="002968EC">
        <w:rPr>
          <w:rFonts w:asciiTheme="minorHAnsi" w:hAnsiTheme="minorHAnsi" w:cs="Arial"/>
          <w:color w:val="222222"/>
          <w:lang w:val="mk-MK"/>
        </w:rPr>
        <w:t xml:space="preserve"> дека</w:t>
      </w:r>
      <w:r w:rsidRPr="002968EC">
        <w:rPr>
          <w:rFonts w:asciiTheme="minorHAnsi" w:hAnsiTheme="minorHAnsi" w:cs="Arial"/>
          <w:color w:val="222222"/>
          <w:lang w:val="mk-MK"/>
        </w:rPr>
        <w:t xml:space="preserve"> пазарна моќ на </w:t>
      </w:r>
      <w:r w:rsidRPr="002968EC">
        <w:rPr>
          <w:rFonts w:asciiTheme="minorHAnsi" w:hAnsiTheme="minorHAnsi" w:cs="Arial"/>
          <w:color w:val="222222"/>
        </w:rPr>
        <w:t xml:space="preserve">операторот </w:t>
      </w:r>
      <w:r w:rsidRPr="002968EC">
        <w:rPr>
          <w:rFonts w:asciiTheme="minorHAnsi" w:hAnsiTheme="minorHAnsi" w:cs="Arial"/>
          <w:color w:val="222222"/>
          <w:lang w:val="mk-MK"/>
        </w:rPr>
        <w:t>МКТ на овој релевантен пазар</w:t>
      </w:r>
      <w:r w:rsidR="00C248D5" w:rsidRPr="002968EC">
        <w:rPr>
          <w:rFonts w:asciiTheme="minorHAnsi" w:hAnsiTheme="minorHAnsi" w:cs="Arial"/>
          <w:color w:val="222222"/>
          <w:lang w:val="mk-MK"/>
        </w:rPr>
        <w:t xml:space="preserve"> е ограничена</w:t>
      </w:r>
      <w:r w:rsidRPr="002968EC">
        <w:rPr>
          <w:rFonts w:asciiTheme="minorHAnsi" w:hAnsiTheme="minorHAnsi" w:cs="Arial"/>
          <w:color w:val="222222"/>
          <w:lang w:val="mk-MK"/>
        </w:rPr>
        <w:t xml:space="preserve">. Врз основа на наведената пазарна состојба Агенцијата смета дека правото на заштита на конкуренцијата е доволно за корегирање и санкционирање на определени прекршоци и видови на злоупотреба на доминантната пазарна моќ од страна на операторот кој ја има. На тој начин </w:t>
      </w:r>
      <w:r w:rsidRPr="002968EC">
        <w:rPr>
          <w:rFonts w:asciiTheme="minorHAnsi" w:hAnsiTheme="minorHAnsi" w:cs="Arial"/>
          <w:color w:val="222222"/>
        </w:rPr>
        <w:t>ex-post регулација</w:t>
      </w:r>
      <w:r w:rsidRPr="002968EC">
        <w:rPr>
          <w:rFonts w:asciiTheme="minorHAnsi" w:hAnsiTheme="minorHAnsi" w:cs="Arial"/>
          <w:color w:val="222222"/>
          <w:lang w:val="mk-MK"/>
        </w:rPr>
        <w:t xml:space="preserve"> </w:t>
      </w:r>
      <w:r w:rsidR="00C248D5" w:rsidRPr="002968EC">
        <w:rPr>
          <w:rFonts w:asciiTheme="minorHAnsi" w:hAnsiTheme="minorHAnsi" w:cs="Arial"/>
          <w:color w:val="222222"/>
          <w:lang w:val="mk-MK"/>
        </w:rPr>
        <w:t>на конкретниот релевантен мало</w:t>
      </w:r>
      <w:r w:rsidRPr="002968EC">
        <w:rPr>
          <w:rFonts w:asciiTheme="minorHAnsi" w:hAnsiTheme="minorHAnsi" w:cs="Arial"/>
          <w:color w:val="222222"/>
          <w:lang w:val="mk-MK"/>
        </w:rPr>
        <w:t xml:space="preserve">продажен пазар би била доволна, при што се доаѓа до заклучок дека и третиот критериум за примена на </w:t>
      </w:r>
      <w:r w:rsidRPr="002968EC">
        <w:rPr>
          <w:rFonts w:asciiTheme="minorHAnsi" w:hAnsiTheme="minorHAnsi" w:cs="Arial"/>
          <w:color w:val="222222"/>
        </w:rPr>
        <w:t>ex-ante</w:t>
      </w:r>
      <w:r w:rsidRPr="002968EC">
        <w:rPr>
          <w:rFonts w:asciiTheme="minorHAnsi" w:hAnsiTheme="minorHAnsi" w:cs="Arial"/>
          <w:color w:val="222222"/>
          <w:lang w:val="mk-MK"/>
        </w:rPr>
        <w:t xml:space="preserve"> регулација не е исполнет.</w:t>
      </w:r>
    </w:p>
    <w:p w:rsidR="0096484A" w:rsidRDefault="0096484A" w:rsidP="00B441B9">
      <w:pPr>
        <w:rPr>
          <w:rFonts w:asciiTheme="minorHAnsi" w:hAnsiTheme="minorHAnsi" w:cs="Arial"/>
          <w:color w:val="222222"/>
          <w:lang w:val="mk-MK"/>
        </w:rPr>
      </w:pPr>
    </w:p>
    <w:p w:rsidR="0096484A" w:rsidRPr="002968EC" w:rsidRDefault="0096484A" w:rsidP="00B441B9">
      <w:pPr>
        <w:rPr>
          <w:rFonts w:asciiTheme="minorHAnsi" w:hAnsiTheme="minorHAnsi" w:cs="Arial"/>
          <w:color w:val="222222"/>
          <w:lang w:val="mk-MK"/>
        </w:rPr>
      </w:pPr>
    </w:p>
    <w:p w:rsidR="00B441B9" w:rsidRPr="0079552E" w:rsidRDefault="00673C48" w:rsidP="002B0410">
      <w:pPr>
        <w:numPr>
          <w:ilvl w:val="0"/>
          <w:numId w:val="38"/>
        </w:numPr>
        <w:rPr>
          <w:rFonts w:asciiTheme="minorHAnsi" w:hAnsiTheme="minorHAnsi" w:cs="Arial"/>
          <w:color w:val="222222"/>
        </w:rPr>
      </w:pPr>
      <w:r w:rsidRPr="002968EC">
        <w:rPr>
          <w:rFonts w:asciiTheme="minorHAnsi" w:hAnsiTheme="minorHAnsi" w:cs="Arial"/>
          <w:lang w:val="mk-MK"/>
        </w:rPr>
        <w:t>Заклучок за</w:t>
      </w:r>
      <w:r w:rsidR="00C248D5" w:rsidRPr="002968EC">
        <w:rPr>
          <w:rFonts w:asciiTheme="minorHAnsi" w:hAnsiTheme="minorHAnsi"/>
          <w:lang w:val="mk-MK"/>
        </w:rPr>
        <w:t xml:space="preserve"> </w:t>
      </w:r>
      <w:r w:rsidR="00C248D5" w:rsidRPr="0079552E">
        <w:rPr>
          <w:rFonts w:asciiTheme="minorHAnsi" w:hAnsiTheme="minorHAnsi" w:cs="Arial"/>
          <w:bCs/>
          <w:color w:val="222222"/>
          <w:lang w:val="mk-MK"/>
        </w:rPr>
        <w:t xml:space="preserve">Недоволност на Законот за </w:t>
      </w:r>
      <w:r w:rsidR="003727AA" w:rsidRPr="0079552E">
        <w:rPr>
          <w:rFonts w:asciiTheme="minorHAnsi" w:hAnsiTheme="minorHAnsi" w:cs="Arial"/>
          <w:bCs/>
          <w:color w:val="222222"/>
          <w:lang w:val="mk-MK"/>
        </w:rPr>
        <w:t xml:space="preserve">заштита на </w:t>
      </w:r>
      <w:r w:rsidR="00C248D5" w:rsidRPr="0079552E">
        <w:rPr>
          <w:rFonts w:asciiTheme="minorHAnsi" w:hAnsiTheme="minorHAnsi" w:cs="Arial"/>
          <w:bCs/>
          <w:color w:val="222222"/>
          <w:lang w:val="mk-MK"/>
        </w:rPr>
        <w:t>конкуренција ( во услови на непостоење на ех-анте регулација) за регулирање на релевантниот пазар</w:t>
      </w:r>
    </w:p>
    <w:p w:rsidR="009A0182" w:rsidRPr="002968EC" w:rsidRDefault="00673C48" w:rsidP="00FA3EF4">
      <w:pPr>
        <w:rPr>
          <w:rFonts w:asciiTheme="minorHAnsi" w:hAnsiTheme="minorHAnsi" w:cs="Arial"/>
          <w:color w:val="222222"/>
        </w:rPr>
      </w:pPr>
      <w:r w:rsidRPr="002968EC">
        <w:rPr>
          <w:rFonts w:asciiTheme="minorHAnsi" w:hAnsiTheme="minorHAnsi" w:cs="Arial"/>
          <w:lang w:val="mk-MK"/>
        </w:rPr>
        <w:t>Како што наведовме погоре во анализираниот трет критериум АЕК смета дека Законот за</w:t>
      </w:r>
      <w:r w:rsidR="003727AA" w:rsidRPr="002968EC">
        <w:rPr>
          <w:rFonts w:asciiTheme="minorHAnsi" w:hAnsiTheme="minorHAnsi" w:cs="Arial"/>
          <w:lang w:val="mk-MK"/>
        </w:rPr>
        <w:t xml:space="preserve"> заштита на</w:t>
      </w:r>
      <w:r w:rsidRPr="002968EC">
        <w:rPr>
          <w:rFonts w:asciiTheme="minorHAnsi" w:hAnsiTheme="minorHAnsi" w:cs="Arial"/>
          <w:lang w:val="mk-MK"/>
        </w:rPr>
        <w:t xml:space="preserve"> конкуренција или </w:t>
      </w:r>
      <w:r w:rsidRPr="002968EC">
        <w:rPr>
          <w:rFonts w:asciiTheme="minorHAnsi" w:hAnsiTheme="minorHAnsi" w:cs="Arial"/>
        </w:rPr>
        <w:t xml:space="preserve">ex-post </w:t>
      </w:r>
      <w:r w:rsidRPr="002968EC">
        <w:rPr>
          <w:rFonts w:asciiTheme="minorHAnsi" w:hAnsiTheme="minorHAnsi" w:cs="Arial"/>
          <w:lang w:val="mk-MK"/>
        </w:rPr>
        <w:t xml:space="preserve">регулацијата е доволна за ефективно и во кратка временска рамка отстранување на сите нарушувања на конкуренцијата кои би се појавиле на пазарот за пристап до јавна електронска комуникациска мрежа на фиксна локација. Исто така АЕК смета дека на релевантниот пазар не постои оператор кој има моќ да делува независно од останатите оператори и крајни корисници. </w:t>
      </w:r>
      <w:r w:rsidR="00FA3EF4" w:rsidRPr="002968EC">
        <w:rPr>
          <w:rFonts w:asciiTheme="minorHAnsi" w:hAnsiTheme="minorHAnsi" w:cs="Arial"/>
          <w:lang w:val="mk-MK"/>
        </w:rPr>
        <w:t>Од претходно кажаното АЕК заклучи</w:t>
      </w:r>
      <w:r w:rsidRPr="002968EC">
        <w:rPr>
          <w:rFonts w:asciiTheme="minorHAnsi" w:hAnsiTheme="minorHAnsi" w:cs="Arial"/>
          <w:lang w:val="mk-MK"/>
        </w:rPr>
        <w:t xml:space="preserve"> дека и третиот </w:t>
      </w:r>
      <w:r w:rsidR="00FA3EF4" w:rsidRPr="002968EC">
        <w:rPr>
          <w:rFonts w:asciiTheme="minorHAnsi" w:hAnsiTheme="minorHAnsi" w:cs="Arial"/>
          <w:color w:val="222222"/>
          <w:lang w:val="mk-MK"/>
        </w:rPr>
        <w:t xml:space="preserve">критериум за примена на </w:t>
      </w:r>
      <w:r w:rsidR="00FA3EF4" w:rsidRPr="002968EC">
        <w:rPr>
          <w:rFonts w:asciiTheme="minorHAnsi" w:hAnsiTheme="minorHAnsi" w:cs="Arial"/>
          <w:color w:val="222222"/>
        </w:rPr>
        <w:t>ex-ante</w:t>
      </w:r>
      <w:r w:rsidR="00FA3EF4" w:rsidRPr="002968EC">
        <w:rPr>
          <w:rFonts w:asciiTheme="minorHAnsi" w:hAnsiTheme="minorHAnsi" w:cs="Arial"/>
          <w:color w:val="222222"/>
          <w:lang w:val="mk-MK"/>
        </w:rPr>
        <w:t xml:space="preserve"> регулација не е исполнет.</w:t>
      </w:r>
    </w:p>
    <w:p w:rsidR="003727AA" w:rsidRPr="002968EC" w:rsidRDefault="003727AA" w:rsidP="00FA3EF4">
      <w:pPr>
        <w:rPr>
          <w:rFonts w:asciiTheme="minorHAnsi" w:hAnsiTheme="minorHAnsi" w:cs="Arial"/>
          <w:color w:val="222222"/>
          <w:lang w:val="mk-MK"/>
        </w:rPr>
      </w:pPr>
    </w:p>
    <w:p w:rsidR="003727AA" w:rsidRPr="006E317C" w:rsidRDefault="006E317C" w:rsidP="006E317C">
      <w:pPr>
        <w:pStyle w:val="Heading2"/>
        <w:rPr>
          <w:lang w:val="mk-MK"/>
        </w:rPr>
      </w:pPr>
      <w:bookmarkStart w:id="33" w:name="_Toc461617751"/>
      <w:r>
        <w:rPr>
          <w:lang w:val="mk-MK"/>
        </w:rPr>
        <w:t xml:space="preserve">9.4 </w:t>
      </w:r>
      <w:r w:rsidR="003727AA" w:rsidRPr="006E317C">
        <w:rPr>
          <w:lang w:val="mk-MK"/>
        </w:rPr>
        <w:t>Заклучок од примена на тестот на трите критериуми</w:t>
      </w:r>
      <w:bookmarkEnd w:id="33"/>
    </w:p>
    <w:p w:rsidR="003727AA" w:rsidRPr="002968EC" w:rsidRDefault="003727AA" w:rsidP="003727AA">
      <w:pPr>
        <w:rPr>
          <w:rFonts w:asciiTheme="minorHAnsi" w:hAnsiTheme="minorHAnsi" w:cs="Arial"/>
          <w:color w:val="222222"/>
          <w:lang w:val="mk-MK"/>
        </w:rPr>
      </w:pPr>
    </w:p>
    <w:p w:rsidR="003727AA" w:rsidRPr="002968EC" w:rsidRDefault="003727AA" w:rsidP="003727AA">
      <w:pPr>
        <w:rPr>
          <w:rFonts w:asciiTheme="minorHAnsi" w:hAnsiTheme="minorHAnsi" w:cs="Arial"/>
          <w:color w:val="222222"/>
          <w:lang w:val="mk-MK"/>
        </w:rPr>
      </w:pPr>
      <w:r w:rsidRPr="002968EC">
        <w:rPr>
          <w:rFonts w:asciiTheme="minorHAnsi" w:hAnsiTheme="minorHAnsi" w:cs="Arial"/>
          <w:color w:val="222222"/>
          <w:lang w:val="mk-MK"/>
        </w:rPr>
        <w:t xml:space="preserve">По примената на тестот на трите критериуми може да се дојде до заклучок дека пазарот за </w:t>
      </w:r>
      <w:r w:rsidR="009A0182" w:rsidRPr="002968EC">
        <w:rPr>
          <w:rFonts w:asciiTheme="minorHAnsi" w:hAnsiTheme="minorHAnsi" w:cs="Arial"/>
          <w:color w:val="222222"/>
          <w:lang w:val="mk-MK"/>
        </w:rPr>
        <w:t>пристап до јавна електронска комуникациска мрежа на фиксна локација</w:t>
      </w:r>
      <w:r w:rsidRPr="002968EC">
        <w:rPr>
          <w:rFonts w:asciiTheme="minorHAnsi" w:hAnsiTheme="minorHAnsi" w:cs="Arial"/>
          <w:color w:val="222222"/>
          <w:lang w:val="mk-MK"/>
        </w:rPr>
        <w:t xml:space="preserve"> кумулативно не ги задоволува трите применети критериуми:</w:t>
      </w:r>
    </w:p>
    <w:p w:rsidR="00032CF5" w:rsidRDefault="003727AA">
      <w:pPr>
        <w:numPr>
          <w:ilvl w:val="0"/>
          <w:numId w:val="16"/>
        </w:numPr>
        <w:rPr>
          <w:rFonts w:asciiTheme="minorHAnsi" w:hAnsiTheme="minorHAnsi" w:cs="Arial"/>
          <w:color w:val="222222"/>
          <w:lang w:val="mk-MK"/>
        </w:rPr>
      </w:pPr>
      <w:r w:rsidRPr="002968EC">
        <w:rPr>
          <w:rFonts w:asciiTheme="minorHAnsi" w:hAnsiTheme="minorHAnsi" w:cs="Arial"/>
          <w:color w:val="222222"/>
          <w:lang w:val="mk-MK"/>
        </w:rPr>
        <w:t>присуство на високи и постојани бариери за влез кои можат да бидат од структурна, правна или регулаторна природа,</w:t>
      </w:r>
    </w:p>
    <w:p w:rsidR="00032CF5" w:rsidRDefault="003727AA">
      <w:pPr>
        <w:numPr>
          <w:ilvl w:val="0"/>
          <w:numId w:val="16"/>
        </w:numPr>
        <w:rPr>
          <w:rFonts w:asciiTheme="minorHAnsi" w:hAnsiTheme="minorHAnsi" w:cs="Arial"/>
          <w:color w:val="222222"/>
          <w:lang w:val="mk-MK"/>
        </w:rPr>
      </w:pPr>
      <w:r w:rsidRPr="002968EC">
        <w:rPr>
          <w:rFonts w:asciiTheme="minorHAnsi" w:hAnsiTheme="minorHAnsi" w:cs="Arial"/>
          <w:color w:val="222222"/>
          <w:lang w:val="mk-MK"/>
        </w:rPr>
        <w:t>структура на пазар кој има тенденција кон неефективна конкуренција во рамките на релевантен временски период;</w:t>
      </w:r>
    </w:p>
    <w:p w:rsidR="00032CF5" w:rsidRDefault="003727AA">
      <w:pPr>
        <w:numPr>
          <w:ilvl w:val="0"/>
          <w:numId w:val="16"/>
        </w:numPr>
        <w:rPr>
          <w:rFonts w:asciiTheme="minorHAnsi" w:hAnsiTheme="minorHAnsi" w:cs="Arial"/>
          <w:color w:val="222222"/>
          <w:lang w:val="mk-MK"/>
        </w:rPr>
      </w:pPr>
      <w:r w:rsidRPr="002968EC">
        <w:rPr>
          <w:rFonts w:asciiTheme="minorHAnsi" w:hAnsiTheme="minorHAnsi" w:cs="Arial"/>
          <w:color w:val="222222"/>
          <w:lang w:val="mk-MK"/>
        </w:rPr>
        <w:t>Законот за заштита на конкуренцијата не е доволен сам да ги разреши проблемите на пазарот.</w:t>
      </w:r>
    </w:p>
    <w:p w:rsidR="003727AA" w:rsidRPr="002968EC" w:rsidRDefault="003727AA" w:rsidP="003727AA">
      <w:pPr>
        <w:rPr>
          <w:rFonts w:asciiTheme="minorHAnsi" w:hAnsiTheme="minorHAnsi" w:cs="Arial"/>
          <w:color w:val="222222"/>
          <w:lang w:val="mk-MK"/>
        </w:rPr>
      </w:pPr>
      <w:r w:rsidRPr="002968EC">
        <w:rPr>
          <w:rFonts w:asciiTheme="minorHAnsi" w:hAnsiTheme="minorHAnsi" w:cs="Arial"/>
          <w:color w:val="222222"/>
          <w:lang w:val="mk-MK"/>
        </w:rPr>
        <w:t>Според тоа овој пазар не е неопходно да биде подложен на претходна регулација односно потребно е отповикување на обврските за регулирање н</w:t>
      </w:r>
      <w:r w:rsidR="009A0182" w:rsidRPr="002968EC">
        <w:rPr>
          <w:rFonts w:asciiTheme="minorHAnsi" w:hAnsiTheme="minorHAnsi" w:cs="Arial"/>
          <w:color w:val="222222"/>
          <w:lang w:val="mk-MK"/>
        </w:rPr>
        <w:t>а овој релевантен малопродажен</w:t>
      </w:r>
      <w:r w:rsidRPr="002968EC">
        <w:rPr>
          <w:rFonts w:asciiTheme="minorHAnsi" w:hAnsiTheme="minorHAnsi" w:cs="Arial"/>
          <w:color w:val="222222"/>
          <w:lang w:val="mk-MK"/>
        </w:rPr>
        <w:t xml:space="preserve"> пазар.</w:t>
      </w:r>
    </w:p>
    <w:p w:rsidR="00602C27" w:rsidRPr="002968EC" w:rsidRDefault="00602C27" w:rsidP="00602C27">
      <w:pPr>
        <w:rPr>
          <w:rFonts w:asciiTheme="minorHAnsi" w:hAnsiTheme="minorHAnsi" w:cs="Arial"/>
          <w:color w:val="222222"/>
          <w:lang w:val="mk-MK"/>
        </w:rPr>
      </w:pPr>
      <w:r w:rsidRPr="002968EC">
        <w:rPr>
          <w:rFonts w:asciiTheme="minorHAnsi" w:hAnsiTheme="minorHAnsi" w:cs="Arial"/>
          <w:color w:val="222222"/>
          <w:lang w:val="mk-MK"/>
        </w:rPr>
        <w:t xml:space="preserve">Најважните критериуми кои АЕК ги анализираше при проценка на состојбата дали пазарот има потреба од </w:t>
      </w:r>
      <w:r w:rsidRPr="002968EC">
        <w:rPr>
          <w:rFonts w:asciiTheme="minorHAnsi" w:hAnsiTheme="minorHAnsi" w:cs="Arial"/>
          <w:color w:val="222222"/>
        </w:rPr>
        <w:t xml:space="preserve">ex-ante </w:t>
      </w:r>
      <w:r w:rsidRPr="002968EC">
        <w:rPr>
          <w:rFonts w:asciiTheme="minorHAnsi" w:hAnsiTheme="minorHAnsi" w:cs="Arial"/>
          <w:color w:val="222222"/>
          <w:lang w:val="mk-MK"/>
        </w:rPr>
        <w:t xml:space="preserve">регулација се: високи и постојани бариери за влез на пазарот, контрола на инфраструктура која неможе лесно да се дуплира, технолошки предности, економија на обем и економија на интеграција, високо развиена дистрибутивна и продажна мрежа, диверзификација на производи/услуги, пазарен удел на операторите, бариери за проширување, потенцијална конкуренција, недоволност на законот за заштита на конкуренција сам да ги реши проблемите на пазарот.  </w:t>
      </w:r>
    </w:p>
    <w:p w:rsidR="00602C27" w:rsidRPr="002968EC" w:rsidRDefault="00602C27" w:rsidP="00602C27">
      <w:pPr>
        <w:rPr>
          <w:rFonts w:asciiTheme="minorHAnsi" w:hAnsiTheme="minorHAnsi" w:cs="Arial"/>
          <w:color w:val="222222"/>
          <w:lang w:val="mk-MK"/>
        </w:rPr>
      </w:pPr>
      <w:r w:rsidRPr="002968EC">
        <w:rPr>
          <w:rFonts w:asciiTheme="minorHAnsi" w:hAnsiTheme="minorHAnsi" w:cs="Arial"/>
          <w:color w:val="222222"/>
          <w:lang w:val="mk-MK"/>
        </w:rPr>
        <w:t xml:space="preserve">Во горенаведените критериуми АЕК дојде до заклучок дека движењето на пазарниот удел на операторите е симетрично во текот на годините. Поточно пазарниот удел на МКТ операторот се намалува на сметка на симетричното зголемување на уделот на алтернативните оператори. Алтернативните оператори го зголемиле својот пазарен удел со помош на користењето на </w:t>
      </w:r>
      <w:r w:rsidRPr="002968EC">
        <w:rPr>
          <w:rFonts w:asciiTheme="minorHAnsi" w:hAnsiTheme="minorHAnsi" w:cs="Arial"/>
          <w:color w:val="222222"/>
          <w:lang w:val="mk-MK"/>
        </w:rPr>
        <w:lastRenderedPageBreak/>
        <w:t>големорподажните услуги понудени од СМП операторот како и со изградба и проширување на своите независни сопствени мрежи.</w:t>
      </w:r>
    </w:p>
    <w:p w:rsidR="00602C27" w:rsidRPr="002968EC" w:rsidRDefault="00602C27" w:rsidP="00602C27">
      <w:pPr>
        <w:rPr>
          <w:rFonts w:asciiTheme="minorHAnsi" w:hAnsiTheme="minorHAnsi" w:cs="Arial"/>
          <w:color w:val="222222"/>
          <w:lang w:val="mk-MK"/>
        </w:rPr>
      </w:pPr>
      <w:r w:rsidRPr="002968EC">
        <w:rPr>
          <w:rFonts w:asciiTheme="minorHAnsi" w:hAnsiTheme="minorHAnsi" w:cs="Arial"/>
          <w:color w:val="222222"/>
          <w:lang w:val="mk-MK"/>
        </w:rPr>
        <w:t>АЕК исто така ја образложи и се поголемата инвестиција и изградба на нови конкуретни мрежи и инфраструктури од страна на алтернативните оператори.</w:t>
      </w:r>
    </w:p>
    <w:p w:rsidR="00602C27" w:rsidRPr="002968EC" w:rsidRDefault="00602C27" w:rsidP="00602C27">
      <w:pPr>
        <w:rPr>
          <w:rFonts w:asciiTheme="minorHAnsi" w:hAnsiTheme="minorHAnsi" w:cs="Arial"/>
          <w:color w:val="222222"/>
          <w:lang w:val="mk-MK"/>
        </w:rPr>
      </w:pPr>
      <w:r w:rsidRPr="002968EC">
        <w:rPr>
          <w:rFonts w:asciiTheme="minorHAnsi" w:hAnsiTheme="minorHAnsi" w:cs="Arial"/>
          <w:color w:val="222222"/>
          <w:lang w:val="mk-MK"/>
        </w:rPr>
        <w:t xml:space="preserve">Во критериумите беше детално анализирано и се поголемото користење на пакетираните услуги претежно базирани на бродбенд пристапот кои што ја зголемуваат конкуренцијата на релевантниот пазар. </w:t>
      </w:r>
    </w:p>
    <w:p w:rsidR="00602C27" w:rsidRPr="002968EC" w:rsidRDefault="00602C27" w:rsidP="003727AA">
      <w:pPr>
        <w:rPr>
          <w:rFonts w:asciiTheme="minorHAnsi" w:hAnsiTheme="minorHAnsi" w:cs="Arial"/>
          <w:color w:val="222222"/>
          <w:lang w:val="mk-MK"/>
        </w:rPr>
      </w:pPr>
      <w:r w:rsidRPr="002968EC">
        <w:rPr>
          <w:rFonts w:asciiTheme="minorHAnsi" w:hAnsiTheme="minorHAnsi" w:cs="Arial"/>
          <w:color w:val="222222"/>
          <w:lang w:val="mk-MK"/>
        </w:rPr>
        <w:t xml:space="preserve">Во согласност со горекажаното АЕК заклучи дека сите критериуми кои што беа анализирани при изработка на три критериум тестот се од особено значење во проценката на движењето на пазарот кон ефективна конкуренција и јасно докажаа дека понатамошната </w:t>
      </w:r>
      <w:r w:rsidRPr="002968EC">
        <w:rPr>
          <w:rFonts w:asciiTheme="minorHAnsi" w:hAnsiTheme="minorHAnsi" w:cs="Arial"/>
          <w:color w:val="222222"/>
        </w:rPr>
        <w:t xml:space="preserve">ex-ante </w:t>
      </w:r>
      <w:r w:rsidRPr="002968EC">
        <w:rPr>
          <w:rFonts w:asciiTheme="minorHAnsi" w:hAnsiTheme="minorHAnsi" w:cs="Arial"/>
          <w:color w:val="222222"/>
          <w:lang w:val="mk-MK"/>
        </w:rPr>
        <w:t xml:space="preserve">регулација на релевантниот пазар не е потребна.     </w:t>
      </w:r>
    </w:p>
    <w:p w:rsidR="003727AA" w:rsidRPr="002968EC" w:rsidRDefault="003727AA" w:rsidP="003727AA">
      <w:pPr>
        <w:rPr>
          <w:rFonts w:asciiTheme="minorHAnsi" w:hAnsiTheme="minorHAnsi" w:cs="Arial"/>
          <w:color w:val="222222"/>
          <w:lang w:val="mk-MK"/>
        </w:rPr>
      </w:pPr>
      <w:r w:rsidRPr="002968EC">
        <w:rPr>
          <w:rFonts w:asciiTheme="minorHAnsi" w:hAnsiTheme="minorHAnsi" w:cs="Arial"/>
          <w:color w:val="222222"/>
          <w:lang w:val="mk-MK"/>
        </w:rPr>
        <w:t xml:space="preserve">Согласно членот 82 ставот 3 од ЗЕК – доколку Агенцијата  врз основа на анализа на релевантен пазар утврди дека пазарот е ефективно конкурентен, нема да определи ниту еден оператор како оператор со значителна пазарна моќ согласно со членот 76 став 1 и 2 од ЗЕК. Доколку пазарот не бил конкурентен претходно (како што е случајот со овој релевантен пазар за </w:t>
      </w:r>
      <w:r w:rsidR="009A0182" w:rsidRPr="002968EC">
        <w:rPr>
          <w:rFonts w:asciiTheme="minorHAnsi" w:hAnsiTheme="minorHAnsi" w:cs="Arial"/>
          <w:color w:val="222222"/>
          <w:lang w:val="mk-MK"/>
        </w:rPr>
        <w:t>пристап до јавна електронска комуникациска мрежа на фиксна локација</w:t>
      </w:r>
      <w:r w:rsidRPr="002968EC">
        <w:rPr>
          <w:rFonts w:asciiTheme="minorHAnsi" w:hAnsiTheme="minorHAnsi" w:cs="Arial"/>
          <w:color w:val="222222"/>
          <w:lang w:val="mk-MK"/>
        </w:rPr>
        <w:t>), Агенцијата е должна да ги отповика сите одлуки за определување на оператори со значителна пазарна моќ на тој пазар.</w:t>
      </w:r>
    </w:p>
    <w:p w:rsidR="003727AA" w:rsidRDefault="003727AA" w:rsidP="003727AA">
      <w:pPr>
        <w:rPr>
          <w:rFonts w:asciiTheme="minorHAnsi" w:hAnsiTheme="minorHAnsi" w:cs="Arial"/>
          <w:color w:val="222222"/>
          <w:lang w:val="mk-MK"/>
        </w:rPr>
      </w:pPr>
      <w:r w:rsidRPr="002968EC">
        <w:rPr>
          <w:rFonts w:asciiTheme="minorHAnsi" w:hAnsiTheme="minorHAnsi" w:cs="Arial"/>
          <w:color w:val="222222"/>
          <w:lang w:val="mk-MK"/>
        </w:rPr>
        <w:t>Согласно членот 82 ставот 4 од ЗЕК, при отповикување на обврските од ставот 3 на истиот член, Агенцијата ги ослободува и од обврските кои ги имале како оператори со знач</w:t>
      </w:r>
      <w:r w:rsidR="00602C27" w:rsidRPr="002968EC">
        <w:rPr>
          <w:rFonts w:asciiTheme="minorHAnsi" w:hAnsiTheme="minorHAnsi" w:cs="Arial"/>
          <w:color w:val="222222"/>
          <w:lang w:val="mk-MK"/>
        </w:rPr>
        <w:t>ителна пазарна моќ согласно ЗЕК</w:t>
      </w:r>
      <w:r w:rsidRPr="002968EC">
        <w:rPr>
          <w:rFonts w:asciiTheme="minorHAnsi" w:hAnsiTheme="minorHAnsi" w:cs="Arial"/>
          <w:color w:val="222222"/>
          <w:lang w:val="mk-MK"/>
        </w:rPr>
        <w:t>.</w:t>
      </w:r>
    </w:p>
    <w:p w:rsidR="0096484A" w:rsidRPr="002968EC" w:rsidRDefault="0096484A" w:rsidP="003727AA">
      <w:pPr>
        <w:rPr>
          <w:rFonts w:asciiTheme="minorHAnsi" w:hAnsiTheme="minorHAnsi" w:cs="Arial"/>
          <w:color w:val="222222"/>
          <w:lang w:val="mk-MK"/>
        </w:rPr>
      </w:pPr>
    </w:p>
    <w:p w:rsidR="00585DA1" w:rsidRPr="006E317C" w:rsidRDefault="006E317C" w:rsidP="0096484A">
      <w:pPr>
        <w:pStyle w:val="Heading1"/>
        <w:rPr>
          <w:rFonts w:asciiTheme="minorHAnsi" w:hAnsiTheme="minorHAnsi"/>
          <w:lang w:val="mk-MK"/>
        </w:rPr>
      </w:pPr>
      <w:bookmarkStart w:id="34" w:name="_Toc461617752"/>
      <w:r w:rsidRPr="000E4710">
        <w:rPr>
          <w:rFonts w:asciiTheme="minorHAnsi" w:hAnsiTheme="minorHAnsi"/>
          <w:lang w:val="mk-MK"/>
        </w:rPr>
        <w:t>10</w:t>
      </w:r>
      <w:r>
        <w:rPr>
          <w:lang w:val="mk-MK"/>
        </w:rPr>
        <w:t xml:space="preserve">. </w:t>
      </w:r>
      <w:r w:rsidR="00585DA1" w:rsidRPr="006E317C">
        <w:rPr>
          <w:rFonts w:asciiTheme="minorHAnsi" w:hAnsiTheme="minorHAnsi"/>
          <w:lang w:val="mk-MK"/>
        </w:rPr>
        <w:t>Отповикување на об</w:t>
      </w:r>
      <w:r w:rsidR="0096484A">
        <w:rPr>
          <w:rFonts w:asciiTheme="minorHAnsi" w:hAnsiTheme="minorHAnsi"/>
          <w:lang w:val="mk-MK"/>
        </w:rPr>
        <w:t xml:space="preserve">врски на оператор со значителна </w:t>
      </w:r>
      <w:r w:rsidR="00585DA1" w:rsidRPr="006E317C">
        <w:rPr>
          <w:rFonts w:asciiTheme="minorHAnsi" w:hAnsiTheme="minorHAnsi"/>
          <w:lang w:val="mk-MK"/>
        </w:rPr>
        <w:t>пазарна моќ – малопро</w:t>
      </w:r>
      <w:r w:rsidR="0096484A">
        <w:rPr>
          <w:rFonts w:asciiTheme="minorHAnsi" w:hAnsiTheme="minorHAnsi"/>
          <w:lang w:val="mk-MK"/>
        </w:rPr>
        <w:t xml:space="preserve">дажен пазар за пристап до јавна </w:t>
      </w:r>
      <w:r w:rsidR="00585DA1" w:rsidRPr="006E317C">
        <w:rPr>
          <w:rFonts w:asciiTheme="minorHAnsi" w:hAnsiTheme="minorHAnsi"/>
          <w:lang w:val="mk-MK"/>
        </w:rPr>
        <w:t>електронска комуникациска мрежа на фиксна локација</w:t>
      </w:r>
      <w:bookmarkEnd w:id="34"/>
    </w:p>
    <w:p w:rsidR="00585DA1" w:rsidRPr="002968EC" w:rsidRDefault="00585DA1" w:rsidP="00585DA1">
      <w:pPr>
        <w:rPr>
          <w:rFonts w:asciiTheme="minorHAnsi" w:hAnsiTheme="minorHAnsi" w:cs="Arial"/>
          <w:color w:val="222222"/>
          <w:lang w:val="mk-MK"/>
        </w:rPr>
      </w:pPr>
    </w:p>
    <w:p w:rsidR="00585DA1" w:rsidRPr="0096484A" w:rsidRDefault="00585DA1" w:rsidP="00585DA1">
      <w:pPr>
        <w:rPr>
          <w:rFonts w:asciiTheme="minorHAnsi" w:hAnsiTheme="minorHAnsi" w:cs="Arial"/>
          <w:b/>
          <w:bCs/>
          <w:color w:val="222222"/>
          <w:lang w:val="mk-MK"/>
        </w:rPr>
      </w:pPr>
      <w:r w:rsidRPr="002968EC">
        <w:rPr>
          <w:rFonts w:asciiTheme="minorHAnsi" w:hAnsiTheme="minorHAnsi" w:cs="Arial"/>
          <w:color w:val="222222"/>
          <w:lang w:val="mk-MK"/>
        </w:rPr>
        <w:t xml:space="preserve">Врз основа на спроведениот три критериум тест на релевантниот </w:t>
      </w:r>
      <w:r w:rsidR="00673C48" w:rsidRPr="002968EC">
        <w:rPr>
          <w:rFonts w:asciiTheme="minorHAnsi" w:hAnsiTheme="minorHAnsi" w:cs="Arial"/>
          <w:bCs/>
          <w:color w:val="222222"/>
          <w:lang w:val="mk-MK"/>
        </w:rPr>
        <w:t>малопродажен пазар за пристап до јавна електронска комуникациска мрежа на фиксна локација</w:t>
      </w:r>
      <w:r w:rsidRPr="002968EC">
        <w:rPr>
          <w:rFonts w:asciiTheme="minorHAnsi" w:hAnsiTheme="minorHAnsi" w:cs="Arial"/>
          <w:b/>
          <w:bCs/>
          <w:color w:val="222222"/>
          <w:lang w:val="mk-MK"/>
        </w:rPr>
        <w:t>,</w:t>
      </w:r>
      <w:r w:rsidRPr="002968EC">
        <w:rPr>
          <w:rFonts w:asciiTheme="minorHAnsi" w:hAnsiTheme="minorHAnsi" w:cs="Arial"/>
          <w:color w:val="222222"/>
          <w:lang w:val="mk-MK"/>
        </w:rPr>
        <w:t xml:space="preserve"> спроведен во согласност со член 80 став 2 од Законот за електронските комуникации, АЕК констатира дека неопходниот услов сите три критериуми да се исполнети не е остварен. Според тоа може да се констатира дека тој пазар повеќе не е подложен на претходна </w:t>
      </w:r>
      <w:r w:rsidRPr="002968EC">
        <w:rPr>
          <w:rFonts w:asciiTheme="minorHAnsi" w:hAnsiTheme="minorHAnsi" w:cs="Arial"/>
          <w:color w:val="222222"/>
        </w:rPr>
        <w:t xml:space="preserve">“ex ante” </w:t>
      </w:r>
      <w:r w:rsidRPr="002968EC">
        <w:rPr>
          <w:rFonts w:asciiTheme="minorHAnsi" w:hAnsiTheme="minorHAnsi" w:cs="Arial"/>
          <w:color w:val="222222"/>
          <w:lang w:val="mk-MK"/>
        </w:rPr>
        <w:t xml:space="preserve">регулација со што обврските кои со претходна анализа на операторот со значителна пазарна моќ Македонски Телеком АД Скопје се наметнати со Решение бр. 1302-1454 од 30.12.2014 год, врз основа на заклучоците образложени во овој документ, ќе бидат отповикани. </w:t>
      </w:r>
    </w:p>
    <w:p w:rsidR="00585DA1" w:rsidRPr="002968EC" w:rsidRDefault="00585DA1" w:rsidP="00585DA1">
      <w:pPr>
        <w:rPr>
          <w:rFonts w:asciiTheme="minorHAnsi" w:hAnsiTheme="minorHAnsi" w:cs="Arial"/>
          <w:color w:val="222222"/>
          <w:lang w:val="mk-MK"/>
        </w:rPr>
      </w:pPr>
      <w:r w:rsidRPr="002968EC">
        <w:rPr>
          <w:rFonts w:asciiTheme="minorHAnsi" w:hAnsiTheme="minorHAnsi" w:cs="Arial"/>
          <w:color w:val="222222"/>
          <w:lang w:val="mk-MK"/>
        </w:rPr>
        <w:t>Имено, А</w:t>
      </w:r>
      <w:r w:rsidR="00C07A4A" w:rsidRPr="002968EC">
        <w:rPr>
          <w:rFonts w:asciiTheme="minorHAnsi" w:hAnsiTheme="minorHAnsi" w:cs="Arial"/>
          <w:color w:val="222222"/>
          <w:lang w:val="mk-MK"/>
        </w:rPr>
        <w:t>ЕК заклучи дека малопродажниот</w:t>
      </w:r>
      <w:r w:rsidRPr="002968EC">
        <w:rPr>
          <w:rFonts w:asciiTheme="minorHAnsi" w:hAnsiTheme="minorHAnsi" w:cs="Arial"/>
          <w:color w:val="222222"/>
          <w:lang w:val="mk-MK"/>
        </w:rPr>
        <w:t xml:space="preserve"> пазар за </w:t>
      </w:r>
      <w:r w:rsidR="00C07A4A" w:rsidRPr="002968EC">
        <w:rPr>
          <w:rFonts w:asciiTheme="minorHAnsi" w:hAnsiTheme="minorHAnsi" w:cs="Arial"/>
          <w:bCs/>
          <w:color w:val="222222"/>
          <w:lang w:val="mk-MK"/>
        </w:rPr>
        <w:t>пристап до јавна електронска комуникациска мрежа на фиксна локација</w:t>
      </w:r>
      <w:r w:rsidRPr="002968EC">
        <w:rPr>
          <w:rFonts w:asciiTheme="minorHAnsi" w:hAnsiTheme="minorHAnsi" w:cs="Arial"/>
          <w:color w:val="222222"/>
          <w:lang w:val="mk-MK"/>
        </w:rPr>
        <w:t xml:space="preserve">, дефиниран во Одлуката за утврдување на релевантни пазари што се подложни на претходна регулација бр.02-5015/1 од 23.09.2010 </w:t>
      </w:r>
      <w:r w:rsidRPr="002968EC">
        <w:rPr>
          <w:rFonts w:asciiTheme="minorHAnsi" w:hAnsiTheme="minorHAnsi" w:cs="Arial"/>
          <w:color w:val="222222"/>
          <w:lang w:val="mk-MK"/>
        </w:rPr>
        <w:lastRenderedPageBreak/>
        <w:t>година, 02-2010/2 од 15.04.2011 година и 0307-1276/2 од 07.0</w:t>
      </w:r>
      <w:r w:rsidR="00C07A4A" w:rsidRPr="002968EC">
        <w:rPr>
          <w:rFonts w:asciiTheme="minorHAnsi" w:hAnsiTheme="minorHAnsi" w:cs="Arial"/>
          <w:color w:val="222222"/>
          <w:lang w:val="mk-MK"/>
        </w:rPr>
        <w:t>5.2014 година во член 3 точка 1</w:t>
      </w:r>
      <w:r w:rsidRPr="002968EC">
        <w:rPr>
          <w:rFonts w:asciiTheme="minorHAnsi" w:hAnsiTheme="minorHAnsi" w:cs="Arial"/>
          <w:color w:val="222222"/>
          <w:lang w:val="mk-MK"/>
        </w:rPr>
        <w:t xml:space="preserve">. </w:t>
      </w:r>
      <w:r w:rsidR="00C07A4A" w:rsidRPr="002968EC">
        <w:rPr>
          <w:rFonts w:asciiTheme="minorHAnsi" w:hAnsiTheme="minorHAnsi" w:cs="Arial"/>
          <w:bCs/>
          <w:color w:val="222222"/>
          <w:lang w:val="mk-MK"/>
        </w:rPr>
        <w:t>Пристап до јавна електронска комуникациска мрежа на фиксна локација</w:t>
      </w:r>
      <w:r w:rsidRPr="002968EC">
        <w:rPr>
          <w:rFonts w:asciiTheme="minorHAnsi" w:hAnsiTheme="minorHAnsi" w:cs="Arial"/>
          <w:color w:val="222222"/>
          <w:lang w:val="mk-MK"/>
        </w:rPr>
        <w:t xml:space="preserve"> е ефикасно конкурентен. Врз основа на тоа, во согласност со член 82 став 3 од Законот за електронските комуникации АЕК ја отповикува Одлуката за определување на оператор со значителна пазарна моќ, доставена на Македонски Телеком АД</w:t>
      </w:r>
      <w:r w:rsidR="00C07A4A" w:rsidRPr="002968EC">
        <w:rPr>
          <w:rFonts w:asciiTheme="minorHAnsi" w:hAnsiTheme="minorHAnsi" w:cs="Arial"/>
          <w:color w:val="222222"/>
          <w:lang w:val="mk-MK"/>
        </w:rPr>
        <w:t xml:space="preserve"> Скопје со Решение бр. 1302-1454 од 30.12.2014</w:t>
      </w:r>
      <w:r w:rsidRPr="002968EC">
        <w:rPr>
          <w:rFonts w:asciiTheme="minorHAnsi" w:hAnsiTheme="minorHAnsi" w:cs="Arial"/>
          <w:color w:val="222222"/>
          <w:lang w:val="mk-MK"/>
        </w:rPr>
        <w:t xml:space="preserve"> година.</w:t>
      </w:r>
    </w:p>
    <w:p w:rsidR="00585DA1" w:rsidRPr="002968EC" w:rsidRDefault="00585DA1" w:rsidP="00585DA1">
      <w:pPr>
        <w:rPr>
          <w:rFonts w:asciiTheme="minorHAnsi" w:hAnsiTheme="minorHAnsi" w:cs="Arial"/>
          <w:color w:val="222222"/>
          <w:lang w:val="mk-MK"/>
        </w:rPr>
      </w:pPr>
      <w:r w:rsidRPr="002968EC">
        <w:rPr>
          <w:rFonts w:asciiTheme="minorHAnsi" w:hAnsiTheme="minorHAnsi" w:cs="Arial"/>
          <w:color w:val="222222"/>
          <w:lang w:val="mk-MK"/>
        </w:rPr>
        <w:t>Дополнително, АЕК во согласност со член 82 став 4 од Законот за електронските комуникации го ослободува Македонски Телеком</w:t>
      </w:r>
      <w:r w:rsidR="00007C60">
        <w:rPr>
          <w:rFonts w:asciiTheme="minorHAnsi" w:hAnsiTheme="minorHAnsi" w:cs="Arial"/>
          <w:color w:val="222222"/>
          <w:lang w:val="mk-MK"/>
        </w:rPr>
        <w:t xml:space="preserve"> АД</w:t>
      </w:r>
      <w:r w:rsidRPr="002968EC">
        <w:rPr>
          <w:rFonts w:asciiTheme="minorHAnsi" w:hAnsiTheme="minorHAnsi" w:cs="Arial"/>
          <w:color w:val="222222"/>
          <w:lang w:val="mk-MK"/>
        </w:rPr>
        <w:t xml:space="preserve"> од о</w:t>
      </w:r>
      <w:r w:rsidR="00007C60">
        <w:rPr>
          <w:rFonts w:asciiTheme="minorHAnsi" w:hAnsiTheme="minorHAnsi" w:cs="Arial"/>
          <w:color w:val="222222"/>
          <w:lang w:val="mk-MK"/>
        </w:rPr>
        <w:t>бврските кои ги имаше</w:t>
      </w:r>
      <w:r w:rsidRPr="002968EC">
        <w:rPr>
          <w:rFonts w:asciiTheme="minorHAnsi" w:hAnsiTheme="minorHAnsi" w:cs="Arial"/>
          <w:color w:val="222222"/>
          <w:lang w:val="mk-MK"/>
        </w:rPr>
        <w:t xml:space="preserve"> како оператор со значителна пазарна моќ, на</w:t>
      </w:r>
      <w:r w:rsidR="00C07A4A" w:rsidRPr="002968EC">
        <w:rPr>
          <w:rFonts w:asciiTheme="minorHAnsi" w:hAnsiTheme="minorHAnsi" w:cs="Arial"/>
          <w:color w:val="222222"/>
          <w:lang w:val="mk-MK"/>
        </w:rPr>
        <w:t>метнати со Решение бр. 1302-1454 од 30.12.2014</w:t>
      </w:r>
      <w:r w:rsidRPr="002968EC">
        <w:rPr>
          <w:rFonts w:asciiTheme="minorHAnsi" w:hAnsiTheme="minorHAnsi" w:cs="Arial"/>
          <w:color w:val="222222"/>
          <w:lang w:val="mk-MK"/>
        </w:rPr>
        <w:t xml:space="preserve"> година. </w:t>
      </w:r>
    </w:p>
    <w:p w:rsidR="004E42AB" w:rsidRDefault="004E42AB" w:rsidP="00585DA1">
      <w:pPr>
        <w:rPr>
          <w:rFonts w:asciiTheme="minorHAnsi" w:hAnsiTheme="minorHAnsi" w:cs="Arial"/>
          <w:b/>
          <w:color w:val="222222"/>
          <w:lang w:val="mk-MK"/>
        </w:rPr>
      </w:pPr>
    </w:p>
    <w:p w:rsidR="00337EEE" w:rsidRDefault="001513F7" w:rsidP="00585DA1">
      <w:pPr>
        <w:rPr>
          <w:rFonts w:asciiTheme="minorHAnsi" w:hAnsiTheme="minorHAnsi" w:cs="Arial"/>
          <w:b/>
          <w:color w:val="222222"/>
          <w:lang w:val="mk-MK"/>
        </w:rPr>
      </w:pPr>
      <w:r>
        <w:rPr>
          <w:rFonts w:asciiTheme="minorHAnsi" w:hAnsiTheme="minorHAnsi" w:cs="Arial"/>
          <w:b/>
          <w:color w:val="222222"/>
          <w:lang w:val="mk-MK"/>
        </w:rPr>
        <w:t>Предлог Одлука за отповикување</w:t>
      </w:r>
      <w:r w:rsidR="004E42AB" w:rsidRPr="004E42AB">
        <w:rPr>
          <w:rFonts w:asciiTheme="minorHAnsi" w:hAnsiTheme="minorHAnsi" w:cs="Arial"/>
          <w:b/>
          <w:color w:val="222222"/>
          <w:lang w:val="mk-MK"/>
        </w:rPr>
        <w:t xml:space="preserve"> на оператор со значителна пазарна моќ и </w:t>
      </w:r>
      <w:r>
        <w:rPr>
          <w:rFonts w:asciiTheme="minorHAnsi" w:hAnsiTheme="minorHAnsi" w:cs="Arial"/>
          <w:b/>
          <w:color w:val="222222"/>
          <w:lang w:val="mk-MK"/>
        </w:rPr>
        <w:t>отповикување</w:t>
      </w:r>
      <w:r w:rsidR="004E42AB" w:rsidRPr="004E42AB">
        <w:rPr>
          <w:rFonts w:asciiTheme="minorHAnsi" w:hAnsiTheme="minorHAnsi" w:cs="Arial"/>
          <w:b/>
          <w:color w:val="222222"/>
          <w:lang w:val="mk-MK"/>
        </w:rPr>
        <w:t xml:space="preserve"> на регулаторни обврски:</w:t>
      </w:r>
    </w:p>
    <w:p w:rsidR="001513F7" w:rsidRPr="002968EC" w:rsidRDefault="001513F7" w:rsidP="00585DA1">
      <w:pPr>
        <w:rPr>
          <w:rFonts w:asciiTheme="minorHAnsi" w:hAnsiTheme="minorHAnsi" w:cs="Arial"/>
          <w:color w:val="222222"/>
        </w:rPr>
      </w:pPr>
    </w:p>
    <w:p w:rsidR="004E42AB" w:rsidRPr="004E42AB" w:rsidRDefault="004E42AB" w:rsidP="004E42AB">
      <w:pPr>
        <w:spacing w:after="0" w:line="240" w:lineRule="auto"/>
        <w:rPr>
          <w:rFonts w:asciiTheme="minorHAnsi" w:hAnsiTheme="minorHAnsi"/>
          <w:lang w:val="mk-MK"/>
        </w:rPr>
      </w:pPr>
      <w:r w:rsidRPr="004E42AB">
        <w:rPr>
          <w:rFonts w:asciiTheme="minorHAnsi" w:hAnsiTheme="minorHAnsi"/>
          <w:lang w:val="mk-MK"/>
        </w:rPr>
        <w:t xml:space="preserve">Врз основа на член 24 став (1) алинеа </w:t>
      </w:r>
      <w:r w:rsidRPr="004E42AB">
        <w:rPr>
          <w:rFonts w:asciiTheme="minorHAnsi" w:hAnsiTheme="minorHAnsi"/>
          <w:lang w:val="en-GB"/>
        </w:rPr>
        <w:t>(</w:t>
      </w:r>
      <w:r w:rsidRPr="004E42AB">
        <w:rPr>
          <w:rFonts w:asciiTheme="minorHAnsi" w:hAnsiTheme="minorHAnsi"/>
          <w:lang w:val="mk-MK"/>
        </w:rPr>
        <w:t>5</w:t>
      </w:r>
      <w:r w:rsidRPr="004E42AB">
        <w:rPr>
          <w:rFonts w:asciiTheme="minorHAnsi" w:hAnsiTheme="minorHAnsi"/>
          <w:lang w:val="en-GB"/>
        </w:rPr>
        <w:t>)</w:t>
      </w:r>
      <w:r w:rsidRPr="004E42AB">
        <w:rPr>
          <w:rFonts w:asciiTheme="minorHAnsi" w:hAnsiTheme="minorHAnsi"/>
          <w:lang w:val="mk-MK"/>
        </w:rPr>
        <w:t xml:space="preserve">, а во врска со членовите 79, 80, 81 и членот 82 ставови (3) и (4) од Законот за електронски комуникации </w:t>
      </w:r>
      <w:r w:rsidRPr="004E42AB">
        <w:rPr>
          <w:rFonts w:asciiTheme="minorHAnsi" w:hAnsiTheme="minorHAnsi"/>
          <w:lang w:val="ru-RU"/>
        </w:rPr>
        <w:t>(</w:t>
      </w:r>
      <w:r w:rsidRPr="004E42AB">
        <w:rPr>
          <w:rFonts w:asciiTheme="minorHAnsi" w:hAnsiTheme="minorHAnsi"/>
          <w:lang w:val="mk-MK"/>
        </w:rPr>
        <w:t>Службен Весник на Република Македонија број 39/2014, 188/2014, 44/2015 и 193/2015</w:t>
      </w:r>
      <w:r w:rsidRPr="004E42AB">
        <w:rPr>
          <w:rFonts w:asciiTheme="minorHAnsi" w:hAnsiTheme="minorHAnsi"/>
          <w:lang w:val="ru-RU"/>
        </w:rPr>
        <w:t>)</w:t>
      </w:r>
      <w:r w:rsidRPr="004E42AB">
        <w:rPr>
          <w:rFonts w:asciiTheme="minorHAnsi" w:hAnsiTheme="minorHAnsi"/>
          <w:lang w:val="mk-MK"/>
        </w:rPr>
        <w:t>, во постапката за преиспитување на утврден релевантен пазар на производи и услуги и определување на оператор со значителна пазарна моќ на определен релевантен пазар, директорот на Агенцијата за електронски комуникации на ден __.__.2016 го донесе следното</w:t>
      </w:r>
    </w:p>
    <w:p w:rsidR="004E42AB" w:rsidRPr="004E42AB" w:rsidRDefault="004E42AB" w:rsidP="004E42AB">
      <w:pPr>
        <w:spacing w:after="0" w:line="240" w:lineRule="auto"/>
        <w:rPr>
          <w:rFonts w:asciiTheme="minorHAnsi" w:hAnsiTheme="minorHAnsi"/>
          <w:lang w:val="mk-MK"/>
        </w:rPr>
      </w:pPr>
    </w:p>
    <w:p w:rsidR="004E42AB" w:rsidRPr="004E42AB" w:rsidRDefault="004E42AB" w:rsidP="004E42AB">
      <w:pPr>
        <w:spacing w:after="0" w:line="240" w:lineRule="auto"/>
        <w:rPr>
          <w:rFonts w:asciiTheme="minorHAnsi" w:hAnsiTheme="minorHAnsi"/>
          <w:lang w:val="mk-MK"/>
        </w:rPr>
      </w:pPr>
    </w:p>
    <w:p w:rsidR="004E42AB" w:rsidRPr="004E42AB" w:rsidRDefault="004E42AB" w:rsidP="004E42AB">
      <w:pPr>
        <w:spacing w:after="0" w:line="240" w:lineRule="auto"/>
        <w:jc w:val="center"/>
        <w:rPr>
          <w:rFonts w:asciiTheme="minorHAnsi" w:hAnsiTheme="minorHAnsi"/>
          <w:lang w:val="mk-MK"/>
        </w:rPr>
      </w:pPr>
      <w:r w:rsidRPr="004E42AB">
        <w:rPr>
          <w:rFonts w:asciiTheme="minorHAnsi" w:hAnsiTheme="minorHAnsi"/>
          <w:lang w:val="mk-MK"/>
        </w:rPr>
        <w:t>О Д Л У К А</w:t>
      </w:r>
    </w:p>
    <w:p w:rsidR="004E42AB" w:rsidRPr="004E42AB" w:rsidRDefault="004E42AB" w:rsidP="004E42AB">
      <w:pPr>
        <w:spacing w:after="0" w:line="240" w:lineRule="auto"/>
        <w:jc w:val="center"/>
        <w:rPr>
          <w:rFonts w:asciiTheme="minorHAnsi" w:hAnsiTheme="minorHAnsi"/>
          <w:lang w:val="mk-MK"/>
        </w:rPr>
      </w:pPr>
    </w:p>
    <w:p w:rsidR="004E42AB" w:rsidRPr="004E42AB" w:rsidRDefault="004E42AB" w:rsidP="004E42AB">
      <w:pPr>
        <w:spacing w:after="0" w:line="240" w:lineRule="auto"/>
        <w:jc w:val="center"/>
        <w:rPr>
          <w:rFonts w:asciiTheme="minorHAnsi" w:hAnsiTheme="minorHAnsi"/>
          <w:lang w:val="mk-MK"/>
        </w:rPr>
      </w:pPr>
      <w:r w:rsidRPr="004E42AB">
        <w:rPr>
          <w:rFonts w:asciiTheme="minorHAnsi" w:hAnsiTheme="minorHAnsi"/>
          <w:lang w:val="mk-MK"/>
        </w:rPr>
        <w:t>I</w:t>
      </w:r>
    </w:p>
    <w:p w:rsidR="004E42AB" w:rsidRPr="004E42AB" w:rsidRDefault="004E42AB" w:rsidP="004E42AB">
      <w:pPr>
        <w:spacing w:after="0" w:line="240" w:lineRule="auto"/>
        <w:jc w:val="center"/>
        <w:rPr>
          <w:rFonts w:asciiTheme="minorHAnsi" w:hAnsiTheme="minorHAnsi"/>
          <w:lang w:val="mk-MK"/>
        </w:rPr>
      </w:pPr>
    </w:p>
    <w:p w:rsidR="004E42AB" w:rsidRPr="004E42AB" w:rsidRDefault="00B7260F" w:rsidP="004E42AB">
      <w:pPr>
        <w:spacing w:after="0" w:line="240" w:lineRule="auto"/>
        <w:rPr>
          <w:rFonts w:asciiTheme="minorHAnsi" w:hAnsiTheme="minorHAnsi"/>
          <w:lang w:val="mk-MK"/>
        </w:rPr>
      </w:pPr>
      <w:r>
        <w:rPr>
          <w:rFonts w:asciiTheme="minorHAnsi" w:hAnsiTheme="minorHAnsi"/>
          <w:lang w:val="mk-MK"/>
        </w:rPr>
        <w:t xml:space="preserve">Во согласност </w:t>
      </w:r>
      <w:r>
        <w:rPr>
          <w:lang w:val="mk-MK"/>
        </w:rPr>
        <w:t xml:space="preserve">со ставот (3) од членот 82 од Законот за електронските комуникации, </w:t>
      </w:r>
      <w:r w:rsidR="004E42AB" w:rsidRPr="004E42AB">
        <w:rPr>
          <w:rFonts w:asciiTheme="minorHAnsi" w:hAnsiTheme="minorHAnsi"/>
          <w:lang w:val="mk-MK"/>
        </w:rPr>
        <w:t xml:space="preserve">СЕ ОТПОВИКУВА решението број 1302-1454 од 30.12.2014 година со кое операторот Македонски Телеком АД за електронски комуникации – Скопје, е определен за оператор со значителна пазарна моќ на релевантниот пазар за продажба на производи и услуги на мало за пристап до јавна електронска комуникациска мрежа на фиксна локација за резиденцијални и деловни крајни корисниции </w:t>
      </w:r>
    </w:p>
    <w:p w:rsidR="004E42AB" w:rsidRPr="004E42AB" w:rsidRDefault="004E42AB" w:rsidP="004E42AB">
      <w:pPr>
        <w:spacing w:after="0" w:line="240" w:lineRule="auto"/>
        <w:jc w:val="left"/>
        <w:rPr>
          <w:rFonts w:asciiTheme="minorHAnsi" w:hAnsiTheme="minorHAnsi"/>
          <w:lang w:val="mk-MK"/>
        </w:rPr>
      </w:pPr>
    </w:p>
    <w:p w:rsidR="004E42AB" w:rsidRPr="004E42AB" w:rsidRDefault="004E42AB" w:rsidP="004E42AB">
      <w:pPr>
        <w:spacing w:after="0" w:line="240" w:lineRule="auto"/>
        <w:jc w:val="center"/>
        <w:rPr>
          <w:rFonts w:asciiTheme="minorHAnsi" w:hAnsiTheme="minorHAnsi"/>
          <w:lang w:val="mk-MK"/>
        </w:rPr>
      </w:pPr>
      <w:r w:rsidRPr="004E42AB">
        <w:rPr>
          <w:rFonts w:asciiTheme="minorHAnsi" w:hAnsiTheme="minorHAnsi"/>
          <w:lang w:val="mk-MK"/>
        </w:rPr>
        <w:t>II</w:t>
      </w:r>
    </w:p>
    <w:p w:rsidR="004E42AB" w:rsidRPr="004E42AB" w:rsidRDefault="004E42AB" w:rsidP="004E42AB">
      <w:pPr>
        <w:spacing w:after="0" w:line="240" w:lineRule="auto"/>
        <w:jc w:val="center"/>
        <w:rPr>
          <w:rFonts w:asciiTheme="minorHAnsi" w:hAnsiTheme="minorHAnsi"/>
          <w:lang w:val="mk-MK"/>
        </w:rPr>
      </w:pPr>
    </w:p>
    <w:p w:rsidR="004E42AB" w:rsidRPr="004E42AB" w:rsidRDefault="004E42AB" w:rsidP="004E42AB">
      <w:pPr>
        <w:spacing w:after="0" w:line="240" w:lineRule="auto"/>
        <w:rPr>
          <w:rFonts w:asciiTheme="minorHAnsi" w:hAnsiTheme="minorHAnsi"/>
          <w:lang w:val="mk-MK"/>
        </w:rPr>
      </w:pPr>
      <w:r w:rsidRPr="004E42AB">
        <w:rPr>
          <w:rFonts w:asciiTheme="minorHAnsi" w:hAnsiTheme="minorHAnsi"/>
          <w:lang w:val="mk-MK"/>
        </w:rPr>
        <w:t xml:space="preserve">Во согласност со </w:t>
      </w:r>
      <w:r w:rsidR="00B7260F">
        <w:rPr>
          <w:lang w:val="mk-MK"/>
        </w:rPr>
        <w:t xml:space="preserve">ставот (4) од членот 82 </w:t>
      </w:r>
      <w:r w:rsidRPr="004E42AB">
        <w:rPr>
          <w:rFonts w:asciiTheme="minorHAnsi" w:hAnsiTheme="minorHAnsi"/>
          <w:lang w:val="mk-MK"/>
        </w:rPr>
        <w:t xml:space="preserve">од Законот за електронски комуникации на Македонски Телеком АД за електронски комуникации – Скопје му се </w:t>
      </w:r>
      <w:r w:rsidRPr="004E42AB">
        <w:rPr>
          <w:rFonts w:asciiTheme="minorHAnsi" w:hAnsiTheme="minorHAnsi"/>
          <w:lang w:val="ru-RU"/>
        </w:rPr>
        <w:t>отповикуваат</w:t>
      </w:r>
      <w:r w:rsidRPr="004E42AB">
        <w:rPr>
          <w:rFonts w:asciiTheme="minorHAnsi" w:hAnsiTheme="minorHAnsi"/>
          <w:lang w:val="mk-MK"/>
        </w:rPr>
        <w:t xml:space="preserve"> следните</w:t>
      </w:r>
      <w:r w:rsidR="001513F7">
        <w:rPr>
          <w:rFonts w:asciiTheme="minorHAnsi" w:hAnsiTheme="minorHAnsi"/>
          <w:lang w:val="mk-MK"/>
        </w:rPr>
        <w:t xml:space="preserve"> регулаторни</w:t>
      </w:r>
      <w:r w:rsidR="00B7260F">
        <w:rPr>
          <w:rFonts w:asciiTheme="minorHAnsi" w:hAnsiTheme="minorHAnsi"/>
          <w:lang w:val="mk-MK"/>
        </w:rPr>
        <w:t xml:space="preserve"> обврски претходно наметнати во согласност со ставот (2) од членот 91 од Законот за електронски комуникации, кои содржат забрана за</w:t>
      </w:r>
      <w:r w:rsidRPr="004E42AB">
        <w:rPr>
          <w:rFonts w:asciiTheme="minorHAnsi" w:hAnsiTheme="minorHAnsi"/>
          <w:lang w:val="mk-MK"/>
        </w:rPr>
        <w:t>:</w:t>
      </w:r>
    </w:p>
    <w:p w:rsidR="004E42AB" w:rsidRPr="004E42AB" w:rsidRDefault="004E42AB" w:rsidP="004E42AB">
      <w:pPr>
        <w:spacing w:after="0" w:line="240" w:lineRule="auto"/>
        <w:jc w:val="left"/>
        <w:rPr>
          <w:rFonts w:asciiTheme="minorHAnsi" w:hAnsiTheme="minorHAnsi"/>
          <w:lang w:val="mk-MK"/>
        </w:rPr>
      </w:pPr>
    </w:p>
    <w:p w:rsidR="004E42AB" w:rsidRPr="004E42AB" w:rsidRDefault="004E42AB" w:rsidP="004E42AB">
      <w:pPr>
        <w:numPr>
          <w:ilvl w:val="0"/>
          <w:numId w:val="39"/>
        </w:numPr>
        <w:spacing w:after="0" w:line="240" w:lineRule="auto"/>
        <w:jc w:val="left"/>
        <w:rPr>
          <w:rFonts w:asciiTheme="minorHAnsi" w:hAnsiTheme="minorHAnsi"/>
          <w:lang w:val="mk-MK"/>
        </w:rPr>
      </w:pPr>
      <w:r w:rsidRPr="004E42AB">
        <w:rPr>
          <w:rFonts w:asciiTheme="minorHAnsi" w:hAnsiTheme="minorHAnsi"/>
          <w:lang w:val="mk-MK"/>
        </w:rPr>
        <w:t>Наплаќање на превисоки цени</w:t>
      </w:r>
    </w:p>
    <w:p w:rsidR="004E42AB" w:rsidRPr="004E42AB" w:rsidRDefault="004E42AB" w:rsidP="004E42AB">
      <w:pPr>
        <w:numPr>
          <w:ilvl w:val="0"/>
          <w:numId w:val="39"/>
        </w:numPr>
        <w:spacing w:after="0" w:line="240" w:lineRule="auto"/>
        <w:jc w:val="left"/>
        <w:rPr>
          <w:rFonts w:asciiTheme="minorHAnsi" w:hAnsiTheme="minorHAnsi"/>
          <w:lang w:val="mk-MK"/>
        </w:rPr>
      </w:pPr>
      <w:r w:rsidRPr="004E42AB">
        <w:rPr>
          <w:rFonts w:asciiTheme="minorHAnsi" w:hAnsiTheme="minorHAnsi"/>
          <w:lang w:val="mk-MK"/>
        </w:rPr>
        <w:t>Спречување на влез на пазарот</w:t>
      </w:r>
    </w:p>
    <w:p w:rsidR="004E42AB" w:rsidRPr="004E42AB" w:rsidRDefault="004E42AB" w:rsidP="004E42AB">
      <w:pPr>
        <w:numPr>
          <w:ilvl w:val="0"/>
          <w:numId w:val="39"/>
        </w:numPr>
        <w:spacing w:after="0" w:line="240" w:lineRule="auto"/>
        <w:jc w:val="left"/>
        <w:rPr>
          <w:rFonts w:asciiTheme="minorHAnsi" w:hAnsiTheme="minorHAnsi"/>
          <w:lang w:val="mk-MK"/>
        </w:rPr>
      </w:pPr>
      <w:r w:rsidRPr="004E42AB">
        <w:rPr>
          <w:rFonts w:asciiTheme="minorHAnsi" w:hAnsiTheme="minorHAnsi"/>
          <w:lang w:val="mk-MK"/>
        </w:rPr>
        <w:t>Ограничување на конкуренцијата со воведување на предаторски цени</w:t>
      </w:r>
    </w:p>
    <w:p w:rsidR="004E42AB" w:rsidRPr="004E42AB" w:rsidRDefault="004E42AB" w:rsidP="004E42AB">
      <w:pPr>
        <w:numPr>
          <w:ilvl w:val="0"/>
          <w:numId w:val="39"/>
        </w:numPr>
        <w:spacing w:after="0" w:line="240" w:lineRule="auto"/>
        <w:jc w:val="left"/>
        <w:rPr>
          <w:rFonts w:asciiTheme="minorHAnsi" w:hAnsiTheme="minorHAnsi"/>
          <w:lang w:val="mk-MK"/>
        </w:rPr>
      </w:pPr>
      <w:r w:rsidRPr="004E42AB">
        <w:rPr>
          <w:rFonts w:asciiTheme="minorHAnsi" w:hAnsiTheme="minorHAnsi"/>
          <w:lang w:val="mk-MK"/>
        </w:rPr>
        <w:t xml:space="preserve">Без причина давање на неоправдани привилегии на одредени крајни корисници </w:t>
      </w:r>
    </w:p>
    <w:p w:rsidR="004E42AB" w:rsidRPr="004E42AB" w:rsidRDefault="004E42AB" w:rsidP="004E42AB">
      <w:pPr>
        <w:numPr>
          <w:ilvl w:val="0"/>
          <w:numId w:val="39"/>
        </w:numPr>
        <w:spacing w:after="0" w:line="240" w:lineRule="auto"/>
        <w:jc w:val="left"/>
        <w:rPr>
          <w:rFonts w:asciiTheme="minorHAnsi" w:hAnsiTheme="minorHAnsi"/>
          <w:lang w:val="mk-MK"/>
        </w:rPr>
      </w:pPr>
      <w:r w:rsidRPr="004E42AB">
        <w:rPr>
          <w:rFonts w:asciiTheme="minorHAnsi" w:hAnsiTheme="minorHAnsi"/>
          <w:lang w:val="mk-MK"/>
        </w:rPr>
        <w:t>Нераз</w:t>
      </w:r>
      <w:r w:rsidR="00870C45">
        <w:rPr>
          <w:rFonts w:asciiTheme="minorHAnsi" w:hAnsiTheme="minorHAnsi"/>
          <w:lang w:val="mk-MK"/>
        </w:rPr>
        <w:t>у</w:t>
      </w:r>
      <w:r w:rsidRPr="004E42AB">
        <w:rPr>
          <w:rFonts w:asciiTheme="minorHAnsi" w:hAnsiTheme="minorHAnsi"/>
          <w:lang w:val="mk-MK"/>
        </w:rPr>
        <w:t>мно врзување на услугите во пакет</w:t>
      </w:r>
    </w:p>
    <w:p w:rsidR="004E42AB" w:rsidRPr="004E42AB" w:rsidRDefault="004E42AB" w:rsidP="004E42AB">
      <w:pPr>
        <w:spacing w:after="0"/>
        <w:ind w:left="720"/>
        <w:rPr>
          <w:rFonts w:asciiTheme="minorHAnsi" w:hAnsiTheme="minorHAnsi"/>
          <w:lang w:val="mk-MK"/>
        </w:rPr>
      </w:pPr>
    </w:p>
    <w:p w:rsidR="004E42AB" w:rsidRPr="004E42AB" w:rsidRDefault="004E42AB" w:rsidP="00B7260F">
      <w:pPr>
        <w:spacing w:after="0"/>
        <w:rPr>
          <w:rFonts w:asciiTheme="minorHAnsi" w:hAnsiTheme="minorHAnsi"/>
          <w:lang w:val="mk-MK"/>
        </w:rPr>
      </w:pPr>
      <w:r w:rsidRPr="004E42AB">
        <w:rPr>
          <w:rFonts w:asciiTheme="minorHAnsi" w:hAnsiTheme="minorHAnsi"/>
          <w:lang w:val="mk-MK"/>
        </w:rPr>
        <w:lastRenderedPageBreak/>
        <w:t>На Македонски Телеком АД за електронски комуникации – Скопје му се отповикува наметнатата мерка контрола на поединечни цени</w:t>
      </w:r>
      <w:r w:rsidR="00B7260F">
        <w:rPr>
          <w:rFonts w:asciiTheme="minorHAnsi" w:hAnsiTheme="minorHAnsi"/>
          <w:lang w:val="mk-MK"/>
        </w:rPr>
        <w:t>, претходно наметната во согласност со алинеа 2) од ставот (3) од членот 91 од Законот за електронските комуникации.</w:t>
      </w:r>
    </w:p>
    <w:p w:rsidR="004E42AB" w:rsidRPr="004E42AB" w:rsidRDefault="004E42AB" w:rsidP="004E42AB">
      <w:pPr>
        <w:spacing w:after="0" w:line="240" w:lineRule="auto"/>
        <w:rPr>
          <w:rFonts w:asciiTheme="minorHAnsi" w:hAnsiTheme="minorHAnsi"/>
          <w:lang w:val="mk-MK"/>
        </w:rPr>
      </w:pPr>
    </w:p>
    <w:p w:rsidR="004E42AB" w:rsidRPr="004E42AB" w:rsidRDefault="004E42AB" w:rsidP="004E42AB">
      <w:pPr>
        <w:spacing w:after="0" w:line="240" w:lineRule="auto"/>
        <w:jc w:val="center"/>
        <w:rPr>
          <w:rFonts w:asciiTheme="minorHAnsi" w:hAnsiTheme="minorHAnsi"/>
        </w:rPr>
      </w:pPr>
      <w:r w:rsidRPr="004E42AB">
        <w:rPr>
          <w:rFonts w:asciiTheme="minorHAnsi" w:hAnsiTheme="minorHAnsi"/>
        </w:rPr>
        <w:t>III</w:t>
      </w:r>
    </w:p>
    <w:p w:rsidR="004E42AB" w:rsidRPr="004E42AB" w:rsidRDefault="004E42AB" w:rsidP="004E42AB">
      <w:pPr>
        <w:spacing w:after="0" w:line="240" w:lineRule="auto"/>
        <w:jc w:val="center"/>
        <w:rPr>
          <w:rFonts w:asciiTheme="minorHAnsi" w:hAnsiTheme="minorHAnsi"/>
          <w:lang w:val="mk-MK"/>
        </w:rPr>
      </w:pPr>
    </w:p>
    <w:p w:rsidR="004E42AB" w:rsidRPr="004E42AB" w:rsidRDefault="004E42AB" w:rsidP="004E42AB">
      <w:pPr>
        <w:spacing w:after="0" w:line="240" w:lineRule="auto"/>
        <w:rPr>
          <w:rFonts w:asciiTheme="minorHAnsi" w:hAnsiTheme="minorHAnsi"/>
          <w:lang w:val="mk-MK"/>
        </w:rPr>
      </w:pPr>
      <w:r w:rsidRPr="004E42AB">
        <w:rPr>
          <w:rFonts w:asciiTheme="minorHAnsi" w:hAnsiTheme="minorHAnsi"/>
          <w:lang w:val="mk-MK"/>
        </w:rPr>
        <w:t xml:space="preserve">Оваа Одлука влегува во сила со денот на донесувањето. </w:t>
      </w:r>
    </w:p>
    <w:p w:rsidR="004E42AB" w:rsidRPr="004E42AB" w:rsidRDefault="004E42AB" w:rsidP="004E42AB">
      <w:pPr>
        <w:spacing w:after="0" w:line="240" w:lineRule="auto"/>
        <w:jc w:val="left"/>
        <w:rPr>
          <w:rFonts w:asciiTheme="minorHAnsi" w:hAnsiTheme="minorHAnsi"/>
          <w:lang w:val="mk-MK"/>
        </w:rPr>
      </w:pPr>
    </w:p>
    <w:p w:rsidR="004E42AB" w:rsidRPr="004E42AB" w:rsidRDefault="004E42AB" w:rsidP="004E42AB">
      <w:pPr>
        <w:spacing w:after="0" w:line="240" w:lineRule="auto"/>
        <w:jc w:val="center"/>
        <w:rPr>
          <w:rFonts w:asciiTheme="minorHAnsi" w:hAnsiTheme="minorHAnsi"/>
          <w:lang w:val="mk-MK"/>
        </w:rPr>
      </w:pPr>
      <w:r w:rsidRPr="004E42AB">
        <w:rPr>
          <w:rFonts w:asciiTheme="minorHAnsi" w:hAnsiTheme="minorHAnsi"/>
        </w:rPr>
        <w:t>I</w:t>
      </w:r>
      <w:r w:rsidRPr="004E42AB">
        <w:rPr>
          <w:rFonts w:asciiTheme="minorHAnsi" w:hAnsiTheme="minorHAnsi"/>
          <w:lang w:val="mk-MK"/>
        </w:rPr>
        <w:t>V</w:t>
      </w:r>
    </w:p>
    <w:p w:rsidR="004E42AB" w:rsidRPr="004E42AB" w:rsidRDefault="004E42AB" w:rsidP="004E42AB">
      <w:pPr>
        <w:spacing w:after="0" w:line="240" w:lineRule="auto"/>
        <w:jc w:val="center"/>
        <w:rPr>
          <w:rFonts w:asciiTheme="minorHAnsi" w:hAnsiTheme="minorHAnsi"/>
          <w:lang w:val="mk-MK"/>
        </w:rPr>
      </w:pPr>
    </w:p>
    <w:p w:rsidR="004E42AB" w:rsidRPr="004E42AB" w:rsidRDefault="004E42AB" w:rsidP="004E42AB">
      <w:pPr>
        <w:spacing w:after="0" w:line="240" w:lineRule="auto"/>
        <w:rPr>
          <w:rFonts w:asciiTheme="minorHAnsi" w:hAnsiTheme="minorHAnsi"/>
          <w:lang w:val="mk-MK"/>
        </w:rPr>
      </w:pPr>
      <w:r w:rsidRPr="004E42AB">
        <w:rPr>
          <w:rFonts w:asciiTheme="minorHAnsi" w:hAnsiTheme="minorHAnsi"/>
          <w:lang w:val="mk-MK"/>
        </w:rPr>
        <w:t>Одлуката е конечна.</w:t>
      </w:r>
    </w:p>
    <w:p w:rsidR="004E42AB" w:rsidRDefault="00A652BA" w:rsidP="00A652BA">
      <w:pPr>
        <w:spacing w:after="0" w:line="240" w:lineRule="auto"/>
        <w:jc w:val="center"/>
        <w:rPr>
          <w:rFonts w:asciiTheme="minorHAnsi" w:hAnsiTheme="minorHAnsi"/>
        </w:rPr>
      </w:pPr>
      <w:r>
        <w:rPr>
          <w:rFonts w:asciiTheme="minorHAnsi" w:hAnsiTheme="minorHAnsi"/>
        </w:rPr>
        <w:t>V</w:t>
      </w:r>
    </w:p>
    <w:p w:rsidR="003E67F0" w:rsidRDefault="003E67F0" w:rsidP="00A652BA">
      <w:pPr>
        <w:spacing w:after="0" w:line="240" w:lineRule="auto"/>
        <w:jc w:val="center"/>
        <w:rPr>
          <w:rFonts w:asciiTheme="minorHAnsi" w:hAnsiTheme="minorHAnsi"/>
        </w:rPr>
      </w:pPr>
    </w:p>
    <w:p w:rsidR="00A652BA" w:rsidRPr="00A652BA" w:rsidRDefault="00A652BA" w:rsidP="00A652BA">
      <w:pPr>
        <w:spacing w:after="0" w:line="240" w:lineRule="auto"/>
        <w:rPr>
          <w:rFonts w:asciiTheme="minorHAnsi" w:hAnsiTheme="minorHAnsi"/>
          <w:lang w:val="mk-MK"/>
        </w:rPr>
      </w:pPr>
      <w:r>
        <w:rPr>
          <w:rFonts w:asciiTheme="minorHAnsi" w:hAnsiTheme="minorHAnsi"/>
          <w:lang w:val="mk-MK"/>
        </w:rPr>
        <w:t>По донесувањето на оваа одлука истата во рок од три дена ќе биде објавена на веб страната на АЕК</w:t>
      </w:r>
    </w:p>
    <w:p w:rsidR="004E42AB" w:rsidRDefault="004E42AB" w:rsidP="004E42AB">
      <w:pPr>
        <w:spacing w:after="0" w:line="240" w:lineRule="auto"/>
        <w:rPr>
          <w:rFonts w:asciiTheme="minorHAnsi" w:hAnsiTheme="minorHAnsi"/>
          <w:lang w:val="mk-MK"/>
        </w:rPr>
      </w:pPr>
    </w:p>
    <w:p w:rsidR="004E42AB" w:rsidRPr="004E42AB" w:rsidRDefault="004E42AB" w:rsidP="004E42AB">
      <w:pPr>
        <w:spacing w:after="0" w:line="240" w:lineRule="auto"/>
        <w:jc w:val="center"/>
        <w:rPr>
          <w:rFonts w:asciiTheme="minorHAnsi" w:hAnsiTheme="minorHAnsi"/>
          <w:lang w:val="mk-MK"/>
        </w:rPr>
      </w:pPr>
    </w:p>
    <w:p w:rsidR="004E42AB" w:rsidRPr="004E42AB" w:rsidRDefault="004E42AB" w:rsidP="004E42AB">
      <w:pPr>
        <w:spacing w:after="0" w:line="240" w:lineRule="auto"/>
        <w:jc w:val="left"/>
        <w:rPr>
          <w:rFonts w:asciiTheme="minorHAnsi" w:hAnsiTheme="minorHAnsi"/>
          <w:lang w:val="mk-MK"/>
        </w:rPr>
      </w:pPr>
    </w:p>
    <w:p w:rsidR="004E42AB" w:rsidRPr="004E42AB" w:rsidRDefault="004E42AB" w:rsidP="004E42AB">
      <w:pPr>
        <w:spacing w:after="0" w:line="240" w:lineRule="auto"/>
        <w:jc w:val="center"/>
        <w:rPr>
          <w:rFonts w:asciiTheme="minorHAnsi" w:hAnsiTheme="minorHAnsi"/>
          <w:lang w:val="mk-MK"/>
        </w:rPr>
      </w:pPr>
      <w:r w:rsidRPr="004E42AB">
        <w:rPr>
          <w:rFonts w:asciiTheme="minorHAnsi" w:hAnsiTheme="minorHAnsi"/>
          <w:lang w:val="mk-MK"/>
        </w:rPr>
        <w:t>ОБРАЗЛОЖЕНИЕ</w:t>
      </w:r>
    </w:p>
    <w:p w:rsidR="004E42AB" w:rsidRPr="00870C45" w:rsidRDefault="004E42AB" w:rsidP="004E42AB">
      <w:pPr>
        <w:spacing w:after="0" w:line="240" w:lineRule="auto"/>
        <w:jc w:val="center"/>
        <w:rPr>
          <w:rFonts w:asciiTheme="minorHAnsi" w:hAnsiTheme="minorHAnsi"/>
        </w:rPr>
      </w:pPr>
    </w:p>
    <w:p w:rsidR="004E42AB" w:rsidRPr="004E42AB" w:rsidRDefault="004E42AB" w:rsidP="004E42AB">
      <w:pPr>
        <w:spacing w:after="0" w:line="240" w:lineRule="auto"/>
        <w:rPr>
          <w:rFonts w:asciiTheme="minorHAnsi" w:hAnsiTheme="minorHAnsi"/>
          <w:lang w:val="mk-MK"/>
        </w:rPr>
      </w:pPr>
    </w:p>
    <w:p w:rsidR="004E42AB" w:rsidRPr="004E42AB" w:rsidRDefault="004E42AB" w:rsidP="004E42AB">
      <w:pPr>
        <w:spacing w:after="0" w:line="240" w:lineRule="auto"/>
        <w:rPr>
          <w:rFonts w:asciiTheme="minorHAnsi" w:hAnsiTheme="minorHAnsi"/>
          <w:lang w:val="mk-MK"/>
        </w:rPr>
      </w:pPr>
      <w:r w:rsidRPr="004E42AB">
        <w:rPr>
          <w:rFonts w:asciiTheme="minorHAnsi" w:hAnsiTheme="minorHAnsi"/>
          <w:lang w:val="mk-MK"/>
        </w:rPr>
        <w:t>Врз основа на членовите 79, 80 и 81 од Законот за електронските комуникации, Агенцијата за електронски комуникации изврши анализа на релевантниот пазар за продажба на производи и услуги на мало, Пазар бр. 1</w:t>
      </w:r>
      <w:r w:rsidRPr="004E42AB">
        <w:rPr>
          <w:rFonts w:asciiTheme="minorHAnsi" w:hAnsiTheme="minorHAnsi"/>
        </w:rPr>
        <w:t xml:space="preserve"> -</w:t>
      </w:r>
      <w:r w:rsidRPr="004E42AB">
        <w:rPr>
          <w:rFonts w:asciiTheme="minorHAnsi" w:hAnsiTheme="minorHAnsi"/>
          <w:lang w:val="mk-MK"/>
        </w:rPr>
        <w:t xml:space="preserve"> пристап до јавна електронска комуникациска мрежа на фиксна локација за резиденцијални и деловни крајни корисниции.</w:t>
      </w:r>
    </w:p>
    <w:p w:rsidR="004E42AB" w:rsidRPr="004E42AB" w:rsidRDefault="004E42AB" w:rsidP="004E42AB">
      <w:pPr>
        <w:spacing w:after="0" w:line="240" w:lineRule="auto"/>
        <w:rPr>
          <w:rFonts w:asciiTheme="minorHAnsi" w:hAnsiTheme="minorHAnsi"/>
          <w:lang w:val="mk-MK"/>
        </w:rPr>
      </w:pPr>
      <w:r w:rsidRPr="004E42AB">
        <w:rPr>
          <w:rFonts w:asciiTheme="minorHAnsi" w:hAnsiTheme="minorHAnsi"/>
          <w:lang w:val="mk-MK"/>
        </w:rPr>
        <w:t>Во нацрт документ од анализата на Пазар бр. 1</w:t>
      </w:r>
      <w:r w:rsidRPr="004E42AB">
        <w:rPr>
          <w:rFonts w:asciiTheme="minorHAnsi" w:hAnsiTheme="minorHAnsi"/>
        </w:rPr>
        <w:t xml:space="preserve"> -</w:t>
      </w:r>
      <w:r w:rsidRPr="004E42AB">
        <w:rPr>
          <w:rFonts w:asciiTheme="minorHAnsi" w:hAnsiTheme="minorHAnsi"/>
          <w:lang w:val="mk-MK"/>
        </w:rPr>
        <w:t xml:space="preserve"> пристап до јавна електронска комуникациска мрежа на фиксна локација за резиденцијални и деловни крајни корисниции за</w:t>
      </w:r>
      <w:r w:rsidR="00E0707D">
        <w:rPr>
          <w:rFonts w:asciiTheme="minorHAnsi" w:hAnsiTheme="minorHAnsi"/>
          <w:lang w:val="mk-MK"/>
        </w:rPr>
        <w:t>веден под број __________од 15.0</w:t>
      </w:r>
      <w:r w:rsidRPr="004E42AB">
        <w:rPr>
          <w:rFonts w:asciiTheme="minorHAnsi" w:hAnsiTheme="minorHAnsi"/>
          <w:lang w:val="mk-MK"/>
        </w:rPr>
        <w:t>9.2016 година е утврдено дека овој релевантен малопродажен пазар повеќе не го исполнува три критериум тестот</w:t>
      </w:r>
      <w:r w:rsidR="00E0707D">
        <w:rPr>
          <w:rFonts w:asciiTheme="minorHAnsi" w:hAnsiTheme="minorHAnsi"/>
          <w:lang w:val="mk-MK"/>
        </w:rPr>
        <w:t>,</w:t>
      </w:r>
      <w:r w:rsidRPr="004E42AB">
        <w:rPr>
          <w:rFonts w:asciiTheme="minorHAnsi" w:hAnsiTheme="minorHAnsi"/>
          <w:lang w:val="mk-MK"/>
        </w:rPr>
        <w:t xml:space="preserve"> односно не се исполнети сите три критериуми кумулативно за да пазарот подлежи </w:t>
      </w:r>
      <w:r w:rsidR="00E0707D">
        <w:rPr>
          <w:rFonts w:asciiTheme="minorHAnsi" w:hAnsiTheme="minorHAnsi"/>
          <w:lang w:val="mk-MK"/>
        </w:rPr>
        <w:t>и понатаму на претходна (</w:t>
      </w:r>
      <w:r w:rsidR="00E0707D">
        <w:rPr>
          <w:rFonts w:asciiTheme="minorHAnsi" w:hAnsiTheme="minorHAnsi"/>
        </w:rPr>
        <w:t>ex-ante</w:t>
      </w:r>
      <w:r w:rsidRPr="004E42AB">
        <w:rPr>
          <w:rFonts w:asciiTheme="minorHAnsi" w:hAnsiTheme="minorHAnsi"/>
          <w:lang w:val="mk-MK"/>
        </w:rPr>
        <w:t>) регулација согласно членот 80 став (2) од Законот за електронските комуникации. Агенцијата врз основа на анализа на релевантен пазар утврди дека пазарот е ефективно конкурентен при што не определи ниту еден оператор како оператор со значителна пазарна моќ согласно со членот 76 ставови (1) и (2) од Законот за електронски</w:t>
      </w:r>
      <w:r w:rsidR="00E0707D">
        <w:rPr>
          <w:rFonts w:asciiTheme="minorHAnsi" w:hAnsiTheme="minorHAnsi"/>
          <w:lang w:val="mk-MK"/>
        </w:rPr>
        <w:t>те</w:t>
      </w:r>
      <w:r w:rsidRPr="004E42AB">
        <w:rPr>
          <w:rFonts w:asciiTheme="minorHAnsi" w:hAnsiTheme="minorHAnsi"/>
          <w:lang w:val="mk-MK"/>
        </w:rPr>
        <w:t xml:space="preserve"> комуникации.</w:t>
      </w:r>
    </w:p>
    <w:p w:rsidR="004E42AB" w:rsidRPr="004E42AB" w:rsidRDefault="004E42AB" w:rsidP="004E42AB">
      <w:pPr>
        <w:spacing w:after="0" w:line="240" w:lineRule="auto"/>
        <w:rPr>
          <w:rFonts w:asciiTheme="minorHAnsi" w:hAnsiTheme="minorHAnsi"/>
          <w:lang w:val="mk-MK"/>
        </w:rPr>
      </w:pPr>
      <w:r w:rsidRPr="004E42AB">
        <w:rPr>
          <w:rFonts w:asciiTheme="minorHAnsi" w:hAnsiTheme="minorHAnsi"/>
          <w:lang w:val="mk-MK"/>
        </w:rPr>
        <w:t>Според тоа, согласно членот 82 став (3) од Законот за електронски комуникации, операторот Македонски Телеком АД за електронски комуникации – Скопје, повеќе не поседува значителна пазарна моќ на овој релевантен малопродажен пазар. Според членот 82 став (4) од истиот Закон се отповикуваат обврските кои се наметнати со Решение бр. 1302-1454 од 30.12.2014 година.</w:t>
      </w:r>
    </w:p>
    <w:p w:rsidR="004E42AB" w:rsidRPr="004E42AB" w:rsidRDefault="004E42AB" w:rsidP="004E42AB">
      <w:pPr>
        <w:spacing w:after="0" w:line="240" w:lineRule="auto"/>
        <w:rPr>
          <w:rFonts w:asciiTheme="minorHAnsi" w:hAnsiTheme="minorHAnsi"/>
          <w:lang w:val="mk-MK"/>
        </w:rPr>
      </w:pPr>
      <w:r w:rsidRPr="004E42AB">
        <w:rPr>
          <w:rFonts w:asciiTheme="minorHAnsi" w:hAnsiTheme="minorHAnsi"/>
          <w:lang w:val="mk-MK"/>
        </w:rPr>
        <w:t>Со оглед на сето ова погоре наведено, а врз основа на членот 24 став (1) алинеја 5, а во врска со членовите  79, 80, 81 и членот 82 ставови (3) и (4) од Законот за електронски</w:t>
      </w:r>
      <w:r w:rsidR="00E0707D">
        <w:rPr>
          <w:rFonts w:asciiTheme="minorHAnsi" w:hAnsiTheme="minorHAnsi"/>
          <w:lang w:val="mk-MK"/>
        </w:rPr>
        <w:t>те</w:t>
      </w:r>
      <w:r w:rsidRPr="004E42AB">
        <w:rPr>
          <w:rFonts w:asciiTheme="minorHAnsi" w:hAnsiTheme="minorHAnsi"/>
          <w:lang w:val="mk-MK"/>
        </w:rPr>
        <w:t xml:space="preserve"> комуникации </w:t>
      </w:r>
      <w:r w:rsidRPr="004E42AB">
        <w:rPr>
          <w:rFonts w:asciiTheme="minorHAnsi" w:hAnsiTheme="minorHAnsi"/>
          <w:lang w:val="ru-RU"/>
        </w:rPr>
        <w:t>(</w:t>
      </w:r>
      <w:r w:rsidRPr="004E42AB">
        <w:rPr>
          <w:rFonts w:asciiTheme="minorHAnsi" w:hAnsiTheme="minorHAnsi"/>
          <w:lang w:val="mk-MK"/>
        </w:rPr>
        <w:t>Службен Весник на Република Македонија број 39/2014, 188/2014, 44/2015 и 193/2015</w:t>
      </w:r>
      <w:r w:rsidRPr="004E42AB">
        <w:rPr>
          <w:rFonts w:asciiTheme="minorHAnsi" w:hAnsiTheme="minorHAnsi"/>
          <w:lang w:val="ru-RU"/>
        </w:rPr>
        <w:t>)</w:t>
      </w:r>
      <w:r w:rsidRPr="004E42AB">
        <w:rPr>
          <w:rFonts w:asciiTheme="minorHAnsi" w:hAnsiTheme="minorHAnsi"/>
          <w:lang w:val="mk-MK"/>
        </w:rPr>
        <w:t xml:space="preserve">, директорот на Агенцијата за електронски комуникации донесе одлука како во диспозитивот. </w:t>
      </w:r>
    </w:p>
    <w:p w:rsidR="004E42AB" w:rsidRPr="004E42AB" w:rsidRDefault="004E42AB" w:rsidP="004E42AB">
      <w:pPr>
        <w:spacing w:after="0" w:line="240" w:lineRule="auto"/>
        <w:rPr>
          <w:rFonts w:asciiTheme="minorHAnsi" w:hAnsiTheme="minorHAnsi"/>
          <w:lang w:val="mk-MK"/>
        </w:rPr>
      </w:pPr>
    </w:p>
    <w:p w:rsidR="004E42AB" w:rsidRPr="004E42AB" w:rsidRDefault="004E42AB" w:rsidP="004E42AB">
      <w:pPr>
        <w:spacing w:after="100" w:line="240" w:lineRule="auto"/>
        <w:rPr>
          <w:rFonts w:asciiTheme="minorHAnsi" w:hAnsiTheme="minorHAnsi"/>
          <w:lang w:val="mk-MK"/>
        </w:rPr>
      </w:pPr>
      <w:r w:rsidRPr="004E42AB">
        <w:rPr>
          <w:rFonts w:asciiTheme="minorHAnsi" w:hAnsiTheme="minorHAnsi"/>
          <w:lang w:val="mk-MK"/>
        </w:rPr>
        <w:t>ПРАВНА ПОУКА: Против оваа Одлука може да се поднесе тужба до Управниот суд на Република Македонија во рок од 30 дена од денот на приемот на истата.</w:t>
      </w:r>
    </w:p>
    <w:p w:rsidR="004E42AB" w:rsidRPr="004E42AB" w:rsidRDefault="004E42AB" w:rsidP="004E42AB">
      <w:pPr>
        <w:spacing w:after="0" w:line="240" w:lineRule="auto"/>
        <w:rPr>
          <w:rFonts w:asciiTheme="minorHAnsi" w:hAnsiTheme="minorHAnsi"/>
          <w:lang w:val="mk-MK"/>
        </w:rPr>
      </w:pPr>
    </w:p>
    <w:p w:rsidR="004E42AB" w:rsidRPr="004E42AB" w:rsidRDefault="004E42AB" w:rsidP="004E42AB">
      <w:pPr>
        <w:spacing w:after="0" w:line="240" w:lineRule="auto"/>
        <w:jc w:val="left"/>
        <w:rPr>
          <w:rFonts w:asciiTheme="minorHAnsi" w:hAnsiTheme="minorHAnsi"/>
          <w:lang w:val="mk-MK"/>
        </w:rPr>
      </w:pPr>
    </w:p>
    <w:p w:rsidR="003D16AB" w:rsidRPr="003E67F0" w:rsidRDefault="004E42AB" w:rsidP="003E67F0">
      <w:pPr>
        <w:spacing w:after="100" w:line="240" w:lineRule="auto"/>
        <w:rPr>
          <w:rFonts w:asciiTheme="minorHAnsi" w:hAnsiTheme="minorHAnsi"/>
        </w:rPr>
      </w:pPr>
      <w:r w:rsidRPr="004E42AB">
        <w:rPr>
          <w:rFonts w:asciiTheme="minorHAnsi" w:hAnsiTheme="minorHAnsi"/>
          <w:lang w:val="mk-MK"/>
        </w:rPr>
        <w:tab/>
      </w:r>
      <w:r w:rsidRPr="004E42AB">
        <w:rPr>
          <w:rFonts w:asciiTheme="minorHAnsi" w:hAnsiTheme="minorHAnsi"/>
          <w:lang w:val="mk-MK"/>
        </w:rPr>
        <w:tab/>
      </w:r>
      <w:r w:rsidRPr="004E42AB">
        <w:rPr>
          <w:rFonts w:asciiTheme="minorHAnsi" w:hAnsiTheme="minorHAnsi"/>
          <w:lang w:val="mk-MK"/>
        </w:rPr>
        <w:tab/>
      </w:r>
      <w:r w:rsidRPr="004E42AB">
        <w:rPr>
          <w:rFonts w:asciiTheme="minorHAnsi" w:hAnsiTheme="minorHAnsi"/>
          <w:lang w:val="mk-MK"/>
        </w:rPr>
        <w:tab/>
      </w:r>
      <w:r w:rsidRPr="004E42AB">
        <w:rPr>
          <w:rFonts w:asciiTheme="minorHAnsi" w:hAnsiTheme="minorHAnsi"/>
          <w:lang w:val="mk-MK"/>
        </w:rPr>
        <w:tab/>
      </w:r>
      <w:r w:rsidRPr="004E42AB">
        <w:rPr>
          <w:rFonts w:asciiTheme="minorHAnsi" w:hAnsiTheme="minorHAnsi"/>
          <w:lang w:val="mk-MK"/>
        </w:rPr>
        <w:tab/>
      </w:r>
      <w:r w:rsidRPr="004E42AB">
        <w:rPr>
          <w:rFonts w:asciiTheme="minorHAnsi" w:hAnsiTheme="minorHAnsi"/>
          <w:lang w:val="mk-MK"/>
        </w:rPr>
        <w:tab/>
      </w:r>
      <w:r w:rsidRPr="004E42AB">
        <w:rPr>
          <w:rFonts w:asciiTheme="minorHAnsi" w:hAnsiTheme="minorHAnsi"/>
          <w:lang w:val="mk-MK"/>
        </w:rPr>
        <w:tab/>
      </w:r>
      <w:r w:rsidRPr="004E42AB">
        <w:rPr>
          <w:rFonts w:asciiTheme="minorHAnsi" w:hAnsiTheme="minorHAnsi"/>
          <w:lang w:val="mk-MK"/>
        </w:rPr>
        <w:tab/>
      </w:r>
      <w:r w:rsidRPr="004E42AB">
        <w:rPr>
          <w:rFonts w:asciiTheme="minorHAnsi" w:hAnsiTheme="minorHAnsi"/>
          <w:lang w:val="mk-MK"/>
        </w:rPr>
        <w:tab/>
      </w:r>
      <w:r w:rsidRPr="004E42AB">
        <w:rPr>
          <w:rFonts w:asciiTheme="minorHAnsi" w:hAnsiTheme="minorHAnsi"/>
          <w:lang w:val="mk-MK"/>
        </w:rPr>
        <w:tab/>
      </w:r>
      <w:r w:rsidRPr="004E42AB">
        <w:rPr>
          <w:rFonts w:asciiTheme="minorHAnsi" w:hAnsiTheme="minorHAnsi"/>
          <w:lang w:val="mk-MK"/>
        </w:rPr>
        <w:tab/>
      </w:r>
      <w:r w:rsidRPr="004E42AB">
        <w:rPr>
          <w:rFonts w:asciiTheme="minorHAnsi" w:hAnsiTheme="minorHAnsi"/>
          <w:lang w:val="mk-MK"/>
        </w:rPr>
        <w:tab/>
      </w:r>
      <w:r w:rsidRPr="004E42AB">
        <w:rPr>
          <w:rFonts w:asciiTheme="minorHAnsi" w:hAnsiTheme="minorHAnsi"/>
          <w:lang w:val="mk-MK"/>
        </w:rPr>
        <w:tab/>
      </w:r>
      <w:r w:rsidRPr="004E42AB">
        <w:rPr>
          <w:rFonts w:asciiTheme="minorHAnsi" w:hAnsiTheme="minorHAnsi"/>
          <w:lang w:val="mk-MK"/>
        </w:rPr>
        <w:tab/>
      </w:r>
      <w:r w:rsidRPr="004E42AB">
        <w:rPr>
          <w:rFonts w:asciiTheme="minorHAnsi" w:hAnsiTheme="minorHAnsi"/>
          <w:lang w:val="mk-MK"/>
        </w:rPr>
        <w:tab/>
      </w:r>
      <w:r w:rsidRPr="004E42AB">
        <w:rPr>
          <w:rFonts w:asciiTheme="minorHAnsi" w:hAnsiTheme="minorHAnsi"/>
          <w:lang w:val="mk-MK"/>
        </w:rPr>
        <w:tab/>
      </w:r>
      <w:r w:rsidRPr="004E42AB">
        <w:rPr>
          <w:rFonts w:asciiTheme="minorHAnsi" w:hAnsiTheme="minorHAnsi"/>
          <w:lang w:val="mk-MK"/>
        </w:rPr>
        <w:tab/>
      </w:r>
      <w:r w:rsidRPr="004E42AB">
        <w:rPr>
          <w:rFonts w:asciiTheme="minorHAnsi" w:hAnsiTheme="minorHAnsi"/>
          <w:lang w:val="mk-MK"/>
        </w:rPr>
        <w:tab/>
      </w:r>
      <w:r w:rsidRPr="004E42AB">
        <w:rPr>
          <w:rFonts w:asciiTheme="minorHAnsi" w:hAnsiTheme="minorHAnsi"/>
          <w:lang w:val="mk-MK"/>
        </w:rPr>
        <w:tab/>
      </w:r>
      <w:r w:rsidRPr="004E42AB">
        <w:rPr>
          <w:rFonts w:asciiTheme="minorHAnsi" w:hAnsiTheme="minorHAnsi"/>
          <w:lang w:val="mk-MK"/>
        </w:rPr>
        <w:tab/>
      </w:r>
      <w:r w:rsidRPr="004E42AB">
        <w:rPr>
          <w:rFonts w:asciiTheme="minorHAnsi" w:hAnsiTheme="minorHAnsi"/>
          <w:lang w:val="mk-MK"/>
        </w:rPr>
        <w:tab/>
      </w:r>
    </w:p>
    <w:p w:rsidR="004E42AB" w:rsidRPr="004E42AB" w:rsidRDefault="004E42AB" w:rsidP="001513F7">
      <w:pPr>
        <w:pStyle w:val="Heading1"/>
        <w:rPr>
          <w:lang w:val="mk-MK"/>
        </w:rPr>
      </w:pPr>
      <w:bookmarkStart w:id="35" w:name="_Toc441825691"/>
      <w:bookmarkStart w:id="36" w:name="_Toc461617753"/>
      <w:r w:rsidRPr="004E42AB">
        <w:rPr>
          <w:lang w:val="mk-MK"/>
        </w:rPr>
        <w:lastRenderedPageBreak/>
        <w:t>11. Заклучок</w:t>
      </w:r>
      <w:bookmarkEnd w:id="35"/>
      <w:bookmarkEnd w:id="36"/>
    </w:p>
    <w:p w:rsidR="004E42AB" w:rsidRPr="004E42AB" w:rsidRDefault="004E42AB" w:rsidP="004E42AB">
      <w:pPr>
        <w:rPr>
          <w:rFonts w:asciiTheme="minorHAnsi" w:hAnsiTheme="minorHAnsi" w:cs="Arial"/>
          <w:color w:val="222222"/>
          <w:lang w:val="mk-MK"/>
        </w:rPr>
      </w:pPr>
    </w:p>
    <w:p w:rsidR="004E42AB" w:rsidRPr="004E42AB" w:rsidRDefault="004E42AB" w:rsidP="004E42AB">
      <w:pPr>
        <w:rPr>
          <w:rFonts w:asciiTheme="minorHAnsi" w:hAnsiTheme="minorHAnsi" w:cs="Arial"/>
          <w:color w:val="222222"/>
          <w:lang w:val="mk-MK"/>
        </w:rPr>
      </w:pPr>
      <w:r w:rsidRPr="004E42AB">
        <w:rPr>
          <w:rFonts w:asciiTheme="minorHAnsi" w:hAnsiTheme="minorHAnsi" w:cs="Arial"/>
          <w:color w:val="222222"/>
          <w:lang w:val="mk-MK"/>
        </w:rPr>
        <w:t xml:space="preserve">Врз основа на спроведената анализа, АЕК </w:t>
      </w:r>
      <w:r w:rsidR="001513F7">
        <w:rPr>
          <w:rFonts w:asciiTheme="minorHAnsi" w:hAnsiTheme="minorHAnsi" w:cs="Arial"/>
          <w:color w:val="222222"/>
          <w:lang w:val="mk-MK"/>
        </w:rPr>
        <w:t>утврди дека операторот</w:t>
      </w:r>
      <w:r w:rsidRPr="004E42AB">
        <w:rPr>
          <w:rFonts w:asciiTheme="minorHAnsi" w:hAnsiTheme="minorHAnsi" w:cs="Arial"/>
          <w:color w:val="222222"/>
          <w:lang w:val="mk-MK"/>
        </w:rPr>
        <w:t xml:space="preserve"> Македонски Телеком АД Скопје </w:t>
      </w:r>
      <w:r w:rsidR="001513F7">
        <w:rPr>
          <w:rFonts w:asciiTheme="minorHAnsi" w:hAnsiTheme="minorHAnsi" w:cs="Arial"/>
          <w:color w:val="222222"/>
          <w:lang w:val="mk-MK"/>
        </w:rPr>
        <w:t>кој со претходната анализа беше определен за оп</w:t>
      </w:r>
      <w:r w:rsidR="001C6054">
        <w:rPr>
          <w:rFonts w:asciiTheme="minorHAnsi" w:hAnsiTheme="minorHAnsi" w:cs="Arial"/>
          <w:color w:val="222222"/>
        </w:rPr>
        <w:t>e</w:t>
      </w:r>
      <w:r w:rsidR="001513F7">
        <w:rPr>
          <w:rFonts w:asciiTheme="minorHAnsi" w:hAnsiTheme="minorHAnsi" w:cs="Arial"/>
          <w:color w:val="222222"/>
          <w:lang w:val="mk-MK"/>
        </w:rPr>
        <w:t>р</w:t>
      </w:r>
      <w:r w:rsidR="001C6054">
        <w:rPr>
          <w:rFonts w:asciiTheme="minorHAnsi" w:hAnsiTheme="minorHAnsi" w:cs="Arial"/>
          <w:color w:val="222222"/>
        </w:rPr>
        <w:t>a</w:t>
      </w:r>
      <w:r w:rsidR="001513F7">
        <w:rPr>
          <w:rFonts w:asciiTheme="minorHAnsi" w:hAnsiTheme="minorHAnsi" w:cs="Arial"/>
          <w:color w:val="222222"/>
          <w:lang w:val="mk-MK"/>
        </w:rPr>
        <w:t xml:space="preserve">тор со значителна пазарна моќ повеќе не ја поседува истата </w:t>
      </w:r>
      <w:r w:rsidRPr="004E42AB">
        <w:rPr>
          <w:rFonts w:asciiTheme="minorHAnsi" w:hAnsiTheme="minorHAnsi" w:cs="Arial"/>
          <w:color w:val="222222"/>
          <w:lang w:val="mk-MK"/>
        </w:rPr>
        <w:t>на разгледуваниот релевантен пазар. Според тоа на операторот Македонски Телеком АД определен како оператор со значителна пазарна моќ на овој релеванте</w:t>
      </w:r>
      <w:r w:rsidR="001513F7">
        <w:rPr>
          <w:rFonts w:asciiTheme="minorHAnsi" w:hAnsiTheme="minorHAnsi" w:cs="Arial"/>
          <w:color w:val="222222"/>
          <w:lang w:val="mk-MK"/>
        </w:rPr>
        <w:t>н пазар согласно член 82 (став 3 и 4</w:t>
      </w:r>
      <w:r w:rsidRPr="004E42AB">
        <w:rPr>
          <w:rFonts w:asciiTheme="minorHAnsi" w:hAnsiTheme="minorHAnsi" w:cs="Arial"/>
          <w:color w:val="222222"/>
          <w:lang w:val="mk-MK"/>
        </w:rPr>
        <w:t xml:space="preserve">) од ЗЕК му се </w:t>
      </w:r>
      <w:r w:rsidR="001513F7">
        <w:rPr>
          <w:rFonts w:asciiTheme="minorHAnsi" w:hAnsiTheme="minorHAnsi" w:cs="Arial"/>
          <w:color w:val="222222"/>
          <w:lang w:val="ru-RU"/>
        </w:rPr>
        <w:t>отповикуваат</w:t>
      </w:r>
      <w:r w:rsidRPr="004E42AB">
        <w:rPr>
          <w:rFonts w:asciiTheme="minorHAnsi" w:hAnsiTheme="minorHAnsi" w:cs="Arial"/>
          <w:color w:val="222222"/>
          <w:lang w:val="mk-MK"/>
        </w:rPr>
        <w:t xml:space="preserve"> следните  регулаторни обврски</w:t>
      </w:r>
      <w:r w:rsidR="001513F7">
        <w:rPr>
          <w:rFonts w:asciiTheme="minorHAnsi" w:hAnsiTheme="minorHAnsi" w:cs="Arial"/>
          <w:color w:val="222222"/>
          <w:lang w:val="mk-MK"/>
        </w:rPr>
        <w:t xml:space="preserve"> кои содржат забрана за</w:t>
      </w:r>
      <w:r w:rsidRPr="004E42AB">
        <w:rPr>
          <w:rFonts w:asciiTheme="minorHAnsi" w:hAnsiTheme="minorHAnsi" w:cs="Arial"/>
          <w:color w:val="222222"/>
          <w:lang w:val="mk-MK"/>
        </w:rPr>
        <w:t>:</w:t>
      </w:r>
    </w:p>
    <w:p w:rsidR="001513F7" w:rsidRPr="001513F7" w:rsidRDefault="001513F7" w:rsidP="001513F7">
      <w:pPr>
        <w:numPr>
          <w:ilvl w:val="0"/>
          <w:numId w:val="39"/>
        </w:numPr>
        <w:rPr>
          <w:rFonts w:asciiTheme="minorHAnsi" w:hAnsiTheme="minorHAnsi" w:cs="Arial"/>
          <w:b/>
          <w:color w:val="222222"/>
          <w:lang w:val="mk-MK"/>
        </w:rPr>
      </w:pPr>
      <w:r w:rsidRPr="001513F7">
        <w:rPr>
          <w:rFonts w:asciiTheme="minorHAnsi" w:hAnsiTheme="minorHAnsi" w:cs="Arial"/>
          <w:b/>
          <w:color w:val="222222"/>
          <w:lang w:val="mk-MK"/>
        </w:rPr>
        <w:t>Наплаќање на превисоки цени</w:t>
      </w:r>
    </w:p>
    <w:p w:rsidR="001513F7" w:rsidRPr="001513F7" w:rsidRDefault="001513F7" w:rsidP="001513F7">
      <w:pPr>
        <w:numPr>
          <w:ilvl w:val="0"/>
          <w:numId w:val="39"/>
        </w:numPr>
        <w:rPr>
          <w:rFonts w:asciiTheme="minorHAnsi" w:hAnsiTheme="minorHAnsi" w:cs="Arial"/>
          <w:b/>
          <w:color w:val="222222"/>
          <w:lang w:val="mk-MK"/>
        </w:rPr>
      </w:pPr>
      <w:r w:rsidRPr="001513F7">
        <w:rPr>
          <w:rFonts w:asciiTheme="minorHAnsi" w:hAnsiTheme="minorHAnsi" w:cs="Arial"/>
          <w:b/>
          <w:color w:val="222222"/>
          <w:lang w:val="mk-MK"/>
        </w:rPr>
        <w:t>Спречување на влез на пазарот</w:t>
      </w:r>
    </w:p>
    <w:p w:rsidR="001513F7" w:rsidRPr="001513F7" w:rsidRDefault="001513F7" w:rsidP="001513F7">
      <w:pPr>
        <w:numPr>
          <w:ilvl w:val="0"/>
          <w:numId w:val="39"/>
        </w:numPr>
        <w:rPr>
          <w:rFonts w:asciiTheme="minorHAnsi" w:hAnsiTheme="minorHAnsi" w:cs="Arial"/>
          <w:b/>
          <w:color w:val="222222"/>
          <w:lang w:val="mk-MK"/>
        </w:rPr>
      </w:pPr>
      <w:r w:rsidRPr="001513F7">
        <w:rPr>
          <w:rFonts w:asciiTheme="minorHAnsi" w:hAnsiTheme="minorHAnsi" w:cs="Arial"/>
          <w:b/>
          <w:color w:val="222222"/>
          <w:lang w:val="mk-MK"/>
        </w:rPr>
        <w:t>Ограничување на конкуренцијата со воведување на предаторски цени</w:t>
      </w:r>
    </w:p>
    <w:p w:rsidR="001513F7" w:rsidRPr="001513F7" w:rsidRDefault="001513F7" w:rsidP="001513F7">
      <w:pPr>
        <w:numPr>
          <w:ilvl w:val="0"/>
          <w:numId w:val="39"/>
        </w:numPr>
        <w:rPr>
          <w:rFonts w:asciiTheme="minorHAnsi" w:hAnsiTheme="minorHAnsi" w:cs="Arial"/>
          <w:b/>
          <w:color w:val="222222"/>
          <w:lang w:val="mk-MK"/>
        </w:rPr>
      </w:pPr>
      <w:r w:rsidRPr="001513F7">
        <w:rPr>
          <w:rFonts w:asciiTheme="minorHAnsi" w:hAnsiTheme="minorHAnsi" w:cs="Arial"/>
          <w:b/>
          <w:color w:val="222222"/>
          <w:lang w:val="mk-MK"/>
        </w:rPr>
        <w:t xml:space="preserve">Без причина давање на неоправдани привилегии на одредени крајни корисници </w:t>
      </w:r>
    </w:p>
    <w:p w:rsidR="001513F7" w:rsidRDefault="001513F7" w:rsidP="001513F7">
      <w:pPr>
        <w:numPr>
          <w:ilvl w:val="0"/>
          <w:numId w:val="39"/>
        </w:numPr>
        <w:rPr>
          <w:rFonts w:asciiTheme="minorHAnsi" w:hAnsiTheme="minorHAnsi" w:cs="Arial"/>
          <w:b/>
          <w:color w:val="222222"/>
          <w:lang w:val="mk-MK"/>
        </w:rPr>
      </w:pPr>
      <w:r w:rsidRPr="001513F7">
        <w:rPr>
          <w:rFonts w:asciiTheme="minorHAnsi" w:hAnsiTheme="minorHAnsi" w:cs="Arial"/>
          <w:b/>
          <w:color w:val="222222"/>
          <w:lang w:val="mk-MK"/>
        </w:rPr>
        <w:t>Неразмно врзување на услугите во пакет</w:t>
      </w:r>
    </w:p>
    <w:p w:rsidR="001513F7" w:rsidRDefault="001513F7" w:rsidP="001513F7">
      <w:pPr>
        <w:rPr>
          <w:rFonts w:asciiTheme="minorHAnsi" w:hAnsiTheme="minorHAnsi" w:cs="Arial"/>
          <w:b/>
          <w:color w:val="222222"/>
          <w:lang w:val="mk-MK"/>
        </w:rPr>
      </w:pPr>
    </w:p>
    <w:p w:rsidR="004E42AB" w:rsidRPr="004E42AB" w:rsidRDefault="001513F7" w:rsidP="001513F7">
      <w:pPr>
        <w:rPr>
          <w:rFonts w:asciiTheme="minorHAnsi" w:hAnsiTheme="minorHAnsi" w:cs="Arial"/>
          <w:color w:val="222222"/>
          <w:lang w:val="mk-MK"/>
        </w:rPr>
      </w:pPr>
      <w:r w:rsidRPr="001513F7">
        <w:rPr>
          <w:rFonts w:asciiTheme="minorHAnsi" w:hAnsiTheme="minorHAnsi"/>
          <w:lang w:val="mk-MK"/>
        </w:rPr>
        <w:t>На Македонски Телеком АД за електронски комуникации – Скопје му се отповикува наметнатата мерка контрола на поединечни цени</w:t>
      </w:r>
    </w:p>
    <w:p w:rsidR="00870C45" w:rsidRPr="00870C45" w:rsidRDefault="00870C45" w:rsidP="00870C45">
      <w:pPr>
        <w:rPr>
          <w:rFonts w:asciiTheme="minorHAnsi" w:hAnsiTheme="minorHAnsi" w:cs="Arial"/>
        </w:rPr>
      </w:pPr>
    </w:p>
    <w:p w:rsidR="00870C45" w:rsidRDefault="003E67F0" w:rsidP="00F9467C">
      <w:pPr>
        <w:spacing w:after="0"/>
        <w:rPr>
          <w:rFonts w:asciiTheme="minorHAnsi" w:hAnsiTheme="minorHAnsi" w:cs="Arial"/>
        </w:rPr>
      </w:pPr>
      <w:r>
        <w:rPr>
          <w:rFonts w:asciiTheme="minorHAnsi" w:hAnsiTheme="minorHAnsi" w:cs="Arial"/>
          <w:lang w:val="mk-MK"/>
        </w:rPr>
        <w:t>Изработил</w:t>
      </w:r>
      <w:r w:rsidR="00870C45" w:rsidRPr="00870C45">
        <w:rPr>
          <w:rFonts w:asciiTheme="minorHAnsi" w:hAnsiTheme="minorHAnsi" w:cs="Arial"/>
          <w:lang w:val="mk-MK"/>
        </w:rPr>
        <w:t>:</w:t>
      </w:r>
    </w:p>
    <w:p w:rsidR="003E67F0" w:rsidRDefault="003E67F0" w:rsidP="00F9467C">
      <w:pPr>
        <w:spacing w:after="0"/>
        <w:rPr>
          <w:rFonts w:asciiTheme="minorHAnsi" w:hAnsiTheme="minorHAnsi" w:cs="Arial"/>
          <w:lang w:val="mk-MK"/>
        </w:rPr>
      </w:pPr>
      <w:r>
        <w:rPr>
          <w:rFonts w:asciiTheme="minorHAnsi" w:hAnsiTheme="minorHAnsi" w:cs="Arial"/>
          <w:lang w:val="mk-MK"/>
        </w:rPr>
        <w:t>Александар Коцевски</w:t>
      </w:r>
    </w:p>
    <w:p w:rsidR="00F9467C" w:rsidRDefault="00F9467C" w:rsidP="00F9467C">
      <w:pPr>
        <w:spacing w:after="0"/>
        <w:rPr>
          <w:rFonts w:asciiTheme="minorHAnsi" w:hAnsiTheme="minorHAnsi" w:cs="Arial"/>
          <w:lang w:val="mk-MK"/>
        </w:rPr>
      </w:pPr>
    </w:p>
    <w:p w:rsidR="00F9467C" w:rsidRDefault="00F9467C" w:rsidP="00F9467C">
      <w:pPr>
        <w:spacing w:after="0"/>
        <w:rPr>
          <w:rFonts w:asciiTheme="minorHAnsi" w:hAnsiTheme="minorHAnsi" w:cs="Arial"/>
          <w:lang w:val="mk-MK"/>
        </w:rPr>
      </w:pPr>
    </w:p>
    <w:p w:rsidR="00870C45" w:rsidRPr="003E67F0" w:rsidRDefault="003E67F0" w:rsidP="00F9467C">
      <w:pPr>
        <w:spacing w:after="0"/>
        <w:rPr>
          <w:rFonts w:asciiTheme="minorHAnsi" w:hAnsiTheme="minorHAnsi" w:cs="Arial"/>
          <w:lang w:val="mk-MK"/>
        </w:rPr>
      </w:pPr>
      <w:r w:rsidRPr="00870C45">
        <w:rPr>
          <w:rFonts w:asciiTheme="minorHAnsi" w:hAnsiTheme="minorHAnsi" w:cs="Arial"/>
          <w:lang w:val="mk-MK"/>
        </w:rPr>
        <w:t>Рако</w:t>
      </w:r>
      <w:r>
        <w:rPr>
          <w:rFonts w:asciiTheme="minorHAnsi" w:hAnsiTheme="minorHAnsi" w:cs="Arial"/>
          <w:lang w:val="mk-MK"/>
        </w:rPr>
        <w:t>водител на Одделение за анализа на пазарите</w:t>
      </w:r>
      <w:r w:rsidR="00870C45" w:rsidRPr="00870C45">
        <w:rPr>
          <w:rFonts w:asciiTheme="minorHAnsi" w:hAnsiTheme="minorHAnsi" w:cs="Arial"/>
          <w:lang w:val="mk-MK"/>
        </w:rPr>
        <w:t xml:space="preserve">                                               </w:t>
      </w:r>
    </w:p>
    <w:p w:rsidR="00870C45" w:rsidRPr="00870C45" w:rsidRDefault="00870C45" w:rsidP="00870C45">
      <w:pPr>
        <w:rPr>
          <w:rFonts w:asciiTheme="minorHAnsi" w:hAnsiTheme="minorHAnsi" w:cs="Arial"/>
        </w:rPr>
      </w:pPr>
      <w:r w:rsidRPr="00870C45">
        <w:rPr>
          <w:rFonts w:asciiTheme="minorHAnsi" w:hAnsiTheme="minorHAnsi" w:cs="Arial"/>
          <w:lang w:val="mk-MK"/>
        </w:rPr>
        <w:t>Марјан Пејовски</w:t>
      </w:r>
    </w:p>
    <w:p w:rsidR="00F9467C" w:rsidRDefault="00F9467C" w:rsidP="00F9467C">
      <w:pPr>
        <w:spacing w:after="0"/>
        <w:rPr>
          <w:rFonts w:asciiTheme="minorHAnsi" w:hAnsiTheme="minorHAnsi" w:cs="Arial"/>
          <w:lang w:val="mk-MK"/>
        </w:rPr>
      </w:pPr>
    </w:p>
    <w:p w:rsidR="00F9467C" w:rsidRDefault="00F9467C" w:rsidP="00F9467C">
      <w:pPr>
        <w:spacing w:after="0"/>
        <w:rPr>
          <w:rFonts w:asciiTheme="minorHAnsi" w:hAnsiTheme="minorHAnsi" w:cs="Arial"/>
          <w:lang w:val="mk-MK"/>
        </w:rPr>
      </w:pPr>
    </w:p>
    <w:p w:rsidR="00870C45" w:rsidRPr="00870C45" w:rsidRDefault="00870C45" w:rsidP="00F9467C">
      <w:pPr>
        <w:spacing w:after="0"/>
        <w:rPr>
          <w:rFonts w:asciiTheme="minorHAnsi" w:hAnsiTheme="minorHAnsi" w:cs="Arial"/>
          <w:lang w:val="mk-MK"/>
        </w:rPr>
      </w:pPr>
      <w:r w:rsidRPr="00870C45">
        <w:rPr>
          <w:rFonts w:asciiTheme="minorHAnsi" w:hAnsiTheme="minorHAnsi" w:cs="Arial"/>
          <w:lang w:val="mk-MK"/>
        </w:rPr>
        <w:t>Раководител на Сектор за регулатива</w:t>
      </w:r>
    </w:p>
    <w:p w:rsidR="00870C45" w:rsidRPr="003E67F0" w:rsidRDefault="00870C45" w:rsidP="00F9467C">
      <w:pPr>
        <w:spacing w:after="0"/>
        <w:rPr>
          <w:rFonts w:asciiTheme="minorHAnsi" w:hAnsiTheme="minorHAnsi" w:cs="Arial"/>
          <w:lang w:val="mk-MK"/>
        </w:rPr>
      </w:pPr>
      <w:r w:rsidRPr="00870C45">
        <w:rPr>
          <w:rFonts w:asciiTheme="minorHAnsi" w:hAnsiTheme="minorHAnsi" w:cs="Arial"/>
          <w:lang w:val="mk-MK"/>
        </w:rPr>
        <w:t>Кристина Божиновска</w:t>
      </w:r>
      <w:r w:rsidRPr="00870C45">
        <w:rPr>
          <w:rFonts w:asciiTheme="minorHAnsi" w:hAnsiTheme="minorHAnsi" w:cs="Arial"/>
          <w:lang w:val="mk-MK"/>
        </w:rPr>
        <w:tab/>
      </w:r>
    </w:p>
    <w:p w:rsidR="00F9467C" w:rsidRDefault="00F9467C" w:rsidP="00870C45">
      <w:pPr>
        <w:rPr>
          <w:rFonts w:asciiTheme="minorHAnsi" w:hAnsiTheme="minorHAnsi" w:cs="Arial"/>
          <w:lang w:val="mk-MK"/>
        </w:rPr>
      </w:pPr>
    </w:p>
    <w:p w:rsidR="00870C45" w:rsidRPr="00870C45" w:rsidRDefault="00F9467C" w:rsidP="00F9467C">
      <w:pPr>
        <w:spacing w:after="0"/>
        <w:rPr>
          <w:rFonts w:asciiTheme="minorHAnsi" w:hAnsiTheme="minorHAnsi" w:cs="Arial"/>
          <w:lang w:val="mk-MK"/>
        </w:rPr>
      </w:pPr>
      <w:r>
        <w:rPr>
          <w:rFonts w:asciiTheme="minorHAnsi" w:hAnsiTheme="minorHAnsi" w:cs="Arial"/>
          <w:b/>
          <w:lang w:val="mk-MK"/>
        </w:rPr>
        <w:t xml:space="preserve">                                                                                                                            </w:t>
      </w:r>
      <w:r w:rsidR="00870C45" w:rsidRPr="00870C45">
        <w:rPr>
          <w:rFonts w:asciiTheme="minorHAnsi" w:hAnsiTheme="minorHAnsi" w:cs="Arial"/>
          <w:b/>
          <w:lang w:val="mk-MK"/>
        </w:rPr>
        <w:t>ДИРЕКТОР</w:t>
      </w:r>
    </w:p>
    <w:p w:rsidR="00870C45" w:rsidRPr="00870C45" w:rsidRDefault="00870C45" w:rsidP="00F9467C">
      <w:pPr>
        <w:spacing w:after="0"/>
        <w:rPr>
          <w:rFonts w:asciiTheme="minorHAnsi" w:hAnsiTheme="minorHAnsi" w:cs="Arial"/>
        </w:rPr>
      </w:pPr>
      <w:r w:rsidRPr="00870C45">
        <w:rPr>
          <w:rFonts w:asciiTheme="minorHAnsi" w:hAnsiTheme="minorHAnsi" w:cs="Arial"/>
          <w:lang w:val="mk-MK"/>
        </w:rPr>
        <w:t xml:space="preserve"> </w:t>
      </w:r>
      <w:r w:rsidRPr="00870C45">
        <w:rPr>
          <w:rFonts w:asciiTheme="minorHAnsi" w:hAnsiTheme="minorHAnsi" w:cs="Arial"/>
          <w:lang w:val="mk-MK"/>
        </w:rPr>
        <w:tab/>
      </w:r>
      <w:r w:rsidRPr="00870C45">
        <w:rPr>
          <w:rFonts w:asciiTheme="minorHAnsi" w:hAnsiTheme="minorHAnsi" w:cs="Arial"/>
          <w:lang w:val="mk-MK"/>
        </w:rPr>
        <w:tab/>
      </w:r>
      <w:r w:rsidRPr="00870C45">
        <w:rPr>
          <w:rFonts w:asciiTheme="minorHAnsi" w:hAnsiTheme="minorHAnsi" w:cs="Arial"/>
          <w:lang w:val="mk-MK"/>
        </w:rPr>
        <w:tab/>
      </w:r>
      <w:r w:rsidRPr="00870C45">
        <w:rPr>
          <w:rFonts w:asciiTheme="minorHAnsi" w:hAnsiTheme="minorHAnsi" w:cs="Arial"/>
          <w:lang w:val="mk-MK"/>
        </w:rPr>
        <w:tab/>
      </w:r>
      <w:r w:rsidRPr="00870C45">
        <w:rPr>
          <w:rFonts w:asciiTheme="minorHAnsi" w:hAnsiTheme="minorHAnsi" w:cs="Arial"/>
          <w:lang w:val="mk-MK"/>
        </w:rPr>
        <w:tab/>
      </w:r>
      <w:r w:rsidR="00F9467C">
        <w:rPr>
          <w:rFonts w:asciiTheme="minorHAnsi" w:hAnsiTheme="minorHAnsi" w:cs="Arial"/>
          <w:lang w:val="mk-MK"/>
        </w:rPr>
        <w:t xml:space="preserve">                              </w:t>
      </w:r>
      <w:r w:rsidRPr="00870C45">
        <w:rPr>
          <w:rFonts w:asciiTheme="minorHAnsi" w:hAnsiTheme="minorHAnsi" w:cs="Arial"/>
          <w:lang w:val="mk-MK"/>
        </w:rPr>
        <w:tab/>
      </w:r>
      <w:r w:rsidRPr="00870C45">
        <w:rPr>
          <w:rFonts w:asciiTheme="minorHAnsi" w:hAnsiTheme="minorHAnsi" w:cs="Arial"/>
          <w:b/>
          <w:lang w:val="mk-MK"/>
        </w:rPr>
        <w:t>Сашо Димитријоски</w:t>
      </w:r>
      <w:r w:rsidRPr="00870C45">
        <w:rPr>
          <w:rFonts w:asciiTheme="minorHAnsi" w:hAnsiTheme="minorHAnsi" w:cs="Arial"/>
          <w:lang w:val="mk-MK"/>
        </w:rPr>
        <w:t xml:space="preserve">              </w:t>
      </w:r>
    </w:p>
    <w:p w:rsidR="00870C45" w:rsidRDefault="00870C45" w:rsidP="00F9467C">
      <w:pPr>
        <w:spacing w:after="0"/>
        <w:rPr>
          <w:rFonts w:asciiTheme="minorHAnsi" w:hAnsiTheme="minorHAnsi" w:cs="Arial"/>
        </w:rPr>
      </w:pPr>
    </w:p>
    <w:p w:rsidR="00870C45" w:rsidRDefault="00870C45" w:rsidP="00870C45">
      <w:pPr>
        <w:spacing w:after="0" w:line="240" w:lineRule="auto"/>
        <w:rPr>
          <w:rFonts w:asciiTheme="minorHAnsi" w:hAnsiTheme="minorHAnsi" w:cs="Arial"/>
        </w:rPr>
      </w:pPr>
    </w:p>
    <w:p w:rsidR="00870C45" w:rsidRPr="00870C45" w:rsidRDefault="00870C45" w:rsidP="00870C45">
      <w:pPr>
        <w:spacing w:after="0" w:line="240" w:lineRule="auto"/>
        <w:rPr>
          <w:rFonts w:asciiTheme="minorHAnsi" w:hAnsiTheme="minorHAnsi" w:cs="Arial"/>
          <w:lang w:val="mk-MK"/>
        </w:rPr>
      </w:pPr>
      <w:r w:rsidRPr="00870C45">
        <w:rPr>
          <w:rFonts w:asciiTheme="minorHAnsi" w:hAnsiTheme="minorHAnsi" w:cs="Arial"/>
          <w:lang w:val="mk-MK"/>
        </w:rPr>
        <w:t>Наш број ________________</w:t>
      </w:r>
    </w:p>
    <w:p w:rsidR="00870C45" w:rsidRPr="00870C45" w:rsidRDefault="00870C45" w:rsidP="00870C45">
      <w:pPr>
        <w:spacing w:after="0" w:line="240" w:lineRule="auto"/>
        <w:rPr>
          <w:rFonts w:asciiTheme="minorHAnsi" w:hAnsiTheme="minorHAnsi" w:cs="Arial"/>
          <w:lang w:val="mk-MK"/>
        </w:rPr>
      </w:pPr>
      <w:r w:rsidRPr="00870C45">
        <w:rPr>
          <w:rFonts w:asciiTheme="minorHAnsi" w:hAnsiTheme="minorHAnsi" w:cs="Arial"/>
          <w:lang w:val="mk-MK"/>
        </w:rPr>
        <w:t xml:space="preserve">Скопје, </w:t>
      </w:r>
      <w:r w:rsidR="00F9467C">
        <w:rPr>
          <w:rFonts w:asciiTheme="minorHAnsi" w:hAnsiTheme="minorHAnsi" w:cs="Arial"/>
          <w:lang w:val="mk-MK"/>
        </w:rPr>
        <w:t>09.11</w:t>
      </w:r>
      <w:r w:rsidRPr="00870C45">
        <w:rPr>
          <w:rFonts w:asciiTheme="minorHAnsi" w:hAnsiTheme="minorHAnsi" w:cs="Arial"/>
          <w:lang w:val="mk-MK"/>
        </w:rPr>
        <w:t xml:space="preserve">.2016                                                                                         </w:t>
      </w:r>
    </w:p>
    <w:sectPr w:rsidR="00870C45" w:rsidRPr="00870C45" w:rsidSect="0034201D">
      <w:footerReference w:type="default" r:id="rId19"/>
      <w:pgSz w:w="11907" w:h="16839" w:code="9"/>
      <w:pgMar w:top="1440" w:right="1440" w:bottom="1440" w:left="1440" w:header="2891"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BF0" w:rsidRDefault="00051BF0" w:rsidP="00FB0E1F">
      <w:pPr>
        <w:spacing w:after="0" w:line="240" w:lineRule="auto"/>
      </w:pPr>
      <w:r>
        <w:separator/>
      </w:r>
    </w:p>
  </w:endnote>
  <w:endnote w:type="continuationSeparator" w:id="0">
    <w:p w:rsidR="00051BF0" w:rsidRDefault="00051BF0" w:rsidP="00FB0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EUAlbertina_Bold">
    <w:altName w:val="Times New Roman"/>
    <w:panose1 w:val="00000000000000000000"/>
    <w:charset w:val="00"/>
    <w:family w:val="roman"/>
    <w:notTrueType/>
    <w:pitch w:val="default"/>
    <w:sig w:usb0="00000003" w:usb1="00000000" w:usb2="00000000" w:usb3="00000000" w:csb0="00000001" w:csb1="00000000"/>
  </w:font>
  <w:font w:name="EUAlbertina_Bold_Italic">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BF0" w:rsidRDefault="00EF29D5">
    <w:pPr>
      <w:pStyle w:val="Footer"/>
      <w:jc w:val="right"/>
    </w:pPr>
    <w:fldSimple w:instr=" PAGE   \* MERGEFORMAT ">
      <w:r w:rsidR="00F9467C">
        <w:rPr>
          <w:noProof/>
        </w:rPr>
        <w:t>56</w:t>
      </w:r>
    </w:fldSimple>
  </w:p>
  <w:p w:rsidR="00051BF0" w:rsidRDefault="00051B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BF0" w:rsidRDefault="00051BF0" w:rsidP="00FB0E1F">
      <w:pPr>
        <w:spacing w:after="0" w:line="240" w:lineRule="auto"/>
      </w:pPr>
      <w:r>
        <w:separator/>
      </w:r>
    </w:p>
  </w:footnote>
  <w:footnote w:type="continuationSeparator" w:id="0">
    <w:p w:rsidR="00051BF0" w:rsidRDefault="00051BF0" w:rsidP="00FB0E1F">
      <w:pPr>
        <w:spacing w:after="0" w:line="240" w:lineRule="auto"/>
      </w:pPr>
      <w:r>
        <w:continuationSeparator/>
      </w:r>
    </w:p>
  </w:footnote>
  <w:footnote w:id="1">
    <w:p w:rsidR="00051BF0" w:rsidRPr="0093034B" w:rsidRDefault="00051BF0" w:rsidP="0093034B">
      <w:pPr>
        <w:autoSpaceDE w:val="0"/>
        <w:autoSpaceDN w:val="0"/>
        <w:adjustRightInd w:val="0"/>
        <w:spacing w:after="0" w:line="240" w:lineRule="auto"/>
        <w:rPr>
          <w:lang w:val="mk-MK"/>
        </w:rPr>
      </w:pPr>
      <w:r>
        <w:rPr>
          <w:rStyle w:val="FootnoteReference"/>
        </w:rPr>
        <w:footnoteRef/>
      </w:r>
      <w:r>
        <w:t xml:space="preserve"> </w:t>
      </w:r>
      <w:r w:rsidRPr="0093034B">
        <w:rPr>
          <w:rFonts w:cs="Calibri"/>
          <w:bCs/>
          <w:sz w:val="16"/>
          <w:szCs w:val="16"/>
        </w:rPr>
        <w:t>Commission guidelines on market analysis and the assessment of significant market power under</w:t>
      </w:r>
      <w:r>
        <w:rPr>
          <w:rFonts w:cs="Calibri"/>
          <w:bCs/>
          <w:sz w:val="16"/>
          <w:szCs w:val="16"/>
          <w:lang w:val="mk-MK"/>
        </w:rPr>
        <w:t xml:space="preserve"> </w:t>
      </w:r>
      <w:r w:rsidRPr="0093034B">
        <w:rPr>
          <w:rFonts w:cs="Calibri"/>
          <w:bCs/>
          <w:sz w:val="16"/>
          <w:szCs w:val="16"/>
        </w:rPr>
        <w:t>the Community regulatory framework for electronic communications networks and services</w:t>
      </w:r>
      <w:r>
        <w:rPr>
          <w:rFonts w:cs="Calibri"/>
          <w:bCs/>
          <w:sz w:val="16"/>
          <w:szCs w:val="16"/>
          <w:lang w:val="mk-MK"/>
        </w:rPr>
        <w:t xml:space="preserve"> </w:t>
      </w:r>
      <w:r w:rsidRPr="0093034B">
        <w:rPr>
          <w:rFonts w:cs="Calibri"/>
          <w:sz w:val="16"/>
          <w:szCs w:val="16"/>
        </w:rPr>
        <w:t>(2002/C 165/03)</w:t>
      </w:r>
    </w:p>
  </w:footnote>
  <w:footnote w:id="2">
    <w:p w:rsidR="00051BF0" w:rsidRPr="000E4710" w:rsidRDefault="00051BF0" w:rsidP="007967C2">
      <w:pPr>
        <w:autoSpaceDE w:val="0"/>
        <w:autoSpaceDN w:val="0"/>
        <w:adjustRightInd w:val="0"/>
        <w:spacing w:after="0" w:line="240" w:lineRule="auto"/>
        <w:rPr>
          <w:rFonts w:asciiTheme="minorHAnsi" w:hAnsiTheme="minorHAnsi"/>
          <w:lang w:val="mk-MK"/>
        </w:rPr>
      </w:pPr>
      <w:r w:rsidRPr="000E4710">
        <w:rPr>
          <w:rStyle w:val="FootnoteReference"/>
          <w:rFonts w:asciiTheme="minorHAnsi" w:hAnsiTheme="minorHAnsi"/>
        </w:rPr>
        <w:footnoteRef/>
      </w:r>
      <w:r w:rsidRPr="000E4710">
        <w:rPr>
          <w:rFonts w:asciiTheme="minorHAnsi" w:hAnsiTheme="minorHAnsi"/>
        </w:rPr>
        <w:t xml:space="preserve"> </w:t>
      </w:r>
      <w:r w:rsidRPr="000E4710">
        <w:rPr>
          <w:rFonts w:asciiTheme="minorHAnsi" w:hAnsiTheme="minorHAnsi" w:cs="EUAlbertina_Bold"/>
          <w:bCs/>
          <w:sz w:val="19"/>
          <w:szCs w:val="19"/>
        </w:rPr>
        <w:t>COMMISSION RECOMMENDATION</w:t>
      </w:r>
      <w:r w:rsidRPr="000E4710">
        <w:rPr>
          <w:rFonts w:asciiTheme="minorHAnsi" w:hAnsiTheme="minorHAnsi" w:cs="EUAlbertina_Bold"/>
          <w:bCs/>
          <w:sz w:val="19"/>
          <w:szCs w:val="19"/>
          <w:lang w:val="mk-MK"/>
        </w:rPr>
        <w:t xml:space="preserve"> </w:t>
      </w:r>
      <w:r w:rsidRPr="000E4710">
        <w:rPr>
          <w:rFonts w:asciiTheme="minorHAnsi" w:hAnsiTheme="minorHAnsi" w:cs="EUAlbertina_Bold"/>
          <w:bCs/>
          <w:sz w:val="19"/>
          <w:szCs w:val="19"/>
        </w:rPr>
        <w:t>of 17 December 2007</w:t>
      </w:r>
      <w:r w:rsidRPr="000E4710">
        <w:rPr>
          <w:rFonts w:asciiTheme="minorHAnsi" w:hAnsiTheme="minorHAnsi" w:cs="EUAlbertina_Bold"/>
          <w:bCs/>
          <w:sz w:val="19"/>
          <w:szCs w:val="19"/>
          <w:lang w:val="mk-MK"/>
        </w:rPr>
        <w:t xml:space="preserve"> </w:t>
      </w:r>
      <w:r w:rsidRPr="000E4710">
        <w:rPr>
          <w:rFonts w:asciiTheme="minorHAnsi" w:hAnsiTheme="minorHAnsi" w:cs="EUAlbertina_Bold"/>
          <w:bCs/>
          <w:sz w:val="19"/>
          <w:szCs w:val="19"/>
        </w:rPr>
        <w:t>on relevant product and service markets within the electronic communications sector susceptible to</w:t>
      </w:r>
      <w:r w:rsidRPr="000E4710">
        <w:rPr>
          <w:rFonts w:asciiTheme="minorHAnsi" w:hAnsiTheme="minorHAnsi" w:cs="EUAlbertina_Bold"/>
          <w:bCs/>
          <w:sz w:val="19"/>
          <w:szCs w:val="19"/>
          <w:lang w:val="mk-MK"/>
        </w:rPr>
        <w:t xml:space="preserve"> </w:t>
      </w:r>
      <w:r w:rsidRPr="000E4710">
        <w:rPr>
          <w:rFonts w:asciiTheme="minorHAnsi" w:hAnsiTheme="minorHAnsi" w:cs="EUAlbertina_Bold_Italic"/>
          <w:bCs/>
          <w:i/>
          <w:iCs/>
          <w:sz w:val="19"/>
          <w:szCs w:val="19"/>
        </w:rPr>
        <w:t xml:space="preserve">ex ante </w:t>
      </w:r>
      <w:r w:rsidRPr="000E4710">
        <w:rPr>
          <w:rFonts w:asciiTheme="minorHAnsi" w:hAnsiTheme="minorHAnsi" w:cs="EUAlbertina_Bold"/>
          <w:bCs/>
          <w:sz w:val="19"/>
          <w:szCs w:val="19"/>
        </w:rPr>
        <w:t>regulation in accordance with Directive 2002/21/EC of the European Parliament and of the</w:t>
      </w:r>
      <w:r w:rsidRPr="000E4710">
        <w:rPr>
          <w:rFonts w:asciiTheme="minorHAnsi" w:hAnsiTheme="minorHAnsi" w:cs="EUAlbertina_Bold"/>
          <w:bCs/>
          <w:sz w:val="19"/>
          <w:szCs w:val="19"/>
          <w:lang w:val="mk-MK"/>
        </w:rPr>
        <w:t xml:space="preserve"> </w:t>
      </w:r>
      <w:r w:rsidRPr="000E4710">
        <w:rPr>
          <w:rFonts w:asciiTheme="minorHAnsi" w:hAnsiTheme="minorHAnsi" w:cs="EUAlbertina_Bold"/>
          <w:bCs/>
          <w:sz w:val="19"/>
          <w:szCs w:val="19"/>
        </w:rPr>
        <w:t>Council on a common regulatory framework for electronic communications networks and services</w:t>
      </w:r>
    </w:p>
  </w:footnote>
  <w:footnote w:id="3">
    <w:p w:rsidR="00051BF0" w:rsidRPr="00BE5507" w:rsidRDefault="00051BF0">
      <w:pPr>
        <w:pStyle w:val="FootnoteText"/>
        <w:rPr>
          <w:sz w:val="16"/>
          <w:szCs w:val="16"/>
          <w:lang w:val="mk-MK"/>
        </w:rPr>
      </w:pPr>
      <w:r>
        <w:rPr>
          <w:rStyle w:val="FootnoteReference"/>
        </w:rPr>
        <w:footnoteRef/>
      </w:r>
      <w:r>
        <w:t xml:space="preserve"> </w:t>
      </w:r>
      <w:r w:rsidRPr="00BE5507">
        <w:rPr>
          <w:sz w:val="16"/>
          <w:szCs w:val="16"/>
        </w:rPr>
        <w:t>BoR (10) 64, Report on the Impact of Bundled Offers in Retail and Wholesale Market Definition, December 2010 (page 16)</w:t>
      </w:r>
    </w:p>
  </w:footnote>
  <w:footnote w:id="4">
    <w:p w:rsidR="00051BF0" w:rsidRPr="007B7B39" w:rsidRDefault="00051BF0">
      <w:pPr>
        <w:pStyle w:val="FootnoteText"/>
        <w:rPr>
          <w:lang w:val="mk-MK"/>
        </w:rPr>
      </w:pPr>
      <w:r w:rsidRPr="00BE5507">
        <w:rPr>
          <w:rStyle w:val="FootnoteReference"/>
          <w:sz w:val="16"/>
          <w:szCs w:val="16"/>
        </w:rPr>
        <w:footnoteRef/>
      </w:r>
      <w:hyperlink r:id="rId1" w:history="1">
        <w:r w:rsidRPr="000414D1">
          <w:rPr>
            <w:rStyle w:val="Hyperlink"/>
            <w:lang w:val="mk-MK"/>
          </w:rPr>
          <w:t>http://www.aek.mk/mk/dokumenti/izveshtai/kvartalni-izveshtai-za-analiza-na-pazar</w:t>
        </w:r>
      </w:hyperlink>
      <w:r>
        <w:rPr>
          <w:lang w:val="mk-MK"/>
        </w:rPr>
        <w:t xml:space="preserve">   </w:t>
      </w:r>
      <w:hyperlink r:id="rId2" w:history="1">
        <w:r w:rsidRPr="000414D1">
          <w:rPr>
            <w:rStyle w:val="Hyperlink"/>
            <w:lang w:val="mk-MK"/>
          </w:rPr>
          <w:t>http://www.aek.mk/mk/dokumenti/izveshtai/ispituvanje-na-javno-mislenje</w:t>
        </w:r>
      </w:hyperlink>
      <w:r>
        <w:rPr>
          <w:lang w:val="mk-MK"/>
        </w:rPr>
        <w:t xml:space="preserve"> </w:t>
      </w:r>
    </w:p>
  </w:footnote>
  <w:footnote w:id="5">
    <w:p w:rsidR="00051BF0" w:rsidRPr="001E14A5" w:rsidRDefault="00051BF0" w:rsidP="00797CFA">
      <w:pPr>
        <w:autoSpaceDE w:val="0"/>
        <w:autoSpaceDN w:val="0"/>
        <w:adjustRightInd w:val="0"/>
        <w:spacing w:after="0" w:line="240" w:lineRule="auto"/>
        <w:rPr>
          <w:rFonts w:cs="Calibri"/>
          <w:lang w:val="mk-MK"/>
        </w:rPr>
      </w:pPr>
      <w:r>
        <w:rPr>
          <w:rStyle w:val="FootnoteReference"/>
        </w:rPr>
        <w:footnoteRef/>
      </w:r>
      <w:r>
        <w:t xml:space="preserve"> </w:t>
      </w:r>
      <w:r w:rsidRPr="001E14A5">
        <w:rPr>
          <w:rFonts w:cs="Calibri"/>
          <w:b/>
          <w:bCs/>
          <w:sz w:val="16"/>
          <w:szCs w:val="16"/>
        </w:rPr>
        <w:t>EXPLANATORY NOTE</w:t>
      </w:r>
      <w:r w:rsidRPr="001E14A5">
        <w:rPr>
          <w:rFonts w:cs="Calibri"/>
          <w:b/>
          <w:bCs/>
          <w:sz w:val="16"/>
          <w:szCs w:val="16"/>
          <w:lang w:val="mk-MK"/>
        </w:rPr>
        <w:t xml:space="preserve"> - </w:t>
      </w:r>
      <w:r w:rsidRPr="001E14A5">
        <w:rPr>
          <w:rFonts w:cs="Calibri"/>
          <w:b/>
          <w:bCs/>
          <w:sz w:val="16"/>
          <w:szCs w:val="16"/>
        </w:rPr>
        <w:t>Accompanying document to the</w:t>
      </w:r>
      <w:r w:rsidRPr="001E14A5">
        <w:rPr>
          <w:rFonts w:cs="Calibri"/>
          <w:b/>
          <w:bCs/>
          <w:sz w:val="16"/>
          <w:szCs w:val="16"/>
          <w:lang w:val="mk-MK"/>
        </w:rPr>
        <w:t xml:space="preserve"> - </w:t>
      </w:r>
      <w:r w:rsidRPr="001E14A5">
        <w:rPr>
          <w:rFonts w:cs="Calibri"/>
          <w:b/>
          <w:bCs/>
          <w:sz w:val="16"/>
          <w:szCs w:val="16"/>
        </w:rPr>
        <w:t>Commission Recommendation on Relevant Product and Service Markets within the</w:t>
      </w:r>
      <w:r w:rsidRPr="001E14A5">
        <w:rPr>
          <w:rFonts w:cs="Calibri"/>
          <w:b/>
          <w:bCs/>
          <w:sz w:val="16"/>
          <w:szCs w:val="16"/>
          <w:lang w:val="mk-MK"/>
        </w:rPr>
        <w:t xml:space="preserve"> </w:t>
      </w:r>
      <w:r w:rsidRPr="001E14A5">
        <w:rPr>
          <w:rFonts w:cs="Calibri"/>
          <w:b/>
          <w:bCs/>
          <w:sz w:val="16"/>
          <w:szCs w:val="16"/>
        </w:rPr>
        <w:t>electronic communications sector susceptible to ex ante regulation in accordance with</w:t>
      </w:r>
      <w:r w:rsidRPr="001E14A5">
        <w:rPr>
          <w:rFonts w:cs="Calibri"/>
          <w:b/>
          <w:bCs/>
          <w:sz w:val="16"/>
          <w:szCs w:val="16"/>
          <w:lang w:val="mk-MK"/>
        </w:rPr>
        <w:t xml:space="preserve"> </w:t>
      </w:r>
      <w:r w:rsidRPr="001E14A5">
        <w:rPr>
          <w:rFonts w:cs="Calibri"/>
          <w:b/>
          <w:bCs/>
          <w:sz w:val="16"/>
          <w:szCs w:val="16"/>
        </w:rPr>
        <w:t>Directive 2002/21/EC of the European Parliament and of the Council on a common</w:t>
      </w:r>
      <w:r w:rsidRPr="001E14A5">
        <w:rPr>
          <w:rFonts w:cs="Calibri"/>
          <w:b/>
          <w:bCs/>
          <w:sz w:val="16"/>
          <w:szCs w:val="16"/>
          <w:lang w:val="mk-MK"/>
        </w:rPr>
        <w:t xml:space="preserve"> </w:t>
      </w:r>
      <w:r w:rsidRPr="001E14A5">
        <w:rPr>
          <w:rFonts w:cs="Calibri"/>
          <w:b/>
          <w:bCs/>
          <w:sz w:val="16"/>
          <w:szCs w:val="16"/>
        </w:rPr>
        <w:t>regulatory framework for electronic communications networks and services</w:t>
      </w:r>
      <w:r w:rsidRPr="001E14A5">
        <w:rPr>
          <w:rFonts w:cs="Calibri"/>
          <w:b/>
          <w:bCs/>
          <w:sz w:val="16"/>
          <w:szCs w:val="16"/>
          <w:lang w:val="mk-MK"/>
        </w:rPr>
        <w:t xml:space="preserve"> </w:t>
      </w:r>
      <w:r w:rsidRPr="000F71D4">
        <w:rPr>
          <w:rFonts w:cs="Calibri"/>
          <w:b/>
          <w:bCs/>
          <w:sz w:val="16"/>
          <w:szCs w:val="16"/>
          <w:lang w:val="mk-MK"/>
        </w:rPr>
        <w:t>C(2007) 5406</w:t>
      </w:r>
    </w:p>
  </w:footnote>
  <w:footnote w:id="6">
    <w:p w:rsidR="00051BF0" w:rsidRDefault="00051BF0" w:rsidP="00F21862">
      <w:pPr>
        <w:pStyle w:val="FootnoteText"/>
        <w:rPr>
          <w:rFonts w:cs="Calibri"/>
          <w:lang w:val="mk-MK"/>
        </w:rPr>
      </w:pPr>
      <w:r w:rsidRPr="007A1617">
        <w:rPr>
          <w:rStyle w:val="FootnoteReference"/>
          <w:rFonts w:cs="Calibri"/>
        </w:rPr>
        <w:footnoteRef/>
      </w:r>
      <w:r w:rsidRPr="007A1617">
        <w:rPr>
          <w:rFonts w:cs="Calibri"/>
        </w:rPr>
        <w:t xml:space="preserve"> Revised ERG Common Position</w:t>
      </w:r>
      <w:r w:rsidRPr="007A1617">
        <w:rPr>
          <w:rFonts w:cs="Calibri"/>
          <w:lang w:val="mk-MK"/>
        </w:rPr>
        <w:t xml:space="preserve"> </w:t>
      </w:r>
      <w:r w:rsidRPr="007A1617">
        <w:rPr>
          <w:rFonts w:cs="Calibri"/>
        </w:rPr>
        <w:t>on the approach to</w:t>
      </w:r>
      <w:r w:rsidRPr="007A1617">
        <w:rPr>
          <w:rFonts w:cs="Calibri"/>
          <w:lang w:val="mk-MK"/>
        </w:rPr>
        <w:t xml:space="preserve"> </w:t>
      </w:r>
      <w:r w:rsidRPr="007A1617">
        <w:rPr>
          <w:rFonts w:cs="Calibri"/>
        </w:rPr>
        <w:t>Appropriate remedies in the ECNS</w:t>
      </w:r>
      <w:r w:rsidRPr="007A1617">
        <w:rPr>
          <w:rFonts w:cs="Calibri"/>
          <w:lang w:val="mk-MK"/>
        </w:rPr>
        <w:t xml:space="preserve"> </w:t>
      </w:r>
      <w:r w:rsidRPr="007A1617">
        <w:rPr>
          <w:rFonts w:cs="Calibri"/>
        </w:rPr>
        <w:t>regulatory framework</w:t>
      </w:r>
    </w:p>
    <w:p w:rsidR="00051BF0" w:rsidRPr="007A1617" w:rsidRDefault="00051BF0" w:rsidP="000E4710">
      <w:pPr>
        <w:pStyle w:val="FootnoteText"/>
        <w:jc w:val="left"/>
        <w:rPr>
          <w:rFonts w:cs="Calibri"/>
          <w:lang w:val="mk-MK"/>
        </w:rPr>
      </w:pPr>
      <w:r>
        <w:rPr>
          <w:rFonts w:cs="Calibri"/>
          <w:lang w:val="mk-MK"/>
        </w:rPr>
        <w:t xml:space="preserve">Линк до документот: </w:t>
      </w:r>
      <w:r w:rsidRPr="007A1617">
        <w:rPr>
          <w:rFonts w:cs="Calibri"/>
          <w:lang w:val="mk-MK"/>
        </w:rPr>
        <w:t>http://www.irg.eu/streaming/erg_06_33_remedies_common_position_june_06.pdf?contentId=542920&amp;field=ATTACHED_FILE</w:t>
      </w:r>
    </w:p>
  </w:footnote>
  <w:footnote w:id="7">
    <w:p w:rsidR="00051BF0" w:rsidRPr="00FB18E5" w:rsidRDefault="00051BF0">
      <w:pPr>
        <w:pStyle w:val="FootnoteText"/>
        <w:rPr>
          <w:lang w:val="mk-MK"/>
        </w:rPr>
      </w:pPr>
      <w:r>
        <w:rPr>
          <w:rStyle w:val="FootnoteReference"/>
        </w:rPr>
        <w:footnoteRef/>
      </w:r>
      <w:r>
        <w:t xml:space="preserve"> </w:t>
      </w:r>
      <w:hyperlink r:id="rId3" w:history="1">
        <w:r w:rsidRPr="00A003D6">
          <w:rPr>
            <w:rStyle w:val="Hyperlink"/>
          </w:rPr>
          <w:t>http://ec.europa.eu/information_society/policy/ecomm/doc/library/proposals/rec_markets_en.pdf</w:t>
        </w:r>
      </w:hyperlink>
      <w:r>
        <w:rPr>
          <w:lang w:val="mk-MK"/>
        </w:rPr>
        <w:t xml:space="preserve"> </w:t>
      </w:r>
    </w:p>
  </w:footnote>
  <w:footnote w:id="8">
    <w:p w:rsidR="00051BF0" w:rsidRDefault="00051BF0" w:rsidP="003E231B">
      <w:pPr>
        <w:pStyle w:val="FootnoteText"/>
        <w:rPr>
          <w:lang w:val="mk-MK"/>
        </w:rPr>
      </w:pPr>
      <w:r>
        <w:rPr>
          <w:rStyle w:val="FootnoteReference"/>
        </w:rPr>
        <w:footnoteRef/>
      </w:r>
      <w:r>
        <w:t xml:space="preserve"> Commission guidelines on market analysis and the assessment of significant market power under</w:t>
      </w:r>
      <w:r>
        <w:rPr>
          <w:lang w:val="mk-MK"/>
        </w:rPr>
        <w:t xml:space="preserve"> </w:t>
      </w:r>
      <w:r>
        <w:t>the Community regulatory framework for electronic communications networks and services</w:t>
      </w:r>
      <w:r>
        <w:rPr>
          <w:lang w:val="mk-MK"/>
        </w:rPr>
        <w:t xml:space="preserve"> </w:t>
      </w:r>
      <w:r>
        <w:t>(2002/C 165/03)</w:t>
      </w:r>
    </w:p>
    <w:p w:rsidR="00051BF0" w:rsidRDefault="00051BF0">
      <w:pPr>
        <w:pStyle w:val="FootnoteText"/>
        <w:spacing w:after="0"/>
        <w:rPr>
          <w:rFonts w:ascii="Arial" w:hAnsi="Arial" w:cs="Arial"/>
          <w:sz w:val="16"/>
          <w:szCs w:val="16"/>
          <w:lang w:val="mk-MK"/>
        </w:rPr>
      </w:pPr>
      <w:r>
        <w:rPr>
          <w:rFonts w:ascii="Arial" w:hAnsi="Arial" w:cs="Arial"/>
          <w:sz w:val="16"/>
          <w:szCs w:val="16"/>
          <w:vertAlign w:val="superscript"/>
          <w:lang w:val="mk-MK"/>
        </w:rPr>
        <w:t xml:space="preserve">10 </w:t>
      </w:r>
      <w:r>
        <w:rPr>
          <w:rFonts w:ascii="Arial" w:hAnsi="Arial" w:cs="Arial"/>
          <w:sz w:val="16"/>
          <w:szCs w:val="16"/>
        </w:rPr>
        <w:t>The document (ERG(08)21- ERG Report on Guidance on the application of the three criteria test) is available at:</w:t>
      </w:r>
    </w:p>
    <w:p w:rsidR="00051BF0" w:rsidRDefault="00051BF0">
      <w:pPr>
        <w:pStyle w:val="FootnoteText"/>
        <w:spacing w:after="0"/>
        <w:rPr>
          <w:lang w:val="mk-MK"/>
        </w:rPr>
      </w:pPr>
      <w:r>
        <w:rPr>
          <w:rFonts w:ascii="Arial" w:hAnsi="Arial" w:cs="Arial"/>
          <w:color w:val="0000FF"/>
          <w:sz w:val="16"/>
          <w:szCs w:val="16"/>
        </w:rPr>
        <w:t>http://www.irg.eu/streaming/erg_08_21_erg_rep_3crit_test_final_080604.pdf?contentId=545221&amp;field=ATTACHED_FILE</w:t>
      </w:r>
      <w:r>
        <w:rPr>
          <w:rFonts w:ascii="Arial" w:hAnsi="Arial" w:cs="Arial"/>
          <w:color w:val="000000"/>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D51"/>
    <w:multiLevelType w:val="hybridMultilevel"/>
    <w:tmpl w:val="35905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50C09"/>
    <w:multiLevelType w:val="hybridMultilevel"/>
    <w:tmpl w:val="E48C76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A7DDB"/>
    <w:multiLevelType w:val="hybridMultilevel"/>
    <w:tmpl w:val="4228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620280"/>
    <w:multiLevelType w:val="hybridMultilevel"/>
    <w:tmpl w:val="09E8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C2BEF"/>
    <w:multiLevelType w:val="hybridMultilevel"/>
    <w:tmpl w:val="C3A64C7C"/>
    <w:lvl w:ilvl="0" w:tplc="98BCF16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E79FD"/>
    <w:multiLevelType w:val="hybridMultilevel"/>
    <w:tmpl w:val="F300D0EC"/>
    <w:lvl w:ilvl="0" w:tplc="AB52F656">
      <w:start w:val="1"/>
      <w:numFmt w:val="decimal"/>
      <w:lvlText w:val="%1."/>
      <w:lvlJc w:val="left"/>
      <w:pPr>
        <w:ind w:left="81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72CE0"/>
    <w:multiLevelType w:val="hybridMultilevel"/>
    <w:tmpl w:val="89D41E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926805"/>
    <w:multiLevelType w:val="hybridMultilevel"/>
    <w:tmpl w:val="8404F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0D5EA3"/>
    <w:multiLevelType w:val="hybridMultilevel"/>
    <w:tmpl w:val="B2ACE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0421E"/>
    <w:multiLevelType w:val="multilevel"/>
    <w:tmpl w:val="623855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56F7EAD"/>
    <w:multiLevelType w:val="hybridMultilevel"/>
    <w:tmpl w:val="E5B4C9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FB6FBB"/>
    <w:multiLevelType w:val="hybridMultilevel"/>
    <w:tmpl w:val="ADF060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C9150E"/>
    <w:multiLevelType w:val="hybridMultilevel"/>
    <w:tmpl w:val="BB600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AC3371"/>
    <w:multiLevelType w:val="hybridMultilevel"/>
    <w:tmpl w:val="134E0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028A7"/>
    <w:multiLevelType w:val="hybridMultilevel"/>
    <w:tmpl w:val="73121916"/>
    <w:lvl w:ilvl="0" w:tplc="DF7C48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E94C69"/>
    <w:multiLevelType w:val="hybridMultilevel"/>
    <w:tmpl w:val="2A7E7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46D39"/>
    <w:multiLevelType w:val="hybridMultilevel"/>
    <w:tmpl w:val="BD38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E548E0"/>
    <w:multiLevelType w:val="hybridMultilevel"/>
    <w:tmpl w:val="D84EE16E"/>
    <w:lvl w:ilvl="0" w:tplc="EAD0D5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D39A2"/>
    <w:multiLevelType w:val="hybridMultilevel"/>
    <w:tmpl w:val="741E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623EB"/>
    <w:multiLevelType w:val="hybridMultilevel"/>
    <w:tmpl w:val="E5EAFE76"/>
    <w:lvl w:ilvl="0" w:tplc="034AA9E8">
      <w:numFmt w:val="bullet"/>
      <w:lvlText w:val="-"/>
      <w:lvlJc w:val="left"/>
      <w:pPr>
        <w:ind w:left="720" w:hanging="360"/>
      </w:pPr>
      <w:rPr>
        <w:rFonts w:ascii="StobiSerif Regular" w:eastAsia="Calibri" w:hAnsi="StobiSerif Regular"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AE44D2"/>
    <w:multiLevelType w:val="hybridMultilevel"/>
    <w:tmpl w:val="AF26EADC"/>
    <w:name w:val="WW8Num172"/>
    <w:lvl w:ilvl="0" w:tplc="8DD6DFA2">
      <w:start w:val="1"/>
      <w:numFmt w:val="decimal"/>
      <w:lvlText w:val="%1."/>
      <w:lvlJc w:val="left"/>
      <w:pPr>
        <w:tabs>
          <w:tab w:val="num" w:pos="720"/>
        </w:tabs>
        <w:ind w:left="720" w:hanging="360"/>
      </w:pPr>
      <w:rPr>
        <w:rFonts w:hint="default"/>
        <w:b w:val="0"/>
        <w:i w:val="0"/>
        <w:sz w:val="22"/>
        <w:szCs w:val="22"/>
      </w:rPr>
    </w:lvl>
    <w:lvl w:ilvl="1" w:tplc="8BC476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0B0775"/>
    <w:multiLevelType w:val="hybridMultilevel"/>
    <w:tmpl w:val="7554824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2">
    <w:nsid w:val="519A4802"/>
    <w:multiLevelType w:val="hybridMultilevel"/>
    <w:tmpl w:val="F9AA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2D20A5"/>
    <w:multiLevelType w:val="hybridMultilevel"/>
    <w:tmpl w:val="452AD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ED72D0"/>
    <w:multiLevelType w:val="hybridMultilevel"/>
    <w:tmpl w:val="72BAE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A46B0E"/>
    <w:multiLevelType w:val="hybridMultilevel"/>
    <w:tmpl w:val="6FA8F6E8"/>
    <w:lvl w:ilvl="0" w:tplc="DF7C482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B16203"/>
    <w:multiLevelType w:val="hybridMultilevel"/>
    <w:tmpl w:val="F300D0EC"/>
    <w:lvl w:ilvl="0" w:tplc="AB52F656">
      <w:start w:val="1"/>
      <w:numFmt w:val="decimal"/>
      <w:lvlText w:val="%1."/>
      <w:lvlJc w:val="left"/>
      <w:pPr>
        <w:ind w:left="81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5400D1"/>
    <w:multiLevelType w:val="hybridMultilevel"/>
    <w:tmpl w:val="3416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4"/>
  </w:num>
  <w:num w:numId="4">
    <w:abstractNumId w:val="22"/>
  </w:num>
  <w:num w:numId="5">
    <w:abstractNumId w:val="7"/>
  </w:num>
  <w:num w:numId="6">
    <w:abstractNumId w:val="4"/>
  </w:num>
  <w:num w:numId="7">
    <w:abstractNumId w:val="25"/>
  </w:num>
  <w:num w:numId="8">
    <w:abstractNumId w:val="21"/>
  </w:num>
  <w:num w:numId="9">
    <w:abstractNumId w:val="0"/>
  </w:num>
  <w:num w:numId="10">
    <w:abstractNumId w:val="26"/>
  </w:num>
  <w:num w:numId="11">
    <w:abstractNumId w:val="5"/>
  </w:num>
  <w:num w:numId="12">
    <w:abstractNumId w:val="17"/>
  </w:num>
  <w:num w:numId="13">
    <w:abstractNumId w:val="27"/>
  </w:num>
  <w:num w:numId="14">
    <w:abstractNumId w:val="16"/>
  </w:num>
  <w:num w:numId="15">
    <w:abstractNumId w:val="6"/>
  </w:num>
  <w:num w:numId="16">
    <w:abstractNumId w:val="18"/>
  </w:num>
  <w:num w:numId="17">
    <w:abstractNumId w:val="8"/>
  </w:num>
  <w:num w:numId="18">
    <w:abstractNumId w:val="11"/>
  </w:num>
  <w:num w:numId="19">
    <w:abstractNumId w:val="15"/>
  </w:num>
  <w:num w:numId="20">
    <w:abstractNumId w:val="12"/>
  </w:num>
  <w:num w:numId="21">
    <w:abstractNumId w:val="23"/>
  </w:num>
  <w:num w:numId="22">
    <w:abstractNumId w:val="13"/>
  </w:num>
  <w:num w:numId="23">
    <w:abstractNumId w:val="3"/>
  </w:num>
  <w:num w:numId="24">
    <w:abstractNumId w:val="10"/>
  </w:num>
  <w:num w:numId="25">
    <w:abstractNumId w:val="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FB0E1F"/>
    <w:rsid w:val="00002541"/>
    <w:rsid w:val="000027E5"/>
    <w:rsid w:val="000029ED"/>
    <w:rsid w:val="000033A8"/>
    <w:rsid w:val="0000384A"/>
    <w:rsid w:val="00003E11"/>
    <w:rsid w:val="000046C0"/>
    <w:rsid w:val="00007438"/>
    <w:rsid w:val="00007C60"/>
    <w:rsid w:val="000105EB"/>
    <w:rsid w:val="000118A7"/>
    <w:rsid w:val="00011FFA"/>
    <w:rsid w:val="00014C37"/>
    <w:rsid w:val="0001618A"/>
    <w:rsid w:val="0001708B"/>
    <w:rsid w:val="00021AC9"/>
    <w:rsid w:val="00022EB7"/>
    <w:rsid w:val="000262D9"/>
    <w:rsid w:val="000279A5"/>
    <w:rsid w:val="00027CBF"/>
    <w:rsid w:val="00032CF5"/>
    <w:rsid w:val="00033B25"/>
    <w:rsid w:val="00033D55"/>
    <w:rsid w:val="00033DC9"/>
    <w:rsid w:val="000341DC"/>
    <w:rsid w:val="00034317"/>
    <w:rsid w:val="0003479F"/>
    <w:rsid w:val="000360B1"/>
    <w:rsid w:val="000360CA"/>
    <w:rsid w:val="00036A90"/>
    <w:rsid w:val="00041E71"/>
    <w:rsid w:val="00042694"/>
    <w:rsid w:val="000435E1"/>
    <w:rsid w:val="000442AC"/>
    <w:rsid w:val="000442EB"/>
    <w:rsid w:val="00044C04"/>
    <w:rsid w:val="0004704C"/>
    <w:rsid w:val="0004728D"/>
    <w:rsid w:val="00047332"/>
    <w:rsid w:val="00051BF0"/>
    <w:rsid w:val="00051F66"/>
    <w:rsid w:val="00052CBB"/>
    <w:rsid w:val="000532DE"/>
    <w:rsid w:val="00053641"/>
    <w:rsid w:val="00053ADF"/>
    <w:rsid w:val="00053C60"/>
    <w:rsid w:val="000548B9"/>
    <w:rsid w:val="00054954"/>
    <w:rsid w:val="00055150"/>
    <w:rsid w:val="00055429"/>
    <w:rsid w:val="000562D0"/>
    <w:rsid w:val="00056EB0"/>
    <w:rsid w:val="00057182"/>
    <w:rsid w:val="00057364"/>
    <w:rsid w:val="00060F20"/>
    <w:rsid w:val="00061149"/>
    <w:rsid w:val="000611EE"/>
    <w:rsid w:val="00061726"/>
    <w:rsid w:val="00061EA9"/>
    <w:rsid w:val="00062635"/>
    <w:rsid w:val="00063D70"/>
    <w:rsid w:val="000641C8"/>
    <w:rsid w:val="00064261"/>
    <w:rsid w:val="00066B72"/>
    <w:rsid w:val="00066C6D"/>
    <w:rsid w:val="00067F54"/>
    <w:rsid w:val="00071371"/>
    <w:rsid w:val="00071A74"/>
    <w:rsid w:val="0007223D"/>
    <w:rsid w:val="00072782"/>
    <w:rsid w:val="00073165"/>
    <w:rsid w:val="00073AA8"/>
    <w:rsid w:val="00073CA7"/>
    <w:rsid w:val="00073DB0"/>
    <w:rsid w:val="00074E8D"/>
    <w:rsid w:val="00076C75"/>
    <w:rsid w:val="00076F5A"/>
    <w:rsid w:val="00077D6D"/>
    <w:rsid w:val="00080587"/>
    <w:rsid w:val="000810C5"/>
    <w:rsid w:val="000838A4"/>
    <w:rsid w:val="00083BDC"/>
    <w:rsid w:val="000840A4"/>
    <w:rsid w:val="0008416D"/>
    <w:rsid w:val="000852CC"/>
    <w:rsid w:val="0008560B"/>
    <w:rsid w:val="00085A89"/>
    <w:rsid w:val="00085DE5"/>
    <w:rsid w:val="000872AB"/>
    <w:rsid w:val="00087BF0"/>
    <w:rsid w:val="00087D7A"/>
    <w:rsid w:val="0009047B"/>
    <w:rsid w:val="00090826"/>
    <w:rsid w:val="00090C0A"/>
    <w:rsid w:val="0009289C"/>
    <w:rsid w:val="00092CD6"/>
    <w:rsid w:val="00093B8C"/>
    <w:rsid w:val="00094858"/>
    <w:rsid w:val="00094D88"/>
    <w:rsid w:val="000950E6"/>
    <w:rsid w:val="0009571D"/>
    <w:rsid w:val="00096102"/>
    <w:rsid w:val="00097F8D"/>
    <w:rsid w:val="000A060F"/>
    <w:rsid w:val="000A1620"/>
    <w:rsid w:val="000A3944"/>
    <w:rsid w:val="000A420E"/>
    <w:rsid w:val="000A5CD7"/>
    <w:rsid w:val="000A6085"/>
    <w:rsid w:val="000A6C76"/>
    <w:rsid w:val="000A767D"/>
    <w:rsid w:val="000B0638"/>
    <w:rsid w:val="000B0CA1"/>
    <w:rsid w:val="000B3CA5"/>
    <w:rsid w:val="000B4D18"/>
    <w:rsid w:val="000B6712"/>
    <w:rsid w:val="000B7B5A"/>
    <w:rsid w:val="000B7BE7"/>
    <w:rsid w:val="000C0911"/>
    <w:rsid w:val="000C2C2A"/>
    <w:rsid w:val="000C3145"/>
    <w:rsid w:val="000C349A"/>
    <w:rsid w:val="000C3511"/>
    <w:rsid w:val="000C3717"/>
    <w:rsid w:val="000C3910"/>
    <w:rsid w:val="000C3DDE"/>
    <w:rsid w:val="000C4432"/>
    <w:rsid w:val="000C5987"/>
    <w:rsid w:val="000C6526"/>
    <w:rsid w:val="000C6709"/>
    <w:rsid w:val="000C7B2C"/>
    <w:rsid w:val="000D2A63"/>
    <w:rsid w:val="000D2B89"/>
    <w:rsid w:val="000D354A"/>
    <w:rsid w:val="000D35F7"/>
    <w:rsid w:val="000D38B2"/>
    <w:rsid w:val="000D5333"/>
    <w:rsid w:val="000D596D"/>
    <w:rsid w:val="000D6A91"/>
    <w:rsid w:val="000D724D"/>
    <w:rsid w:val="000D744F"/>
    <w:rsid w:val="000D763B"/>
    <w:rsid w:val="000D7705"/>
    <w:rsid w:val="000D7723"/>
    <w:rsid w:val="000E0B9D"/>
    <w:rsid w:val="000E1232"/>
    <w:rsid w:val="000E2438"/>
    <w:rsid w:val="000E28EF"/>
    <w:rsid w:val="000E3973"/>
    <w:rsid w:val="000E45FF"/>
    <w:rsid w:val="000E4710"/>
    <w:rsid w:val="000E577B"/>
    <w:rsid w:val="000E6522"/>
    <w:rsid w:val="000E7171"/>
    <w:rsid w:val="000F158B"/>
    <w:rsid w:val="000F1594"/>
    <w:rsid w:val="000F1B13"/>
    <w:rsid w:val="000F1EB6"/>
    <w:rsid w:val="000F3C36"/>
    <w:rsid w:val="000F45C0"/>
    <w:rsid w:val="000F4D0F"/>
    <w:rsid w:val="000F589D"/>
    <w:rsid w:val="000F71C2"/>
    <w:rsid w:val="000F71D4"/>
    <w:rsid w:val="000F7FAF"/>
    <w:rsid w:val="00100887"/>
    <w:rsid w:val="00100B39"/>
    <w:rsid w:val="00101F55"/>
    <w:rsid w:val="001026F2"/>
    <w:rsid w:val="00102EFD"/>
    <w:rsid w:val="001052DD"/>
    <w:rsid w:val="001052E6"/>
    <w:rsid w:val="0010534E"/>
    <w:rsid w:val="0010541B"/>
    <w:rsid w:val="00105A2D"/>
    <w:rsid w:val="00105E03"/>
    <w:rsid w:val="001068F4"/>
    <w:rsid w:val="001125DA"/>
    <w:rsid w:val="00112A5E"/>
    <w:rsid w:val="00112F3C"/>
    <w:rsid w:val="001138C0"/>
    <w:rsid w:val="0011442F"/>
    <w:rsid w:val="00115581"/>
    <w:rsid w:val="00115D09"/>
    <w:rsid w:val="001166DA"/>
    <w:rsid w:val="00121F1F"/>
    <w:rsid w:val="00121F59"/>
    <w:rsid w:val="0012399D"/>
    <w:rsid w:val="00123A95"/>
    <w:rsid w:val="00125725"/>
    <w:rsid w:val="00127161"/>
    <w:rsid w:val="001275DB"/>
    <w:rsid w:val="00131A42"/>
    <w:rsid w:val="00131B3A"/>
    <w:rsid w:val="001320B8"/>
    <w:rsid w:val="001325C1"/>
    <w:rsid w:val="00133408"/>
    <w:rsid w:val="00133B74"/>
    <w:rsid w:val="00134BA0"/>
    <w:rsid w:val="00136A32"/>
    <w:rsid w:val="00136DC3"/>
    <w:rsid w:val="001407DA"/>
    <w:rsid w:val="001441E0"/>
    <w:rsid w:val="0014461B"/>
    <w:rsid w:val="001452BD"/>
    <w:rsid w:val="001465A2"/>
    <w:rsid w:val="0014689D"/>
    <w:rsid w:val="00146912"/>
    <w:rsid w:val="00147E8B"/>
    <w:rsid w:val="001508FA"/>
    <w:rsid w:val="001512F5"/>
    <w:rsid w:val="001513F7"/>
    <w:rsid w:val="001515EC"/>
    <w:rsid w:val="00151F2F"/>
    <w:rsid w:val="001528AE"/>
    <w:rsid w:val="0015319A"/>
    <w:rsid w:val="001539F8"/>
    <w:rsid w:val="00153AF1"/>
    <w:rsid w:val="00153EBC"/>
    <w:rsid w:val="001541E5"/>
    <w:rsid w:val="001549A6"/>
    <w:rsid w:val="001549C3"/>
    <w:rsid w:val="00154CC8"/>
    <w:rsid w:val="00154D46"/>
    <w:rsid w:val="001555B2"/>
    <w:rsid w:val="00157D97"/>
    <w:rsid w:val="00162507"/>
    <w:rsid w:val="0016304D"/>
    <w:rsid w:val="0016354E"/>
    <w:rsid w:val="00163C7D"/>
    <w:rsid w:val="00164939"/>
    <w:rsid w:val="00164B93"/>
    <w:rsid w:val="00165EF3"/>
    <w:rsid w:val="00167295"/>
    <w:rsid w:val="00167405"/>
    <w:rsid w:val="0016782D"/>
    <w:rsid w:val="00167D6A"/>
    <w:rsid w:val="001701B6"/>
    <w:rsid w:val="0017184A"/>
    <w:rsid w:val="00172875"/>
    <w:rsid w:val="001728D8"/>
    <w:rsid w:val="00172E7F"/>
    <w:rsid w:val="001732B0"/>
    <w:rsid w:val="00173908"/>
    <w:rsid w:val="001739EF"/>
    <w:rsid w:val="00173FB2"/>
    <w:rsid w:val="0017416B"/>
    <w:rsid w:val="0017487E"/>
    <w:rsid w:val="00174D37"/>
    <w:rsid w:val="0017503D"/>
    <w:rsid w:val="00175495"/>
    <w:rsid w:val="00177823"/>
    <w:rsid w:val="00177987"/>
    <w:rsid w:val="001818E7"/>
    <w:rsid w:val="00181984"/>
    <w:rsid w:val="00181E76"/>
    <w:rsid w:val="00182769"/>
    <w:rsid w:val="00182A3E"/>
    <w:rsid w:val="00182C7E"/>
    <w:rsid w:val="00184669"/>
    <w:rsid w:val="001856DF"/>
    <w:rsid w:val="00185D16"/>
    <w:rsid w:val="001870BD"/>
    <w:rsid w:val="001912F0"/>
    <w:rsid w:val="00191CAD"/>
    <w:rsid w:val="001939DF"/>
    <w:rsid w:val="00195FD3"/>
    <w:rsid w:val="00196782"/>
    <w:rsid w:val="001A16CD"/>
    <w:rsid w:val="001A3AA1"/>
    <w:rsid w:val="001A44B7"/>
    <w:rsid w:val="001A5711"/>
    <w:rsid w:val="001A5ABA"/>
    <w:rsid w:val="001A6AA1"/>
    <w:rsid w:val="001A6B31"/>
    <w:rsid w:val="001A7EC1"/>
    <w:rsid w:val="001B0992"/>
    <w:rsid w:val="001B0D1B"/>
    <w:rsid w:val="001B0FCA"/>
    <w:rsid w:val="001B19A0"/>
    <w:rsid w:val="001B2945"/>
    <w:rsid w:val="001B3FAD"/>
    <w:rsid w:val="001B414E"/>
    <w:rsid w:val="001B56D6"/>
    <w:rsid w:val="001B5A7C"/>
    <w:rsid w:val="001B616A"/>
    <w:rsid w:val="001B61B2"/>
    <w:rsid w:val="001B7282"/>
    <w:rsid w:val="001B779D"/>
    <w:rsid w:val="001B7866"/>
    <w:rsid w:val="001B7B41"/>
    <w:rsid w:val="001C064F"/>
    <w:rsid w:val="001C103E"/>
    <w:rsid w:val="001C22C1"/>
    <w:rsid w:val="001C33CF"/>
    <w:rsid w:val="001C3846"/>
    <w:rsid w:val="001C4A95"/>
    <w:rsid w:val="001C6054"/>
    <w:rsid w:val="001C61D7"/>
    <w:rsid w:val="001C62C6"/>
    <w:rsid w:val="001C650C"/>
    <w:rsid w:val="001D0328"/>
    <w:rsid w:val="001D055A"/>
    <w:rsid w:val="001D087D"/>
    <w:rsid w:val="001D1875"/>
    <w:rsid w:val="001D1961"/>
    <w:rsid w:val="001D2129"/>
    <w:rsid w:val="001D29E6"/>
    <w:rsid w:val="001D3390"/>
    <w:rsid w:val="001D4EA7"/>
    <w:rsid w:val="001D56B0"/>
    <w:rsid w:val="001D7760"/>
    <w:rsid w:val="001D7DA4"/>
    <w:rsid w:val="001E06D1"/>
    <w:rsid w:val="001E14A5"/>
    <w:rsid w:val="001E17D7"/>
    <w:rsid w:val="001E1A34"/>
    <w:rsid w:val="001E362C"/>
    <w:rsid w:val="001E4102"/>
    <w:rsid w:val="001E4E1C"/>
    <w:rsid w:val="001E5717"/>
    <w:rsid w:val="001E6321"/>
    <w:rsid w:val="001E65F7"/>
    <w:rsid w:val="001E72D5"/>
    <w:rsid w:val="001F0B3F"/>
    <w:rsid w:val="001F0FD6"/>
    <w:rsid w:val="001F1D37"/>
    <w:rsid w:val="001F3C59"/>
    <w:rsid w:val="001F3D8A"/>
    <w:rsid w:val="001F4397"/>
    <w:rsid w:val="001F55A6"/>
    <w:rsid w:val="001F7010"/>
    <w:rsid w:val="001F7A67"/>
    <w:rsid w:val="00201AA7"/>
    <w:rsid w:val="00204AE6"/>
    <w:rsid w:val="002059AE"/>
    <w:rsid w:val="002063F7"/>
    <w:rsid w:val="002102F2"/>
    <w:rsid w:val="00211887"/>
    <w:rsid w:val="00214782"/>
    <w:rsid w:val="00216899"/>
    <w:rsid w:val="00216AD9"/>
    <w:rsid w:val="00217077"/>
    <w:rsid w:val="00220B8E"/>
    <w:rsid w:val="00220C16"/>
    <w:rsid w:val="00222969"/>
    <w:rsid w:val="00222DA2"/>
    <w:rsid w:val="00224589"/>
    <w:rsid w:val="00226831"/>
    <w:rsid w:val="002268A5"/>
    <w:rsid w:val="002271B4"/>
    <w:rsid w:val="00230808"/>
    <w:rsid w:val="002326B9"/>
    <w:rsid w:val="00233114"/>
    <w:rsid w:val="00234FC1"/>
    <w:rsid w:val="00235658"/>
    <w:rsid w:val="002356A9"/>
    <w:rsid w:val="002361E2"/>
    <w:rsid w:val="002365BB"/>
    <w:rsid w:val="00236FBE"/>
    <w:rsid w:val="0023743A"/>
    <w:rsid w:val="00237E2B"/>
    <w:rsid w:val="00237EA6"/>
    <w:rsid w:val="00237EE2"/>
    <w:rsid w:val="002407F8"/>
    <w:rsid w:val="0024280A"/>
    <w:rsid w:val="0024305E"/>
    <w:rsid w:val="00244D9E"/>
    <w:rsid w:val="00245103"/>
    <w:rsid w:val="002462CB"/>
    <w:rsid w:val="002472C6"/>
    <w:rsid w:val="002501FD"/>
    <w:rsid w:val="00250611"/>
    <w:rsid w:val="00250DA2"/>
    <w:rsid w:val="0025231C"/>
    <w:rsid w:val="0025318F"/>
    <w:rsid w:val="0025708F"/>
    <w:rsid w:val="00257E19"/>
    <w:rsid w:val="002600E6"/>
    <w:rsid w:val="002608A0"/>
    <w:rsid w:val="00261370"/>
    <w:rsid w:val="00262D04"/>
    <w:rsid w:val="002644BA"/>
    <w:rsid w:val="00264529"/>
    <w:rsid w:val="00264F6D"/>
    <w:rsid w:val="00266719"/>
    <w:rsid w:val="00267042"/>
    <w:rsid w:val="002675A8"/>
    <w:rsid w:val="00267F8F"/>
    <w:rsid w:val="00271D7F"/>
    <w:rsid w:val="00272408"/>
    <w:rsid w:val="002732A9"/>
    <w:rsid w:val="00273738"/>
    <w:rsid w:val="00273EDF"/>
    <w:rsid w:val="002757BE"/>
    <w:rsid w:val="00275F30"/>
    <w:rsid w:val="002761B1"/>
    <w:rsid w:val="00276DA9"/>
    <w:rsid w:val="0027736F"/>
    <w:rsid w:val="002807C4"/>
    <w:rsid w:val="00280E1F"/>
    <w:rsid w:val="00281596"/>
    <w:rsid w:val="002817EF"/>
    <w:rsid w:val="00281D12"/>
    <w:rsid w:val="00282839"/>
    <w:rsid w:val="0028586C"/>
    <w:rsid w:val="00287F00"/>
    <w:rsid w:val="00291EB2"/>
    <w:rsid w:val="002968EC"/>
    <w:rsid w:val="00296CCF"/>
    <w:rsid w:val="002973C6"/>
    <w:rsid w:val="002A0252"/>
    <w:rsid w:val="002A1C17"/>
    <w:rsid w:val="002A203E"/>
    <w:rsid w:val="002A23EB"/>
    <w:rsid w:val="002A3EF7"/>
    <w:rsid w:val="002A609C"/>
    <w:rsid w:val="002A6721"/>
    <w:rsid w:val="002A6FBD"/>
    <w:rsid w:val="002B0410"/>
    <w:rsid w:val="002B139A"/>
    <w:rsid w:val="002B23FD"/>
    <w:rsid w:val="002B26A3"/>
    <w:rsid w:val="002B341F"/>
    <w:rsid w:val="002B42DB"/>
    <w:rsid w:val="002B4D68"/>
    <w:rsid w:val="002B5EEE"/>
    <w:rsid w:val="002B62C6"/>
    <w:rsid w:val="002B67F4"/>
    <w:rsid w:val="002B6A3E"/>
    <w:rsid w:val="002C0A0F"/>
    <w:rsid w:val="002C1A21"/>
    <w:rsid w:val="002C26DF"/>
    <w:rsid w:val="002C449A"/>
    <w:rsid w:val="002C53EF"/>
    <w:rsid w:val="002C60F2"/>
    <w:rsid w:val="002D108B"/>
    <w:rsid w:val="002D2075"/>
    <w:rsid w:val="002D3D15"/>
    <w:rsid w:val="002D3FA9"/>
    <w:rsid w:val="002D4646"/>
    <w:rsid w:val="002D66F0"/>
    <w:rsid w:val="002E01CC"/>
    <w:rsid w:val="002E242D"/>
    <w:rsid w:val="002E283B"/>
    <w:rsid w:val="002E3620"/>
    <w:rsid w:val="002E3B58"/>
    <w:rsid w:val="002E3BD4"/>
    <w:rsid w:val="002E46ED"/>
    <w:rsid w:val="002E47DC"/>
    <w:rsid w:val="002E492B"/>
    <w:rsid w:val="002E73AF"/>
    <w:rsid w:val="002E7748"/>
    <w:rsid w:val="002F1EDA"/>
    <w:rsid w:val="002F2322"/>
    <w:rsid w:val="002F2441"/>
    <w:rsid w:val="002F2930"/>
    <w:rsid w:val="002F619C"/>
    <w:rsid w:val="002F6248"/>
    <w:rsid w:val="002F7266"/>
    <w:rsid w:val="0030023A"/>
    <w:rsid w:val="0030104E"/>
    <w:rsid w:val="00302B6D"/>
    <w:rsid w:val="00302F70"/>
    <w:rsid w:val="0030321D"/>
    <w:rsid w:val="0030377C"/>
    <w:rsid w:val="00304294"/>
    <w:rsid w:val="003054B1"/>
    <w:rsid w:val="0030712E"/>
    <w:rsid w:val="003074FD"/>
    <w:rsid w:val="00310073"/>
    <w:rsid w:val="003107F6"/>
    <w:rsid w:val="00311C79"/>
    <w:rsid w:val="00314538"/>
    <w:rsid w:val="00315079"/>
    <w:rsid w:val="003150A3"/>
    <w:rsid w:val="003169F1"/>
    <w:rsid w:val="00320475"/>
    <w:rsid w:val="003205FF"/>
    <w:rsid w:val="00322EDC"/>
    <w:rsid w:val="0032331F"/>
    <w:rsid w:val="0032360A"/>
    <w:rsid w:val="00323D0F"/>
    <w:rsid w:val="00323DED"/>
    <w:rsid w:val="0033155F"/>
    <w:rsid w:val="00331C99"/>
    <w:rsid w:val="00337EEE"/>
    <w:rsid w:val="00337F55"/>
    <w:rsid w:val="003417FA"/>
    <w:rsid w:val="0034201D"/>
    <w:rsid w:val="003420FB"/>
    <w:rsid w:val="00342EDF"/>
    <w:rsid w:val="00343978"/>
    <w:rsid w:val="00343EA8"/>
    <w:rsid w:val="00344642"/>
    <w:rsid w:val="00345641"/>
    <w:rsid w:val="00345A6F"/>
    <w:rsid w:val="00345C5B"/>
    <w:rsid w:val="00346E3D"/>
    <w:rsid w:val="0035062E"/>
    <w:rsid w:val="003513D0"/>
    <w:rsid w:val="00353C6F"/>
    <w:rsid w:val="00353C90"/>
    <w:rsid w:val="00354033"/>
    <w:rsid w:val="00354571"/>
    <w:rsid w:val="00354697"/>
    <w:rsid w:val="00355B77"/>
    <w:rsid w:val="00355BE4"/>
    <w:rsid w:val="00356744"/>
    <w:rsid w:val="00356C7E"/>
    <w:rsid w:val="0035710A"/>
    <w:rsid w:val="00357B8E"/>
    <w:rsid w:val="00360963"/>
    <w:rsid w:val="00361A3E"/>
    <w:rsid w:val="003622EE"/>
    <w:rsid w:val="00362518"/>
    <w:rsid w:val="00365E47"/>
    <w:rsid w:val="00366911"/>
    <w:rsid w:val="00366919"/>
    <w:rsid w:val="00370FF3"/>
    <w:rsid w:val="00371D55"/>
    <w:rsid w:val="003727AA"/>
    <w:rsid w:val="003729E0"/>
    <w:rsid w:val="0037313B"/>
    <w:rsid w:val="00373B14"/>
    <w:rsid w:val="00373B30"/>
    <w:rsid w:val="00374DE5"/>
    <w:rsid w:val="00375765"/>
    <w:rsid w:val="00376343"/>
    <w:rsid w:val="003763EF"/>
    <w:rsid w:val="00376ADE"/>
    <w:rsid w:val="003805EF"/>
    <w:rsid w:val="00380D4B"/>
    <w:rsid w:val="00382E3D"/>
    <w:rsid w:val="00383DEF"/>
    <w:rsid w:val="003842A5"/>
    <w:rsid w:val="0038464E"/>
    <w:rsid w:val="00385692"/>
    <w:rsid w:val="00385DF6"/>
    <w:rsid w:val="00385E60"/>
    <w:rsid w:val="00386631"/>
    <w:rsid w:val="00386673"/>
    <w:rsid w:val="00386B18"/>
    <w:rsid w:val="00386B58"/>
    <w:rsid w:val="00387413"/>
    <w:rsid w:val="003904B0"/>
    <w:rsid w:val="00392738"/>
    <w:rsid w:val="00393CF6"/>
    <w:rsid w:val="003945E7"/>
    <w:rsid w:val="003950C2"/>
    <w:rsid w:val="00395645"/>
    <w:rsid w:val="003958A1"/>
    <w:rsid w:val="0039641E"/>
    <w:rsid w:val="00396771"/>
    <w:rsid w:val="0039699F"/>
    <w:rsid w:val="00396D7B"/>
    <w:rsid w:val="003970A1"/>
    <w:rsid w:val="003A0440"/>
    <w:rsid w:val="003A26A0"/>
    <w:rsid w:val="003A39ED"/>
    <w:rsid w:val="003A4F67"/>
    <w:rsid w:val="003A5552"/>
    <w:rsid w:val="003A586A"/>
    <w:rsid w:val="003A7966"/>
    <w:rsid w:val="003A7EAE"/>
    <w:rsid w:val="003B0E14"/>
    <w:rsid w:val="003B146B"/>
    <w:rsid w:val="003B240F"/>
    <w:rsid w:val="003B27F0"/>
    <w:rsid w:val="003B3691"/>
    <w:rsid w:val="003B3E67"/>
    <w:rsid w:val="003B4E69"/>
    <w:rsid w:val="003B4E8D"/>
    <w:rsid w:val="003B540E"/>
    <w:rsid w:val="003B56E3"/>
    <w:rsid w:val="003B5CA1"/>
    <w:rsid w:val="003B6704"/>
    <w:rsid w:val="003B7497"/>
    <w:rsid w:val="003C10AA"/>
    <w:rsid w:val="003C2250"/>
    <w:rsid w:val="003C2A1F"/>
    <w:rsid w:val="003C2E6D"/>
    <w:rsid w:val="003C2EBF"/>
    <w:rsid w:val="003C384F"/>
    <w:rsid w:val="003C4403"/>
    <w:rsid w:val="003C4A64"/>
    <w:rsid w:val="003C53F6"/>
    <w:rsid w:val="003C54D9"/>
    <w:rsid w:val="003C59C9"/>
    <w:rsid w:val="003C5B61"/>
    <w:rsid w:val="003C6D87"/>
    <w:rsid w:val="003C6FDA"/>
    <w:rsid w:val="003C74D8"/>
    <w:rsid w:val="003D0E82"/>
    <w:rsid w:val="003D1054"/>
    <w:rsid w:val="003D10B1"/>
    <w:rsid w:val="003D16AB"/>
    <w:rsid w:val="003D1E35"/>
    <w:rsid w:val="003D27A7"/>
    <w:rsid w:val="003D6983"/>
    <w:rsid w:val="003D6FCF"/>
    <w:rsid w:val="003D7533"/>
    <w:rsid w:val="003E1863"/>
    <w:rsid w:val="003E22C4"/>
    <w:rsid w:val="003E231B"/>
    <w:rsid w:val="003E2D94"/>
    <w:rsid w:val="003E3495"/>
    <w:rsid w:val="003E3D60"/>
    <w:rsid w:val="003E409F"/>
    <w:rsid w:val="003E67F0"/>
    <w:rsid w:val="003E6C74"/>
    <w:rsid w:val="003E708B"/>
    <w:rsid w:val="003E70EE"/>
    <w:rsid w:val="003F0AE5"/>
    <w:rsid w:val="003F33BA"/>
    <w:rsid w:val="003F4088"/>
    <w:rsid w:val="003F4300"/>
    <w:rsid w:val="003F43E4"/>
    <w:rsid w:val="003F4A4E"/>
    <w:rsid w:val="004009B2"/>
    <w:rsid w:val="00400D49"/>
    <w:rsid w:val="00402318"/>
    <w:rsid w:val="004027E6"/>
    <w:rsid w:val="004031BD"/>
    <w:rsid w:val="0040378C"/>
    <w:rsid w:val="00403B77"/>
    <w:rsid w:val="00405E7E"/>
    <w:rsid w:val="00407E93"/>
    <w:rsid w:val="004107B8"/>
    <w:rsid w:val="00411D2A"/>
    <w:rsid w:val="0041244B"/>
    <w:rsid w:val="0041397C"/>
    <w:rsid w:val="00415096"/>
    <w:rsid w:val="004163C0"/>
    <w:rsid w:val="00416BB0"/>
    <w:rsid w:val="00417CCE"/>
    <w:rsid w:val="00420BB8"/>
    <w:rsid w:val="00422557"/>
    <w:rsid w:val="004228A3"/>
    <w:rsid w:val="00422D82"/>
    <w:rsid w:val="004230FF"/>
    <w:rsid w:val="00425844"/>
    <w:rsid w:val="00426230"/>
    <w:rsid w:val="004266EE"/>
    <w:rsid w:val="00430B70"/>
    <w:rsid w:val="004332A6"/>
    <w:rsid w:val="00433F49"/>
    <w:rsid w:val="00433FFD"/>
    <w:rsid w:val="0043446D"/>
    <w:rsid w:val="004353FB"/>
    <w:rsid w:val="00435729"/>
    <w:rsid w:val="00436104"/>
    <w:rsid w:val="004377CE"/>
    <w:rsid w:val="004407D4"/>
    <w:rsid w:val="00440C79"/>
    <w:rsid w:val="004417AE"/>
    <w:rsid w:val="00441A5E"/>
    <w:rsid w:val="004420E0"/>
    <w:rsid w:val="00443234"/>
    <w:rsid w:val="00443398"/>
    <w:rsid w:val="004436DC"/>
    <w:rsid w:val="00443709"/>
    <w:rsid w:val="0044470B"/>
    <w:rsid w:val="004450B6"/>
    <w:rsid w:val="00450267"/>
    <w:rsid w:val="00450BD1"/>
    <w:rsid w:val="00451081"/>
    <w:rsid w:val="004519F0"/>
    <w:rsid w:val="0045212E"/>
    <w:rsid w:val="00453D7A"/>
    <w:rsid w:val="004541DA"/>
    <w:rsid w:val="00454A81"/>
    <w:rsid w:val="00454BC0"/>
    <w:rsid w:val="00455930"/>
    <w:rsid w:val="00456E14"/>
    <w:rsid w:val="004576DC"/>
    <w:rsid w:val="00460B61"/>
    <w:rsid w:val="00461238"/>
    <w:rsid w:val="004625A9"/>
    <w:rsid w:val="00466C0C"/>
    <w:rsid w:val="00466C64"/>
    <w:rsid w:val="00467A43"/>
    <w:rsid w:val="00467A47"/>
    <w:rsid w:val="00467D64"/>
    <w:rsid w:val="00467FA6"/>
    <w:rsid w:val="00471AB8"/>
    <w:rsid w:val="0047301B"/>
    <w:rsid w:val="00473EEE"/>
    <w:rsid w:val="00473FBB"/>
    <w:rsid w:val="0047501C"/>
    <w:rsid w:val="00475235"/>
    <w:rsid w:val="00475DB4"/>
    <w:rsid w:val="00476292"/>
    <w:rsid w:val="00476489"/>
    <w:rsid w:val="00476DD4"/>
    <w:rsid w:val="004778A7"/>
    <w:rsid w:val="00477F1D"/>
    <w:rsid w:val="00480CAE"/>
    <w:rsid w:val="00480F61"/>
    <w:rsid w:val="00481262"/>
    <w:rsid w:val="004820B6"/>
    <w:rsid w:val="00482ED6"/>
    <w:rsid w:val="0048313C"/>
    <w:rsid w:val="00483AB1"/>
    <w:rsid w:val="00483B79"/>
    <w:rsid w:val="0048525C"/>
    <w:rsid w:val="00486171"/>
    <w:rsid w:val="00486917"/>
    <w:rsid w:val="00486946"/>
    <w:rsid w:val="0048779F"/>
    <w:rsid w:val="00490396"/>
    <w:rsid w:val="0049313E"/>
    <w:rsid w:val="00493236"/>
    <w:rsid w:val="00494464"/>
    <w:rsid w:val="00494F2F"/>
    <w:rsid w:val="00495B09"/>
    <w:rsid w:val="00497FFD"/>
    <w:rsid w:val="004A1787"/>
    <w:rsid w:val="004A1E32"/>
    <w:rsid w:val="004A2087"/>
    <w:rsid w:val="004A4902"/>
    <w:rsid w:val="004A5846"/>
    <w:rsid w:val="004A744C"/>
    <w:rsid w:val="004B16E1"/>
    <w:rsid w:val="004B1AC0"/>
    <w:rsid w:val="004B245B"/>
    <w:rsid w:val="004B3699"/>
    <w:rsid w:val="004B3CB7"/>
    <w:rsid w:val="004B3E7C"/>
    <w:rsid w:val="004B6D61"/>
    <w:rsid w:val="004B735A"/>
    <w:rsid w:val="004C001F"/>
    <w:rsid w:val="004C0A2C"/>
    <w:rsid w:val="004C10CF"/>
    <w:rsid w:val="004C1543"/>
    <w:rsid w:val="004C16EE"/>
    <w:rsid w:val="004C1901"/>
    <w:rsid w:val="004C2070"/>
    <w:rsid w:val="004C2567"/>
    <w:rsid w:val="004C38B8"/>
    <w:rsid w:val="004C391A"/>
    <w:rsid w:val="004C3991"/>
    <w:rsid w:val="004C42FC"/>
    <w:rsid w:val="004C4BD1"/>
    <w:rsid w:val="004C5576"/>
    <w:rsid w:val="004C577E"/>
    <w:rsid w:val="004C5ACF"/>
    <w:rsid w:val="004C75E4"/>
    <w:rsid w:val="004D28DD"/>
    <w:rsid w:val="004D31E0"/>
    <w:rsid w:val="004D3C02"/>
    <w:rsid w:val="004D4CF3"/>
    <w:rsid w:val="004D4F19"/>
    <w:rsid w:val="004D51EA"/>
    <w:rsid w:val="004D554A"/>
    <w:rsid w:val="004D5EB5"/>
    <w:rsid w:val="004D650A"/>
    <w:rsid w:val="004D6824"/>
    <w:rsid w:val="004D7615"/>
    <w:rsid w:val="004D7DD3"/>
    <w:rsid w:val="004E0B66"/>
    <w:rsid w:val="004E19B7"/>
    <w:rsid w:val="004E1C11"/>
    <w:rsid w:val="004E2E0E"/>
    <w:rsid w:val="004E3E87"/>
    <w:rsid w:val="004E4092"/>
    <w:rsid w:val="004E42AB"/>
    <w:rsid w:val="004E4D6C"/>
    <w:rsid w:val="004E507F"/>
    <w:rsid w:val="004E5400"/>
    <w:rsid w:val="004E56AD"/>
    <w:rsid w:val="004E5EE9"/>
    <w:rsid w:val="004E7851"/>
    <w:rsid w:val="004F17F7"/>
    <w:rsid w:val="004F3F4A"/>
    <w:rsid w:val="004F48A7"/>
    <w:rsid w:val="004F4D40"/>
    <w:rsid w:val="004F5AFD"/>
    <w:rsid w:val="004F7609"/>
    <w:rsid w:val="00501A8E"/>
    <w:rsid w:val="00502CA1"/>
    <w:rsid w:val="00504E37"/>
    <w:rsid w:val="005050B1"/>
    <w:rsid w:val="0050550B"/>
    <w:rsid w:val="00505CA4"/>
    <w:rsid w:val="00512470"/>
    <w:rsid w:val="00512BAE"/>
    <w:rsid w:val="00512CC1"/>
    <w:rsid w:val="00512CDF"/>
    <w:rsid w:val="00513C7E"/>
    <w:rsid w:val="00513D74"/>
    <w:rsid w:val="005149A9"/>
    <w:rsid w:val="005166D4"/>
    <w:rsid w:val="00520147"/>
    <w:rsid w:val="005221EE"/>
    <w:rsid w:val="005247DD"/>
    <w:rsid w:val="00525BDD"/>
    <w:rsid w:val="00525BFA"/>
    <w:rsid w:val="005261C3"/>
    <w:rsid w:val="0052668D"/>
    <w:rsid w:val="00526B4E"/>
    <w:rsid w:val="00527731"/>
    <w:rsid w:val="00527ECD"/>
    <w:rsid w:val="00527EE0"/>
    <w:rsid w:val="00530886"/>
    <w:rsid w:val="00531313"/>
    <w:rsid w:val="00531553"/>
    <w:rsid w:val="005317C6"/>
    <w:rsid w:val="00532A23"/>
    <w:rsid w:val="00532D54"/>
    <w:rsid w:val="00532FEC"/>
    <w:rsid w:val="00533A1A"/>
    <w:rsid w:val="00533D9A"/>
    <w:rsid w:val="005352E3"/>
    <w:rsid w:val="00535C69"/>
    <w:rsid w:val="00537A70"/>
    <w:rsid w:val="00537F35"/>
    <w:rsid w:val="0054019D"/>
    <w:rsid w:val="00540519"/>
    <w:rsid w:val="00540BF6"/>
    <w:rsid w:val="00541525"/>
    <w:rsid w:val="00542AF0"/>
    <w:rsid w:val="00545BD7"/>
    <w:rsid w:val="00545C9B"/>
    <w:rsid w:val="00552187"/>
    <w:rsid w:val="00552470"/>
    <w:rsid w:val="005541ED"/>
    <w:rsid w:val="00554634"/>
    <w:rsid w:val="0055477E"/>
    <w:rsid w:val="00554B7D"/>
    <w:rsid w:val="00555116"/>
    <w:rsid w:val="00555833"/>
    <w:rsid w:val="00555AB9"/>
    <w:rsid w:val="00556C9D"/>
    <w:rsid w:val="00561B80"/>
    <w:rsid w:val="005625E3"/>
    <w:rsid w:val="00562C2D"/>
    <w:rsid w:val="00563824"/>
    <w:rsid w:val="00564058"/>
    <w:rsid w:val="00564F9F"/>
    <w:rsid w:val="00565BF8"/>
    <w:rsid w:val="00566476"/>
    <w:rsid w:val="005673AC"/>
    <w:rsid w:val="0056779B"/>
    <w:rsid w:val="005705EB"/>
    <w:rsid w:val="00570A9F"/>
    <w:rsid w:val="00570D64"/>
    <w:rsid w:val="00571759"/>
    <w:rsid w:val="00571EE0"/>
    <w:rsid w:val="0057232F"/>
    <w:rsid w:val="005726FB"/>
    <w:rsid w:val="00572977"/>
    <w:rsid w:val="00574764"/>
    <w:rsid w:val="00574E2C"/>
    <w:rsid w:val="00575DF2"/>
    <w:rsid w:val="00580151"/>
    <w:rsid w:val="005812B3"/>
    <w:rsid w:val="005814EB"/>
    <w:rsid w:val="00581A5A"/>
    <w:rsid w:val="00582CBE"/>
    <w:rsid w:val="00583531"/>
    <w:rsid w:val="00585C0F"/>
    <w:rsid w:val="00585DA1"/>
    <w:rsid w:val="00586D0C"/>
    <w:rsid w:val="00586D39"/>
    <w:rsid w:val="00587D92"/>
    <w:rsid w:val="0059077F"/>
    <w:rsid w:val="00593E0B"/>
    <w:rsid w:val="00595D5A"/>
    <w:rsid w:val="00595DC5"/>
    <w:rsid w:val="00596310"/>
    <w:rsid w:val="00597245"/>
    <w:rsid w:val="005A07B0"/>
    <w:rsid w:val="005A1777"/>
    <w:rsid w:val="005A22F8"/>
    <w:rsid w:val="005A343A"/>
    <w:rsid w:val="005A3EB6"/>
    <w:rsid w:val="005A5532"/>
    <w:rsid w:val="005A62D6"/>
    <w:rsid w:val="005A7588"/>
    <w:rsid w:val="005A7EDF"/>
    <w:rsid w:val="005B0F93"/>
    <w:rsid w:val="005B15EE"/>
    <w:rsid w:val="005B27B6"/>
    <w:rsid w:val="005B5D48"/>
    <w:rsid w:val="005B5EC7"/>
    <w:rsid w:val="005B6001"/>
    <w:rsid w:val="005B7016"/>
    <w:rsid w:val="005B765D"/>
    <w:rsid w:val="005C0280"/>
    <w:rsid w:val="005C0A50"/>
    <w:rsid w:val="005C1543"/>
    <w:rsid w:val="005C1A88"/>
    <w:rsid w:val="005C2955"/>
    <w:rsid w:val="005C29CE"/>
    <w:rsid w:val="005C339F"/>
    <w:rsid w:val="005C3C38"/>
    <w:rsid w:val="005C3FFF"/>
    <w:rsid w:val="005C4303"/>
    <w:rsid w:val="005C5C5E"/>
    <w:rsid w:val="005C71D7"/>
    <w:rsid w:val="005C7CBD"/>
    <w:rsid w:val="005C7E42"/>
    <w:rsid w:val="005D04BE"/>
    <w:rsid w:val="005D3DA6"/>
    <w:rsid w:val="005D5ACA"/>
    <w:rsid w:val="005D6B3B"/>
    <w:rsid w:val="005D7B6C"/>
    <w:rsid w:val="005E039E"/>
    <w:rsid w:val="005E25E5"/>
    <w:rsid w:val="005E2A32"/>
    <w:rsid w:val="005E3B67"/>
    <w:rsid w:val="005E5917"/>
    <w:rsid w:val="005E7CF5"/>
    <w:rsid w:val="005F09CF"/>
    <w:rsid w:val="005F1921"/>
    <w:rsid w:val="005F2E77"/>
    <w:rsid w:val="005F3F1E"/>
    <w:rsid w:val="005F460A"/>
    <w:rsid w:val="005F6146"/>
    <w:rsid w:val="005F6C7D"/>
    <w:rsid w:val="005F70F0"/>
    <w:rsid w:val="005F7AF1"/>
    <w:rsid w:val="006013CB"/>
    <w:rsid w:val="006028F6"/>
    <w:rsid w:val="00602924"/>
    <w:rsid w:val="00602A31"/>
    <w:rsid w:val="00602C27"/>
    <w:rsid w:val="00603096"/>
    <w:rsid w:val="006066D8"/>
    <w:rsid w:val="00607B85"/>
    <w:rsid w:val="0061011D"/>
    <w:rsid w:val="006105AB"/>
    <w:rsid w:val="00610FA8"/>
    <w:rsid w:val="006114C4"/>
    <w:rsid w:val="00613978"/>
    <w:rsid w:val="006158B0"/>
    <w:rsid w:val="00615C6C"/>
    <w:rsid w:val="006173C2"/>
    <w:rsid w:val="006200DA"/>
    <w:rsid w:val="00620680"/>
    <w:rsid w:val="00620805"/>
    <w:rsid w:val="00620D72"/>
    <w:rsid w:val="00621237"/>
    <w:rsid w:val="00621A3C"/>
    <w:rsid w:val="0062377C"/>
    <w:rsid w:val="006240CE"/>
    <w:rsid w:val="00624D6F"/>
    <w:rsid w:val="00625000"/>
    <w:rsid w:val="00625963"/>
    <w:rsid w:val="006266CE"/>
    <w:rsid w:val="00626C7D"/>
    <w:rsid w:val="00630E68"/>
    <w:rsid w:val="0063138C"/>
    <w:rsid w:val="00632C94"/>
    <w:rsid w:val="00633297"/>
    <w:rsid w:val="0063359E"/>
    <w:rsid w:val="00633859"/>
    <w:rsid w:val="00635042"/>
    <w:rsid w:val="00635195"/>
    <w:rsid w:val="00640143"/>
    <w:rsid w:val="00640CCE"/>
    <w:rsid w:val="00642631"/>
    <w:rsid w:val="006476B2"/>
    <w:rsid w:val="00650089"/>
    <w:rsid w:val="0065044E"/>
    <w:rsid w:val="00652073"/>
    <w:rsid w:val="006538E1"/>
    <w:rsid w:val="0065447A"/>
    <w:rsid w:val="006545F4"/>
    <w:rsid w:val="006547F6"/>
    <w:rsid w:val="00654AB0"/>
    <w:rsid w:val="00655F22"/>
    <w:rsid w:val="00663434"/>
    <w:rsid w:val="00664200"/>
    <w:rsid w:val="00667AA5"/>
    <w:rsid w:val="00667C03"/>
    <w:rsid w:val="006725CA"/>
    <w:rsid w:val="00673090"/>
    <w:rsid w:val="006733D2"/>
    <w:rsid w:val="00673A98"/>
    <w:rsid w:val="00673BE5"/>
    <w:rsid w:val="00673C48"/>
    <w:rsid w:val="006747A2"/>
    <w:rsid w:val="006763B4"/>
    <w:rsid w:val="00676BCB"/>
    <w:rsid w:val="00676DBF"/>
    <w:rsid w:val="006821B9"/>
    <w:rsid w:val="00682257"/>
    <w:rsid w:val="006839B0"/>
    <w:rsid w:val="0068520F"/>
    <w:rsid w:val="00685222"/>
    <w:rsid w:val="00686BBE"/>
    <w:rsid w:val="0069082E"/>
    <w:rsid w:val="00691351"/>
    <w:rsid w:val="006933DD"/>
    <w:rsid w:val="00693D66"/>
    <w:rsid w:val="00695495"/>
    <w:rsid w:val="00696380"/>
    <w:rsid w:val="0069656F"/>
    <w:rsid w:val="0069772D"/>
    <w:rsid w:val="006A0C53"/>
    <w:rsid w:val="006A0C55"/>
    <w:rsid w:val="006A1165"/>
    <w:rsid w:val="006A30A1"/>
    <w:rsid w:val="006A316C"/>
    <w:rsid w:val="006A5389"/>
    <w:rsid w:val="006A5B07"/>
    <w:rsid w:val="006A6294"/>
    <w:rsid w:val="006A6490"/>
    <w:rsid w:val="006A7D81"/>
    <w:rsid w:val="006A7E89"/>
    <w:rsid w:val="006B0D53"/>
    <w:rsid w:val="006B1267"/>
    <w:rsid w:val="006B175B"/>
    <w:rsid w:val="006B3193"/>
    <w:rsid w:val="006B3E6F"/>
    <w:rsid w:val="006B5055"/>
    <w:rsid w:val="006B6D97"/>
    <w:rsid w:val="006C03FC"/>
    <w:rsid w:val="006C0FEA"/>
    <w:rsid w:val="006C2B20"/>
    <w:rsid w:val="006C2FBB"/>
    <w:rsid w:val="006C47CA"/>
    <w:rsid w:val="006D0174"/>
    <w:rsid w:val="006D05CB"/>
    <w:rsid w:val="006D0CC1"/>
    <w:rsid w:val="006D0EDC"/>
    <w:rsid w:val="006D1026"/>
    <w:rsid w:val="006D3579"/>
    <w:rsid w:val="006D4075"/>
    <w:rsid w:val="006D61D2"/>
    <w:rsid w:val="006D6C32"/>
    <w:rsid w:val="006D78C3"/>
    <w:rsid w:val="006D79EC"/>
    <w:rsid w:val="006D7F6E"/>
    <w:rsid w:val="006E0AE4"/>
    <w:rsid w:val="006E317C"/>
    <w:rsid w:val="006E33E6"/>
    <w:rsid w:val="006E4847"/>
    <w:rsid w:val="006E5A32"/>
    <w:rsid w:val="006E6EFF"/>
    <w:rsid w:val="006E75BA"/>
    <w:rsid w:val="006E78C2"/>
    <w:rsid w:val="006F270C"/>
    <w:rsid w:val="006F2DED"/>
    <w:rsid w:val="006F38E6"/>
    <w:rsid w:val="006F3D77"/>
    <w:rsid w:val="006F3EB9"/>
    <w:rsid w:val="006F4012"/>
    <w:rsid w:val="006F461D"/>
    <w:rsid w:val="006F6E57"/>
    <w:rsid w:val="007000B1"/>
    <w:rsid w:val="007017C9"/>
    <w:rsid w:val="00701BCF"/>
    <w:rsid w:val="00701C8A"/>
    <w:rsid w:val="00702C9E"/>
    <w:rsid w:val="007038F5"/>
    <w:rsid w:val="00703B43"/>
    <w:rsid w:val="007041A2"/>
    <w:rsid w:val="007045CF"/>
    <w:rsid w:val="007049AD"/>
    <w:rsid w:val="00704B8E"/>
    <w:rsid w:val="00705560"/>
    <w:rsid w:val="007056BF"/>
    <w:rsid w:val="00705D86"/>
    <w:rsid w:val="007063E5"/>
    <w:rsid w:val="00706423"/>
    <w:rsid w:val="007065B8"/>
    <w:rsid w:val="00707D52"/>
    <w:rsid w:val="00710208"/>
    <w:rsid w:val="00710B17"/>
    <w:rsid w:val="0071154A"/>
    <w:rsid w:val="007122CE"/>
    <w:rsid w:val="007136DA"/>
    <w:rsid w:val="007146FF"/>
    <w:rsid w:val="00714CAA"/>
    <w:rsid w:val="007151E4"/>
    <w:rsid w:val="007158D2"/>
    <w:rsid w:val="00715A95"/>
    <w:rsid w:val="007169F6"/>
    <w:rsid w:val="00716DF1"/>
    <w:rsid w:val="00717348"/>
    <w:rsid w:val="0071751C"/>
    <w:rsid w:val="00722562"/>
    <w:rsid w:val="0072370B"/>
    <w:rsid w:val="00723A86"/>
    <w:rsid w:val="007249AB"/>
    <w:rsid w:val="007249F3"/>
    <w:rsid w:val="00725FA6"/>
    <w:rsid w:val="0072614D"/>
    <w:rsid w:val="007261D8"/>
    <w:rsid w:val="00726CF2"/>
    <w:rsid w:val="00726DFF"/>
    <w:rsid w:val="0072746E"/>
    <w:rsid w:val="00727905"/>
    <w:rsid w:val="00731653"/>
    <w:rsid w:val="007318B7"/>
    <w:rsid w:val="00732209"/>
    <w:rsid w:val="00732829"/>
    <w:rsid w:val="0073329A"/>
    <w:rsid w:val="00735CF4"/>
    <w:rsid w:val="00735F5B"/>
    <w:rsid w:val="007368E7"/>
    <w:rsid w:val="00737DF9"/>
    <w:rsid w:val="00741F53"/>
    <w:rsid w:val="007421E5"/>
    <w:rsid w:val="007423B0"/>
    <w:rsid w:val="0074265F"/>
    <w:rsid w:val="00743071"/>
    <w:rsid w:val="00746A23"/>
    <w:rsid w:val="007476D1"/>
    <w:rsid w:val="007476F0"/>
    <w:rsid w:val="00747A0D"/>
    <w:rsid w:val="00747BAD"/>
    <w:rsid w:val="0075087C"/>
    <w:rsid w:val="007526F9"/>
    <w:rsid w:val="00754BA4"/>
    <w:rsid w:val="00754D6A"/>
    <w:rsid w:val="00755795"/>
    <w:rsid w:val="00755D12"/>
    <w:rsid w:val="00756D70"/>
    <w:rsid w:val="00757351"/>
    <w:rsid w:val="00762ABF"/>
    <w:rsid w:val="0076327E"/>
    <w:rsid w:val="0076461C"/>
    <w:rsid w:val="00764F96"/>
    <w:rsid w:val="007701DD"/>
    <w:rsid w:val="00770732"/>
    <w:rsid w:val="007716C2"/>
    <w:rsid w:val="00773A02"/>
    <w:rsid w:val="00774072"/>
    <w:rsid w:val="00774B46"/>
    <w:rsid w:val="00774C55"/>
    <w:rsid w:val="00774E1D"/>
    <w:rsid w:val="00776610"/>
    <w:rsid w:val="0077673C"/>
    <w:rsid w:val="007770BC"/>
    <w:rsid w:val="007801A1"/>
    <w:rsid w:val="00781AEE"/>
    <w:rsid w:val="00783F0A"/>
    <w:rsid w:val="00784850"/>
    <w:rsid w:val="0078515E"/>
    <w:rsid w:val="0078533A"/>
    <w:rsid w:val="00786077"/>
    <w:rsid w:val="00787BA8"/>
    <w:rsid w:val="00790543"/>
    <w:rsid w:val="00792452"/>
    <w:rsid w:val="00794AC6"/>
    <w:rsid w:val="0079552E"/>
    <w:rsid w:val="00795563"/>
    <w:rsid w:val="007967C2"/>
    <w:rsid w:val="00796CD6"/>
    <w:rsid w:val="00797CFA"/>
    <w:rsid w:val="007A1023"/>
    <w:rsid w:val="007A1B18"/>
    <w:rsid w:val="007A28A0"/>
    <w:rsid w:val="007A43C2"/>
    <w:rsid w:val="007A63BB"/>
    <w:rsid w:val="007A645D"/>
    <w:rsid w:val="007A700D"/>
    <w:rsid w:val="007B0045"/>
    <w:rsid w:val="007B1513"/>
    <w:rsid w:val="007B1D61"/>
    <w:rsid w:val="007B508E"/>
    <w:rsid w:val="007B5E83"/>
    <w:rsid w:val="007B66F7"/>
    <w:rsid w:val="007B7041"/>
    <w:rsid w:val="007B7B39"/>
    <w:rsid w:val="007B7B63"/>
    <w:rsid w:val="007C0A19"/>
    <w:rsid w:val="007C0F22"/>
    <w:rsid w:val="007C1276"/>
    <w:rsid w:val="007C38B2"/>
    <w:rsid w:val="007C63DB"/>
    <w:rsid w:val="007C6727"/>
    <w:rsid w:val="007C7558"/>
    <w:rsid w:val="007D0F41"/>
    <w:rsid w:val="007D17F7"/>
    <w:rsid w:val="007D2945"/>
    <w:rsid w:val="007D2ABE"/>
    <w:rsid w:val="007D2CDA"/>
    <w:rsid w:val="007D35B1"/>
    <w:rsid w:val="007D4ACF"/>
    <w:rsid w:val="007D60A2"/>
    <w:rsid w:val="007D641B"/>
    <w:rsid w:val="007D6E67"/>
    <w:rsid w:val="007D74A7"/>
    <w:rsid w:val="007D77C3"/>
    <w:rsid w:val="007D7A58"/>
    <w:rsid w:val="007D7ECA"/>
    <w:rsid w:val="007E1E44"/>
    <w:rsid w:val="007E3105"/>
    <w:rsid w:val="007E4798"/>
    <w:rsid w:val="007E53D0"/>
    <w:rsid w:val="007E5784"/>
    <w:rsid w:val="007E5854"/>
    <w:rsid w:val="007E7E65"/>
    <w:rsid w:val="007F05C7"/>
    <w:rsid w:val="007F25CF"/>
    <w:rsid w:val="007F49A2"/>
    <w:rsid w:val="007F5F1A"/>
    <w:rsid w:val="00800349"/>
    <w:rsid w:val="008004BD"/>
    <w:rsid w:val="0080127B"/>
    <w:rsid w:val="00802CD0"/>
    <w:rsid w:val="0080311D"/>
    <w:rsid w:val="0080576A"/>
    <w:rsid w:val="00806C8A"/>
    <w:rsid w:val="00807349"/>
    <w:rsid w:val="00807618"/>
    <w:rsid w:val="00807761"/>
    <w:rsid w:val="008107A5"/>
    <w:rsid w:val="0081264B"/>
    <w:rsid w:val="008146FE"/>
    <w:rsid w:val="00815E83"/>
    <w:rsid w:val="008168E9"/>
    <w:rsid w:val="008225E5"/>
    <w:rsid w:val="00823592"/>
    <w:rsid w:val="0082589E"/>
    <w:rsid w:val="00826EE0"/>
    <w:rsid w:val="00826F9D"/>
    <w:rsid w:val="00827190"/>
    <w:rsid w:val="00831330"/>
    <w:rsid w:val="0083291B"/>
    <w:rsid w:val="00833DEA"/>
    <w:rsid w:val="00834616"/>
    <w:rsid w:val="008356C4"/>
    <w:rsid w:val="00835A3A"/>
    <w:rsid w:val="00835B20"/>
    <w:rsid w:val="00836C40"/>
    <w:rsid w:val="00836D45"/>
    <w:rsid w:val="00836DC6"/>
    <w:rsid w:val="008373CF"/>
    <w:rsid w:val="00837B41"/>
    <w:rsid w:val="0084103C"/>
    <w:rsid w:val="008416B0"/>
    <w:rsid w:val="00841D53"/>
    <w:rsid w:val="008424B2"/>
    <w:rsid w:val="008439ED"/>
    <w:rsid w:val="0084454D"/>
    <w:rsid w:val="00845AFE"/>
    <w:rsid w:val="00845B0C"/>
    <w:rsid w:val="00847FEF"/>
    <w:rsid w:val="0085128D"/>
    <w:rsid w:val="00852E8F"/>
    <w:rsid w:val="0085340C"/>
    <w:rsid w:val="00854484"/>
    <w:rsid w:val="008554A7"/>
    <w:rsid w:val="00856778"/>
    <w:rsid w:val="00860123"/>
    <w:rsid w:val="008601C9"/>
    <w:rsid w:val="008615D9"/>
    <w:rsid w:val="00861755"/>
    <w:rsid w:val="00861AC5"/>
    <w:rsid w:val="00864817"/>
    <w:rsid w:val="00864B8D"/>
    <w:rsid w:val="0086719A"/>
    <w:rsid w:val="00867D38"/>
    <w:rsid w:val="00870C45"/>
    <w:rsid w:val="00871721"/>
    <w:rsid w:val="00871B30"/>
    <w:rsid w:val="0087273A"/>
    <w:rsid w:val="00872868"/>
    <w:rsid w:val="008728AE"/>
    <w:rsid w:val="008734C0"/>
    <w:rsid w:val="00873562"/>
    <w:rsid w:val="00875A7D"/>
    <w:rsid w:val="00875F81"/>
    <w:rsid w:val="0088023E"/>
    <w:rsid w:val="0088104B"/>
    <w:rsid w:val="00881D27"/>
    <w:rsid w:val="00883260"/>
    <w:rsid w:val="00883B03"/>
    <w:rsid w:val="008855BF"/>
    <w:rsid w:val="00886C0C"/>
    <w:rsid w:val="00890686"/>
    <w:rsid w:val="00890800"/>
    <w:rsid w:val="008919F2"/>
    <w:rsid w:val="0089208D"/>
    <w:rsid w:val="00892EE5"/>
    <w:rsid w:val="008931DE"/>
    <w:rsid w:val="00893C7D"/>
    <w:rsid w:val="0089569E"/>
    <w:rsid w:val="008964E5"/>
    <w:rsid w:val="00896938"/>
    <w:rsid w:val="00896C2F"/>
    <w:rsid w:val="008978F3"/>
    <w:rsid w:val="008978FA"/>
    <w:rsid w:val="00897C4B"/>
    <w:rsid w:val="008A0E22"/>
    <w:rsid w:val="008A19C2"/>
    <w:rsid w:val="008A25C9"/>
    <w:rsid w:val="008A2698"/>
    <w:rsid w:val="008A38F9"/>
    <w:rsid w:val="008A3D44"/>
    <w:rsid w:val="008A4A39"/>
    <w:rsid w:val="008A5130"/>
    <w:rsid w:val="008A57F8"/>
    <w:rsid w:val="008A6DBB"/>
    <w:rsid w:val="008A6E80"/>
    <w:rsid w:val="008A73A5"/>
    <w:rsid w:val="008B0431"/>
    <w:rsid w:val="008B1A02"/>
    <w:rsid w:val="008B2038"/>
    <w:rsid w:val="008B3111"/>
    <w:rsid w:val="008B490B"/>
    <w:rsid w:val="008B4C00"/>
    <w:rsid w:val="008B5293"/>
    <w:rsid w:val="008B674B"/>
    <w:rsid w:val="008B6BD4"/>
    <w:rsid w:val="008B73F6"/>
    <w:rsid w:val="008B7585"/>
    <w:rsid w:val="008B7D41"/>
    <w:rsid w:val="008C031E"/>
    <w:rsid w:val="008C3C2D"/>
    <w:rsid w:val="008C5504"/>
    <w:rsid w:val="008C5CE4"/>
    <w:rsid w:val="008C6098"/>
    <w:rsid w:val="008C751E"/>
    <w:rsid w:val="008C780F"/>
    <w:rsid w:val="008D12BC"/>
    <w:rsid w:val="008D337E"/>
    <w:rsid w:val="008D37A2"/>
    <w:rsid w:val="008D4F8F"/>
    <w:rsid w:val="008D56AA"/>
    <w:rsid w:val="008D6FAF"/>
    <w:rsid w:val="008E03E5"/>
    <w:rsid w:val="008E085F"/>
    <w:rsid w:val="008E218B"/>
    <w:rsid w:val="008E3234"/>
    <w:rsid w:val="008E34F0"/>
    <w:rsid w:val="008E5C75"/>
    <w:rsid w:val="008E5F7E"/>
    <w:rsid w:val="008E6977"/>
    <w:rsid w:val="008F2C73"/>
    <w:rsid w:val="008F2FF7"/>
    <w:rsid w:val="008F3683"/>
    <w:rsid w:val="008F4698"/>
    <w:rsid w:val="008F58DC"/>
    <w:rsid w:val="008F6D00"/>
    <w:rsid w:val="008F7F42"/>
    <w:rsid w:val="00900C30"/>
    <w:rsid w:val="0090132F"/>
    <w:rsid w:val="0090223E"/>
    <w:rsid w:val="00902933"/>
    <w:rsid w:val="00903204"/>
    <w:rsid w:val="00904887"/>
    <w:rsid w:val="00904CAB"/>
    <w:rsid w:val="00905DE2"/>
    <w:rsid w:val="0090608A"/>
    <w:rsid w:val="00906268"/>
    <w:rsid w:val="00910104"/>
    <w:rsid w:val="00910535"/>
    <w:rsid w:val="00911833"/>
    <w:rsid w:val="009125CE"/>
    <w:rsid w:val="009133B6"/>
    <w:rsid w:val="00913EAF"/>
    <w:rsid w:val="0091439C"/>
    <w:rsid w:val="00914592"/>
    <w:rsid w:val="00914AE5"/>
    <w:rsid w:val="0091636B"/>
    <w:rsid w:val="0091639F"/>
    <w:rsid w:val="0091743A"/>
    <w:rsid w:val="00920311"/>
    <w:rsid w:val="0092167D"/>
    <w:rsid w:val="009224F1"/>
    <w:rsid w:val="00923789"/>
    <w:rsid w:val="00924849"/>
    <w:rsid w:val="00925EE6"/>
    <w:rsid w:val="00926046"/>
    <w:rsid w:val="0093034B"/>
    <w:rsid w:val="00930DF5"/>
    <w:rsid w:val="0093101C"/>
    <w:rsid w:val="009324B1"/>
    <w:rsid w:val="00934ED9"/>
    <w:rsid w:val="00935144"/>
    <w:rsid w:val="00935D8C"/>
    <w:rsid w:val="0093620C"/>
    <w:rsid w:val="009366E4"/>
    <w:rsid w:val="009376C4"/>
    <w:rsid w:val="0094006E"/>
    <w:rsid w:val="00940C65"/>
    <w:rsid w:val="00944891"/>
    <w:rsid w:val="00944A1D"/>
    <w:rsid w:val="00945940"/>
    <w:rsid w:val="0094662C"/>
    <w:rsid w:val="00947BF4"/>
    <w:rsid w:val="009516FC"/>
    <w:rsid w:val="0095205D"/>
    <w:rsid w:val="00953C24"/>
    <w:rsid w:val="00954153"/>
    <w:rsid w:val="0095454B"/>
    <w:rsid w:val="009547A5"/>
    <w:rsid w:val="009555AF"/>
    <w:rsid w:val="00955FFA"/>
    <w:rsid w:val="009571A3"/>
    <w:rsid w:val="009576A4"/>
    <w:rsid w:val="00957E0E"/>
    <w:rsid w:val="009604E9"/>
    <w:rsid w:val="00960DD2"/>
    <w:rsid w:val="00960F0F"/>
    <w:rsid w:val="00962835"/>
    <w:rsid w:val="00962F36"/>
    <w:rsid w:val="009632E5"/>
    <w:rsid w:val="00963C48"/>
    <w:rsid w:val="00963CFE"/>
    <w:rsid w:val="0096484A"/>
    <w:rsid w:val="009656FC"/>
    <w:rsid w:val="009662D8"/>
    <w:rsid w:val="009665E7"/>
    <w:rsid w:val="00966CCD"/>
    <w:rsid w:val="0096762A"/>
    <w:rsid w:val="0096779D"/>
    <w:rsid w:val="00971D8A"/>
    <w:rsid w:val="00973622"/>
    <w:rsid w:val="0097380C"/>
    <w:rsid w:val="009738B9"/>
    <w:rsid w:val="00974293"/>
    <w:rsid w:val="0097523A"/>
    <w:rsid w:val="009777B5"/>
    <w:rsid w:val="00981BF0"/>
    <w:rsid w:val="00982484"/>
    <w:rsid w:val="00982D09"/>
    <w:rsid w:val="0098352F"/>
    <w:rsid w:val="00983646"/>
    <w:rsid w:val="00983737"/>
    <w:rsid w:val="00983F50"/>
    <w:rsid w:val="00985010"/>
    <w:rsid w:val="00985C67"/>
    <w:rsid w:val="00986E90"/>
    <w:rsid w:val="00990443"/>
    <w:rsid w:val="009914A5"/>
    <w:rsid w:val="0099234E"/>
    <w:rsid w:val="00992559"/>
    <w:rsid w:val="00992A78"/>
    <w:rsid w:val="00992D79"/>
    <w:rsid w:val="00993404"/>
    <w:rsid w:val="00994119"/>
    <w:rsid w:val="00994713"/>
    <w:rsid w:val="00996173"/>
    <w:rsid w:val="0099688C"/>
    <w:rsid w:val="00997005"/>
    <w:rsid w:val="009A0066"/>
    <w:rsid w:val="009A0182"/>
    <w:rsid w:val="009A0355"/>
    <w:rsid w:val="009A06E1"/>
    <w:rsid w:val="009A0F01"/>
    <w:rsid w:val="009A1CB7"/>
    <w:rsid w:val="009A1DBE"/>
    <w:rsid w:val="009A24F1"/>
    <w:rsid w:val="009A29AF"/>
    <w:rsid w:val="009A4932"/>
    <w:rsid w:val="009A5450"/>
    <w:rsid w:val="009A63A5"/>
    <w:rsid w:val="009A73B8"/>
    <w:rsid w:val="009B0349"/>
    <w:rsid w:val="009B03C3"/>
    <w:rsid w:val="009B069C"/>
    <w:rsid w:val="009B129A"/>
    <w:rsid w:val="009B2CE6"/>
    <w:rsid w:val="009B300D"/>
    <w:rsid w:val="009B316F"/>
    <w:rsid w:val="009B3675"/>
    <w:rsid w:val="009B370F"/>
    <w:rsid w:val="009B4414"/>
    <w:rsid w:val="009B4538"/>
    <w:rsid w:val="009B65A0"/>
    <w:rsid w:val="009C2562"/>
    <w:rsid w:val="009C2EE9"/>
    <w:rsid w:val="009C2EF8"/>
    <w:rsid w:val="009C37E4"/>
    <w:rsid w:val="009C437E"/>
    <w:rsid w:val="009C6044"/>
    <w:rsid w:val="009C64F9"/>
    <w:rsid w:val="009C7D25"/>
    <w:rsid w:val="009D0095"/>
    <w:rsid w:val="009D05D6"/>
    <w:rsid w:val="009D2727"/>
    <w:rsid w:val="009D2E47"/>
    <w:rsid w:val="009D2FDC"/>
    <w:rsid w:val="009D3F64"/>
    <w:rsid w:val="009D5B5C"/>
    <w:rsid w:val="009D76CD"/>
    <w:rsid w:val="009E0545"/>
    <w:rsid w:val="009E094A"/>
    <w:rsid w:val="009E1780"/>
    <w:rsid w:val="009E1BA0"/>
    <w:rsid w:val="009E220C"/>
    <w:rsid w:val="009E41DE"/>
    <w:rsid w:val="009E5DE3"/>
    <w:rsid w:val="009E60F7"/>
    <w:rsid w:val="009E64F9"/>
    <w:rsid w:val="009E70AB"/>
    <w:rsid w:val="009F0060"/>
    <w:rsid w:val="009F2158"/>
    <w:rsid w:val="009F2E03"/>
    <w:rsid w:val="009F3184"/>
    <w:rsid w:val="009F346F"/>
    <w:rsid w:val="009F4943"/>
    <w:rsid w:val="009F4A37"/>
    <w:rsid w:val="009F79DF"/>
    <w:rsid w:val="00A0130F"/>
    <w:rsid w:val="00A01C32"/>
    <w:rsid w:val="00A01ED3"/>
    <w:rsid w:val="00A03153"/>
    <w:rsid w:val="00A04CF7"/>
    <w:rsid w:val="00A05310"/>
    <w:rsid w:val="00A05700"/>
    <w:rsid w:val="00A06320"/>
    <w:rsid w:val="00A07777"/>
    <w:rsid w:val="00A07835"/>
    <w:rsid w:val="00A105EB"/>
    <w:rsid w:val="00A112A0"/>
    <w:rsid w:val="00A11AE1"/>
    <w:rsid w:val="00A12720"/>
    <w:rsid w:val="00A133E3"/>
    <w:rsid w:val="00A16DCB"/>
    <w:rsid w:val="00A17889"/>
    <w:rsid w:val="00A21B4B"/>
    <w:rsid w:val="00A22614"/>
    <w:rsid w:val="00A2297D"/>
    <w:rsid w:val="00A231E2"/>
    <w:rsid w:val="00A23413"/>
    <w:rsid w:val="00A2431F"/>
    <w:rsid w:val="00A24953"/>
    <w:rsid w:val="00A24ECE"/>
    <w:rsid w:val="00A271DC"/>
    <w:rsid w:val="00A2752B"/>
    <w:rsid w:val="00A27DA7"/>
    <w:rsid w:val="00A30747"/>
    <w:rsid w:val="00A31D4F"/>
    <w:rsid w:val="00A34E07"/>
    <w:rsid w:val="00A3580E"/>
    <w:rsid w:val="00A35C5E"/>
    <w:rsid w:val="00A36EDC"/>
    <w:rsid w:val="00A37411"/>
    <w:rsid w:val="00A377D4"/>
    <w:rsid w:val="00A37C4A"/>
    <w:rsid w:val="00A41D18"/>
    <w:rsid w:val="00A4245D"/>
    <w:rsid w:val="00A42C2E"/>
    <w:rsid w:val="00A439F0"/>
    <w:rsid w:val="00A445CB"/>
    <w:rsid w:val="00A45096"/>
    <w:rsid w:val="00A454F1"/>
    <w:rsid w:val="00A4582A"/>
    <w:rsid w:val="00A4635B"/>
    <w:rsid w:val="00A46730"/>
    <w:rsid w:val="00A468F6"/>
    <w:rsid w:val="00A50F77"/>
    <w:rsid w:val="00A52638"/>
    <w:rsid w:val="00A5290F"/>
    <w:rsid w:val="00A53671"/>
    <w:rsid w:val="00A53883"/>
    <w:rsid w:val="00A539CC"/>
    <w:rsid w:val="00A54113"/>
    <w:rsid w:val="00A55177"/>
    <w:rsid w:val="00A554FB"/>
    <w:rsid w:val="00A55D30"/>
    <w:rsid w:val="00A56871"/>
    <w:rsid w:val="00A571F7"/>
    <w:rsid w:val="00A5731A"/>
    <w:rsid w:val="00A60300"/>
    <w:rsid w:val="00A63422"/>
    <w:rsid w:val="00A63796"/>
    <w:rsid w:val="00A643CD"/>
    <w:rsid w:val="00A6472E"/>
    <w:rsid w:val="00A652BA"/>
    <w:rsid w:val="00A65DA0"/>
    <w:rsid w:val="00A70232"/>
    <w:rsid w:val="00A7259F"/>
    <w:rsid w:val="00A72A92"/>
    <w:rsid w:val="00A738D6"/>
    <w:rsid w:val="00A7495C"/>
    <w:rsid w:val="00A74E51"/>
    <w:rsid w:val="00A75A70"/>
    <w:rsid w:val="00A7670B"/>
    <w:rsid w:val="00A7763A"/>
    <w:rsid w:val="00A82B66"/>
    <w:rsid w:val="00A83360"/>
    <w:rsid w:val="00A83704"/>
    <w:rsid w:val="00A84CC1"/>
    <w:rsid w:val="00A8548C"/>
    <w:rsid w:val="00A857CE"/>
    <w:rsid w:val="00A8739F"/>
    <w:rsid w:val="00A87F97"/>
    <w:rsid w:val="00A9126D"/>
    <w:rsid w:val="00A91862"/>
    <w:rsid w:val="00A9189F"/>
    <w:rsid w:val="00A91C30"/>
    <w:rsid w:val="00A922DB"/>
    <w:rsid w:val="00A92D51"/>
    <w:rsid w:val="00A9561A"/>
    <w:rsid w:val="00A96508"/>
    <w:rsid w:val="00A965CE"/>
    <w:rsid w:val="00A968EC"/>
    <w:rsid w:val="00A96E2F"/>
    <w:rsid w:val="00A97A8C"/>
    <w:rsid w:val="00AA07BF"/>
    <w:rsid w:val="00AA11D5"/>
    <w:rsid w:val="00AA335F"/>
    <w:rsid w:val="00AA34CB"/>
    <w:rsid w:val="00AA4F21"/>
    <w:rsid w:val="00AA78D9"/>
    <w:rsid w:val="00AA78FA"/>
    <w:rsid w:val="00AA7F50"/>
    <w:rsid w:val="00AB12CD"/>
    <w:rsid w:val="00AB30EB"/>
    <w:rsid w:val="00AB4498"/>
    <w:rsid w:val="00AB455D"/>
    <w:rsid w:val="00AB46ED"/>
    <w:rsid w:val="00AB488C"/>
    <w:rsid w:val="00AB4F42"/>
    <w:rsid w:val="00AB54D6"/>
    <w:rsid w:val="00AB6373"/>
    <w:rsid w:val="00AB770B"/>
    <w:rsid w:val="00AB7F90"/>
    <w:rsid w:val="00AC0860"/>
    <w:rsid w:val="00AC0D33"/>
    <w:rsid w:val="00AC1B28"/>
    <w:rsid w:val="00AC1E29"/>
    <w:rsid w:val="00AC2E1B"/>
    <w:rsid w:val="00AC433F"/>
    <w:rsid w:val="00AC4A82"/>
    <w:rsid w:val="00AC4F1F"/>
    <w:rsid w:val="00AC5261"/>
    <w:rsid w:val="00AC59D8"/>
    <w:rsid w:val="00AC7304"/>
    <w:rsid w:val="00AC74E6"/>
    <w:rsid w:val="00AC7B10"/>
    <w:rsid w:val="00AD015B"/>
    <w:rsid w:val="00AD1A74"/>
    <w:rsid w:val="00AD2802"/>
    <w:rsid w:val="00AD3525"/>
    <w:rsid w:val="00AD3A77"/>
    <w:rsid w:val="00AD4BB6"/>
    <w:rsid w:val="00AD5D54"/>
    <w:rsid w:val="00AD6687"/>
    <w:rsid w:val="00AD7068"/>
    <w:rsid w:val="00AE004B"/>
    <w:rsid w:val="00AE07B1"/>
    <w:rsid w:val="00AE111C"/>
    <w:rsid w:val="00AE1A5C"/>
    <w:rsid w:val="00AE227F"/>
    <w:rsid w:val="00AE248B"/>
    <w:rsid w:val="00AE249C"/>
    <w:rsid w:val="00AE3D97"/>
    <w:rsid w:val="00AE4B1F"/>
    <w:rsid w:val="00AE4EC8"/>
    <w:rsid w:val="00AE5080"/>
    <w:rsid w:val="00AE610C"/>
    <w:rsid w:val="00AE744C"/>
    <w:rsid w:val="00AE76B2"/>
    <w:rsid w:val="00AF0FE1"/>
    <w:rsid w:val="00AF2E03"/>
    <w:rsid w:val="00AF2E44"/>
    <w:rsid w:val="00AF2F43"/>
    <w:rsid w:val="00AF4236"/>
    <w:rsid w:val="00AF4D8A"/>
    <w:rsid w:val="00AF4F37"/>
    <w:rsid w:val="00AF5943"/>
    <w:rsid w:val="00AF60D9"/>
    <w:rsid w:val="00AF70AB"/>
    <w:rsid w:val="00AF74ED"/>
    <w:rsid w:val="00B03DB2"/>
    <w:rsid w:val="00B03EA7"/>
    <w:rsid w:val="00B044FE"/>
    <w:rsid w:val="00B045E5"/>
    <w:rsid w:val="00B04DDA"/>
    <w:rsid w:val="00B04E89"/>
    <w:rsid w:val="00B0511B"/>
    <w:rsid w:val="00B057B9"/>
    <w:rsid w:val="00B05E4B"/>
    <w:rsid w:val="00B0698A"/>
    <w:rsid w:val="00B07535"/>
    <w:rsid w:val="00B07703"/>
    <w:rsid w:val="00B07E8E"/>
    <w:rsid w:val="00B10AC3"/>
    <w:rsid w:val="00B11857"/>
    <w:rsid w:val="00B11982"/>
    <w:rsid w:val="00B13727"/>
    <w:rsid w:val="00B13D90"/>
    <w:rsid w:val="00B152C7"/>
    <w:rsid w:val="00B16BC5"/>
    <w:rsid w:val="00B16DCB"/>
    <w:rsid w:val="00B2031E"/>
    <w:rsid w:val="00B20CC2"/>
    <w:rsid w:val="00B2151B"/>
    <w:rsid w:val="00B22A7B"/>
    <w:rsid w:val="00B2347B"/>
    <w:rsid w:val="00B23AC6"/>
    <w:rsid w:val="00B23F65"/>
    <w:rsid w:val="00B249B6"/>
    <w:rsid w:val="00B24E58"/>
    <w:rsid w:val="00B25CD2"/>
    <w:rsid w:val="00B27F2B"/>
    <w:rsid w:val="00B3086F"/>
    <w:rsid w:val="00B3147E"/>
    <w:rsid w:val="00B326F0"/>
    <w:rsid w:val="00B33F4C"/>
    <w:rsid w:val="00B34068"/>
    <w:rsid w:val="00B340DF"/>
    <w:rsid w:val="00B3479E"/>
    <w:rsid w:val="00B349D9"/>
    <w:rsid w:val="00B34DA2"/>
    <w:rsid w:val="00B35734"/>
    <w:rsid w:val="00B35C6C"/>
    <w:rsid w:val="00B36082"/>
    <w:rsid w:val="00B36AF9"/>
    <w:rsid w:val="00B36EB0"/>
    <w:rsid w:val="00B40029"/>
    <w:rsid w:val="00B41E84"/>
    <w:rsid w:val="00B42B29"/>
    <w:rsid w:val="00B4307D"/>
    <w:rsid w:val="00B43272"/>
    <w:rsid w:val="00B441B9"/>
    <w:rsid w:val="00B44535"/>
    <w:rsid w:val="00B46106"/>
    <w:rsid w:val="00B479C1"/>
    <w:rsid w:val="00B47D5C"/>
    <w:rsid w:val="00B47F00"/>
    <w:rsid w:val="00B51B77"/>
    <w:rsid w:val="00B526B4"/>
    <w:rsid w:val="00B53F8D"/>
    <w:rsid w:val="00B55EFD"/>
    <w:rsid w:val="00B56E55"/>
    <w:rsid w:val="00B57429"/>
    <w:rsid w:val="00B57D93"/>
    <w:rsid w:val="00B61ACF"/>
    <w:rsid w:val="00B62759"/>
    <w:rsid w:val="00B62F65"/>
    <w:rsid w:val="00B63BD7"/>
    <w:rsid w:val="00B6452F"/>
    <w:rsid w:val="00B64823"/>
    <w:rsid w:val="00B648E9"/>
    <w:rsid w:val="00B649C9"/>
    <w:rsid w:val="00B64BFE"/>
    <w:rsid w:val="00B64DAC"/>
    <w:rsid w:val="00B6563B"/>
    <w:rsid w:val="00B6655A"/>
    <w:rsid w:val="00B711A3"/>
    <w:rsid w:val="00B7168E"/>
    <w:rsid w:val="00B72006"/>
    <w:rsid w:val="00B7260F"/>
    <w:rsid w:val="00B72FC9"/>
    <w:rsid w:val="00B735AB"/>
    <w:rsid w:val="00B74473"/>
    <w:rsid w:val="00B7470F"/>
    <w:rsid w:val="00B754AD"/>
    <w:rsid w:val="00B759B3"/>
    <w:rsid w:val="00B76341"/>
    <w:rsid w:val="00B76659"/>
    <w:rsid w:val="00B77552"/>
    <w:rsid w:val="00B7782A"/>
    <w:rsid w:val="00B77B04"/>
    <w:rsid w:val="00B77CE1"/>
    <w:rsid w:val="00B8045F"/>
    <w:rsid w:val="00B80BE3"/>
    <w:rsid w:val="00B8145A"/>
    <w:rsid w:val="00B81F6A"/>
    <w:rsid w:val="00B82700"/>
    <w:rsid w:val="00B83480"/>
    <w:rsid w:val="00B8478B"/>
    <w:rsid w:val="00B85490"/>
    <w:rsid w:val="00B87146"/>
    <w:rsid w:val="00B906B8"/>
    <w:rsid w:val="00B906C4"/>
    <w:rsid w:val="00B90A7A"/>
    <w:rsid w:val="00B90B56"/>
    <w:rsid w:val="00B90C2B"/>
    <w:rsid w:val="00B91283"/>
    <w:rsid w:val="00B91306"/>
    <w:rsid w:val="00B923F2"/>
    <w:rsid w:val="00B923F6"/>
    <w:rsid w:val="00B92610"/>
    <w:rsid w:val="00B92F23"/>
    <w:rsid w:val="00B932BB"/>
    <w:rsid w:val="00B94491"/>
    <w:rsid w:val="00B95781"/>
    <w:rsid w:val="00B95805"/>
    <w:rsid w:val="00B95F5D"/>
    <w:rsid w:val="00BA0FF7"/>
    <w:rsid w:val="00BA1368"/>
    <w:rsid w:val="00BA3DDA"/>
    <w:rsid w:val="00BA4CF2"/>
    <w:rsid w:val="00BA6070"/>
    <w:rsid w:val="00BA678A"/>
    <w:rsid w:val="00BA724A"/>
    <w:rsid w:val="00BB0203"/>
    <w:rsid w:val="00BB13AD"/>
    <w:rsid w:val="00BB20A5"/>
    <w:rsid w:val="00BB2520"/>
    <w:rsid w:val="00BB2C46"/>
    <w:rsid w:val="00BB3180"/>
    <w:rsid w:val="00BB3478"/>
    <w:rsid w:val="00BB4262"/>
    <w:rsid w:val="00BB48E9"/>
    <w:rsid w:val="00BB5D0B"/>
    <w:rsid w:val="00BB643B"/>
    <w:rsid w:val="00BB6541"/>
    <w:rsid w:val="00BB7C63"/>
    <w:rsid w:val="00BC0599"/>
    <w:rsid w:val="00BC1CE9"/>
    <w:rsid w:val="00BC3272"/>
    <w:rsid w:val="00BC3F54"/>
    <w:rsid w:val="00BC43B5"/>
    <w:rsid w:val="00BC622D"/>
    <w:rsid w:val="00BC7B7A"/>
    <w:rsid w:val="00BC7D04"/>
    <w:rsid w:val="00BD1185"/>
    <w:rsid w:val="00BD1B9B"/>
    <w:rsid w:val="00BD3A02"/>
    <w:rsid w:val="00BD4EB8"/>
    <w:rsid w:val="00BD56E1"/>
    <w:rsid w:val="00BD64A5"/>
    <w:rsid w:val="00BE14A6"/>
    <w:rsid w:val="00BE1F47"/>
    <w:rsid w:val="00BE389C"/>
    <w:rsid w:val="00BE3C19"/>
    <w:rsid w:val="00BE542C"/>
    <w:rsid w:val="00BE5507"/>
    <w:rsid w:val="00BE5622"/>
    <w:rsid w:val="00BE62C0"/>
    <w:rsid w:val="00BE78D1"/>
    <w:rsid w:val="00BE7EAC"/>
    <w:rsid w:val="00BF0A37"/>
    <w:rsid w:val="00BF1CC3"/>
    <w:rsid w:val="00BF2FE5"/>
    <w:rsid w:val="00BF35F6"/>
    <w:rsid w:val="00BF3B01"/>
    <w:rsid w:val="00BF4E5F"/>
    <w:rsid w:val="00BF6B27"/>
    <w:rsid w:val="00C01180"/>
    <w:rsid w:val="00C01C9B"/>
    <w:rsid w:val="00C028CE"/>
    <w:rsid w:val="00C02CE1"/>
    <w:rsid w:val="00C03125"/>
    <w:rsid w:val="00C039EF"/>
    <w:rsid w:val="00C03A0B"/>
    <w:rsid w:val="00C04481"/>
    <w:rsid w:val="00C0497A"/>
    <w:rsid w:val="00C0547A"/>
    <w:rsid w:val="00C07A4A"/>
    <w:rsid w:val="00C07A84"/>
    <w:rsid w:val="00C07C9A"/>
    <w:rsid w:val="00C10FA8"/>
    <w:rsid w:val="00C119E1"/>
    <w:rsid w:val="00C12530"/>
    <w:rsid w:val="00C126E6"/>
    <w:rsid w:val="00C13E60"/>
    <w:rsid w:val="00C14E12"/>
    <w:rsid w:val="00C154BB"/>
    <w:rsid w:val="00C1631F"/>
    <w:rsid w:val="00C17C4F"/>
    <w:rsid w:val="00C215FA"/>
    <w:rsid w:val="00C21B84"/>
    <w:rsid w:val="00C21BE0"/>
    <w:rsid w:val="00C21C02"/>
    <w:rsid w:val="00C227B5"/>
    <w:rsid w:val="00C23B9F"/>
    <w:rsid w:val="00C248D5"/>
    <w:rsid w:val="00C24B0F"/>
    <w:rsid w:val="00C25FA6"/>
    <w:rsid w:val="00C2646E"/>
    <w:rsid w:val="00C2650A"/>
    <w:rsid w:val="00C27F40"/>
    <w:rsid w:val="00C30062"/>
    <w:rsid w:val="00C31430"/>
    <w:rsid w:val="00C31BC3"/>
    <w:rsid w:val="00C33C86"/>
    <w:rsid w:val="00C33F29"/>
    <w:rsid w:val="00C35CA0"/>
    <w:rsid w:val="00C361D2"/>
    <w:rsid w:val="00C3676A"/>
    <w:rsid w:val="00C36770"/>
    <w:rsid w:val="00C37236"/>
    <w:rsid w:val="00C372D5"/>
    <w:rsid w:val="00C373E2"/>
    <w:rsid w:val="00C4019E"/>
    <w:rsid w:val="00C4119C"/>
    <w:rsid w:val="00C41ABB"/>
    <w:rsid w:val="00C430CE"/>
    <w:rsid w:val="00C437AD"/>
    <w:rsid w:val="00C437EC"/>
    <w:rsid w:val="00C43ADE"/>
    <w:rsid w:val="00C4634E"/>
    <w:rsid w:val="00C467CF"/>
    <w:rsid w:val="00C47F60"/>
    <w:rsid w:val="00C53176"/>
    <w:rsid w:val="00C53E79"/>
    <w:rsid w:val="00C5423B"/>
    <w:rsid w:val="00C54613"/>
    <w:rsid w:val="00C55432"/>
    <w:rsid w:val="00C570D0"/>
    <w:rsid w:val="00C57B34"/>
    <w:rsid w:val="00C62F07"/>
    <w:rsid w:val="00C65022"/>
    <w:rsid w:val="00C658E5"/>
    <w:rsid w:val="00C65E5A"/>
    <w:rsid w:val="00C67F16"/>
    <w:rsid w:val="00C7089C"/>
    <w:rsid w:val="00C70D2C"/>
    <w:rsid w:val="00C70F28"/>
    <w:rsid w:val="00C70FB7"/>
    <w:rsid w:val="00C710F8"/>
    <w:rsid w:val="00C7148F"/>
    <w:rsid w:val="00C71C20"/>
    <w:rsid w:val="00C71C53"/>
    <w:rsid w:val="00C746A3"/>
    <w:rsid w:val="00C760F2"/>
    <w:rsid w:val="00C771C5"/>
    <w:rsid w:val="00C81740"/>
    <w:rsid w:val="00C81ADC"/>
    <w:rsid w:val="00C823B4"/>
    <w:rsid w:val="00C83693"/>
    <w:rsid w:val="00C8446C"/>
    <w:rsid w:val="00C84712"/>
    <w:rsid w:val="00C8550F"/>
    <w:rsid w:val="00C862E7"/>
    <w:rsid w:val="00C8652F"/>
    <w:rsid w:val="00C87622"/>
    <w:rsid w:val="00C87C41"/>
    <w:rsid w:val="00C87D83"/>
    <w:rsid w:val="00C906FE"/>
    <w:rsid w:val="00C90B6C"/>
    <w:rsid w:val="00C91485"/>
    <w:rsid w:val="00C933B6"/>
    <w:rsid w:val="00C93E46"/>
    <w:rsid w:val="00C9426F"/>
    <w:rsid w:val="00C94863"/>
    <w:rsid w:val="00C94876"/>
    <w:rsid w:val="00C953B4"/>
    <w:rsid w:val="00C953D6"/>
    <w:rsid w:val="00C95A0D"/>
    <w:rsid w:val="00C97E41"/>
    <w:rsid w:val="00CA0398"/>
    <w:rsid w:val="00CA0703"/>
    <w:rsid w:val="00CA1637"/>
    <w:rsid w:val="00CA2730"/>
    <w:rsid w:val="00CA3180"/>
    <w:rsid w:val="00CA3413"/>
    <w:rsid w:val="00CA7C23"/>
    <w:rsid w:val="00CB0E79"/>
    <w:rsid w:val="00CB1DD6"/>
    <w:rsid w:val="00CB1E7F"/>
    <w:rsid w:val="00CB341A"/>
    <w:rsid w:val="00CB34E6"/>
    <w:rsid w:val="00CB3EB7"/>
    <w:rsid w:val="00CB5601"/>
    <w:rsid w:val="00CB588A"/>
    <w:rsid w:val="00CB7414"/>
    <w:rsid w:val="00CB77AE"/>
    <w:rsid w:val="00CC2B22"/>
    <w:rsid w:val="00CC36BF"/>
    <w:rsid w:val="00CC3E39"/>
    <w:rsid w:val="00CC7096"/>
    <w:rsid w:val="00CD14B0"/>
    <w:rsid w:val="00CD14C0"/>
    <w:rsid w:val="00CD1566"/>
    <w:rsid w:val="00CD16EA"/>
    <w:rsid w:val="00CD2690"/>
    <w:rsid w:val="00CD2DDA"/>
    <w:rsid w:val="00CD3664"/>
    <w:rsid w:val="00CD57EA"/>
    <w:rsid w:val="00CD5869"/>
    <w:rsid w:val="00CD7845"/>
    <w:rsid w:val="00CE0B6B"/>
    <w:rsid w:val="00CE0EA7"/>
    <w:rsid w:val="00CE3626"/>
    <w:rsid w:val="00CE38FB"/>
    <w:rsid w:val="00CE5B63"/>
    <w:rsid w:val="00CE5DC4"/>
    <w:rsid w:val="00CE6041"/>
    <w:rsid w:val="00CE70E2"/>
    <w:rsid w:val="00CE7BA7"/>
    <w:rsid w:val="00CE7F32"/>
    <w:rsid w:val="00CF00CB"/>
    <w:rsid w:val="00CF0686"/>
    <w:rsid w:val="00CF262E"/>
    <w:rsid w:val="00CF30B0"/>
    <w:rsid w:val="00CF3501"/>
    <w:rsid w:val="00CF4FE3"/>
    <w:rsid w:val="00CF6426"/>
    <w:rsid w:val="00D00329"/>
    <w:rsid w:val="00D00ACF"/>
    <w:rsid w:val="00D00CCA"/>
    <w:rsid w:val="00D00E69"/>
    <w:rsid w:val="00D01AF4"/>
    <w:rsid w:val="00D02235"/>
    <w:rsid w:val="00D022D9"/>
    <w:rsid w:val="00D02319"/>
    <w:rsid w:val="00D02640"/>
    <w:rsid w:val="00D04520"/>
    <w:rsid w:val="00D0531A"/>
    <w:rsid w:val="00D05949"/>
    <w:rsid w:val="00D05B59"/>
    <w:rsid w:val="00D06771"/>
    <w:rsid w:val="00D07DF5"/>
    <w:rsid w:val="00D111BB"/>
    <w:rsid w:val="00D1227A"/>
    <w:rsid w:val="00D12326"/>
    <w:rsid w:val="00D1250B"/>
    <w:rsid w:val="00D125D3"/>
    <w:rsid w:val="00D12FF5"/>
    <w:rsid w:val="00D153CB"/>
    <w:rsid w:val="00D15E40"/>
    <w:rsid w:val="00D16148"/>
    <w:rsid w:val="00D16DE3"/>
    <w:rsid w:val="00D2033F"/>
    <w:rsid w:val="00D21AC0"/>
    <w:rsid w:val="00D22301"/>
    <w:rsid w:val="00D22B8E"/>
    <w:rsid w:val="00D2457D"/>
    <w:rsid w:val="00D25485"/>
    <w:rsid w:val="00D26BE9"/>
    <w:rsid w:val="00D27E6F"/>
    <w:rsid w:val="00D27E80"/>
    <w:rsid w:val="00D30605"/>
    <w:rsid w:val="00D30BEF"/>
    <w:rsid w:val="00D30C83"/>
    <w:rsid w:val="00D30F31"/>
    <w:rsid w:val="00D3126C"/>
    <w:rsid w:val="00D32C1E"/>
    <w:rsid w:val="00D35501"/>
    <w:rsid w:val="00D35F1B"/>
    <w:rsid w:val="00D363EB"/>
    <w:rsid w:val="00D36463"/>
    <w:rsid w:val="00D3683B"/>
    <w:rsid w:val="00D37B34"/>
    <w:rsid w:val="00D40365"/>
    <w:rsid w:val="00D4236F"/>
    <w:rsid w:val="00D44050"/>
    <w:rsid w:val="00D45115"/>
    <w:rsid w:val="00D466AF"/>
    <w:rsid w:val="00D46B04"/>
    <w:rsid w:val="00D50CEF"/>
    <w:rsid w:val="00D513E4"/>
    <w:rsid w:val="00D52878"/>
    <w:rsid w:val="00D53206"/>
    <w:rsid w:val="00D54205"/>
    <w:rsid w:val="00D5474B"/>
    <w:rsid w:val="00D5521F"/>
    <w:rsid w:val="00D569F7"/>
    <w:rsid w:val="00D56F6C"/>
    <w:rsid w:val="00D60112"/>
    <w:rsid w:val="00D605D3"/>
    <w:rsid w:val="00D6111E"/>
    <w:rsid w:val="00D61FE6"/>
    <w:rsid w:val="00D6345E"/>
    <w:rsid w:val="00D634DA"/>
    <w:rsid w:val="00D6381C"/>
    <w:rsid w:val="00D63AD0"/>
    <w:rsid w:val="00D66762"/>
    <w:rsid w:val="00D67A26"/>
    <w:rsid w:val="00D67C97"/>
    <w:rsid w:val="00D709D3"/>
    <w:rsid w:val="00D71524"/>
    <w:rsid w:val="00D747DD"/>
    <w:rsid w:val="00D752FB"/>
    <w:rsid w:val="00D75DBB"/>
    <w:rsid w:val="00D75E78"/>
    <w:rsid w:val="00D77CBE"/>
    <w:rsid w:val="00D77D4F"/>
    <w:rsid w:val="00D80082"/>
    <w:rsid w:val="00D8380C"/>
    <w:rsid w:val="00D83D4B"/>
    <w:rsid w:val="00D84C32"/>
    <w:rsid w:val="00D850DD"/>
    <w:rsid w:val="00D85DA9"/>
    <w:rsid w:val="00D86497"/>
    <w:rsid w:val="00D8691D"/>
    <w:rsid w:val="00D87F0F"/>
    <w:rsid w:val="00D9089E"/>
    <w:rsid w:val="00D9268A"/>
    <w:rsid w:val="00D92B17"/>
    <w:rsid w:val="00D92C44"/>
    <w:rsid w:val="00D92C63"/>
    <w:rsid w:val="00D92FF5"/>
    <w:rsid w:val="00D93756"/>
    <w:rsid w:val="00D93CA2"/>
    <w:rsid w:val="00D94D9A"/>
    <w:rsid w:val="00D95304"/>
    <w:rsid w:val="00D964E9"/>
    <w:rsid w:val="00D96C3E"/>
    <w:rsid w:val="00DA081D"/>
    <w:rsid w:val="00DA3ED9"/>
    <w:rsid w:val="00DA456B"/>
    <w:rsid w:val="00DA4EB6"/>
    <w:rsid w:val="00DA5164"/>
    <w:rsid w:val="00DA5436"/>
    <w:rsid w:val="00DA62AD"/>
    <w:rsid w:val="00DA7293"/>
    <w:rsid w:val="00DB1F48"/>
    <w:rsid w:val="00DB25F4"/>
    <w:rsid w:val="00DB2631"/>
    <w:rsid w:val="00DB26A2"/>
    <w:rsid w:val="00DB441D"/>
    <w:rsid w:val="00DB4AE4"/>
    <w:rsid w:val="00DB4E41"/>
    <w:rsid w:val="00DC021A"/>
    <w:rsid w:val="00DC04B0"/>
    <w:rsid w:val="00DC1BB4"/>
    <w:rsid w:val="00DC1C9F"/>
    <w:rsid w:val="00DC2661"/>
    <w:rsid w:val="00DC2CA7"/>
    <w:rsid w:val="00DC397D"/>
    <w:rsid w:val="00DC3B71"/>
    <w:rsid w:val="00DC45ED"/>
    <w:rsid w:val="00DC5961"/>
    <w:rsid w:val="00DC65FC"/>
    <w:rsid w:val="00DC719A"/>
    <w:rsid w:val="00DC7293"/>
    <w:rsid w:val="00DC74C4"/>
    <w:rsid w:val="00DC7C57"/>
    <w:rsid w:val="00DD28CB"/>
    <w:rsid w:val="00DD2A74"/>
    <w:rsid w:val="00DD3081"/>
    <w:rsid w:val="00DD49CA"/>
    <w:rsid w:val="00DD4BB7"/>
    <w:rsid w:val="00DD515A"/>
    <w:rsid w:val="00DD5C93"/>
    <w:rsid w:val="00DD6B48"/>
    <w:rsid w:val="00DD6B9A"/>
    <w:rsid w:val="00DE04B5"/>
    <w:rsid w:val="00DE0531"/>
    <w:rsid w:val="00DE0F2B"/>
    <w:rsid w:val="00DE102A"/>
    <w:rsid w:val="00DE1531"/>
    <w:rsid w:val="00DE2541"/>
    <w:rsid w:val="00DE2C3C"/>
    <w:rsid w:val="00DE3913"/>
    <w:rsid w:val="00DE3FBA"/>
    <w:rsid w:val="00DE51C3"/>
    <w:rsid w:val="00DE6E3B"/>
    <w:rsid w:val="00DF0A69"/>
    <w:rsid w:val="00DF366F"/>
    <w:rsid w:val="00DF3872"/>
    <w:rsid w:val="00DF3C32"/>
    <w:rsid w:val="00E00F45"/>
    <w:rsid w:val="00E00F5B"/>
    <w:rsid w:val="00E0258D"/>
    <w:rsid w:val="00E029C0"/>
    <w:rsid w:val="00E02A98"/>
    <w:rsid w:val="00E03AFC"/>
    <w:rsid w:val="00E05A46"/>
    <w:rsid w:val="00E05A96"/>
    <w:rsid w:val="00E0657A"/>
    <w:rsid w:val="00E065E6"/>
    <w:rsid w:val="00E0662F"/>
    <w:rsid w:val="00E06F31"/>
    <w:rsid w:val="00E0707D"/>
    <w:rsid w:val="00E075A4"/>
    <w:rsid w:val="00E10EF1"/>
    <w:rsid w:val="00E1109C"/>
    <w:rsid w:val="00E11C6F"/>
    <w:rsid w:val="00E11FB2"/>
    <w:rsid w:val="00E129FF"/>
    <w:rsid w:val="00E130EA"/>
    <w:rsid w:val="00E1365D"/>
    <w:rsid w:val="00E1474F"/>
    <w:rsid w:val="00E151CF"/>
    <w:rsid w:val="00E15E13"/>
    <w:rsid w:val="00E16DDA"/>
    <w:rsid w:val="00E20629"/>
    <w:rsid w:val="00E2202C"/>
    <w:rsid w:val="00E2265D"/>
    <w:rsid w:val="00E23F29"/>
    <w:rsid w:val="00E2537C"/>
    <w:rsid w:val="00E30800"/>
    <w:rsid w:val="00E32589"/>
    <w:rsid w:val="00E32D02"/>
    <w:rsid w:val="00E32D94"/>
    <w:rsid w:val="00E338C7"/>
    <w:rsid w:val="00E343FB"/>
    <w:rsid w:val="00E34FB0"/>
    <w:rsid w:val="00E357D2"/>
    <w:rsid w:val="00E37443"/>
    <w:rsid w:val="00E37786"/>
    <w:rsid w:val="00E37B6E"/>
    <w:rsid w:val="00E42186"/>
    <w:rsid w:val="00E42557"/>
    <w:rsid w:val="00E43854"/>
    <w:rsid w:val="00E43CEF"/>
    <w:rsid w:val="00E4488C"/>
    <w:rsid w:val="00E448F6"/>
    <w:rsid w:val="00E453D8"/>
    <w:rsid w:val="00E459B2"/>
    <w:rsid w:val="00E45B62"/>
    <w:rsid w:val="00E46B46"/>
    <w:rsid w:val="00E47941"/>
    <w:rsid w:val="00E50046"/>
    <w:rsid w:val="00E505C0"/>
    <w:rsid w:val="00E525A2"/>
    <w:rsid w:val="00E52849"/>
    <w:rsid w:val="00E52B82"/>
    <w:rsid w:val="00E558B7"/>
    <w:rsid w:val="00E60BFA"/>
    <w:rsid w:val="00E6148E"/>
    <w:rsid w:val="00E61C28"/>
    <w:rsid w:val="00E62BDA"/>
    <w:rsid w:val="00E64930"/>
    <w:rsid w:val="00E67890"/>
    <w:rsid w:val="00E67A10"/>
    <w:rsid w:val="00E71318"/>
    <w:rsid w:val="00E75DF4"/>
    <w:rsid w:val="00E76050"/>
    <w:rsid w:val="00E7623D"/>
    <w:rsid w:val="00E77AFC"/>
    <w:rsid w:val="00E80D69"/>
    <w:rsid w:val="00E813CA"/>
    <w:rsid w:val="00E838A6"/>
    <w:rsid w:val="00E83A13"/>
    <w:rsid w:val="00E84BE4"/>
    <w:rsid w:val="00E85134"/>
    <w:rsid w:val="00E85A52"/>
    <w:rsid w:val="00E872E4"/>
    <w:rsid w:val="00E87A57"/>
    <w:rsid w:val="00E91D5A"/>
    <w:rsid w:val="00E91EDF"/>
    <w:rsid w:val="00E92289"/>
    <w:rsid w:val="00E92D03"/>
    <w:rsid w:val="00E9405D"/>
    <w:rsid w:val="00E94D95"/>
    <w:rsid w:val="00E95E26"/>
    <w:rsid w:val="00E967AD"/>
    <w:rsid w:val="00E97488"/>
    <w:rsid w:val="00E978C6"/>
    <w:rsid w:val="00EA0B51"/>
    <w:rsid w:val="00EA2E5F"/>
    <w:rsid w:val="00EA3442"/>
    <w:rsid w:val="00EA4948"/>
    <w:rsid w:val="00EA4E14"/>
    <w:rsid w:val="00EA629D"/>
    <w:rsid w:val="00EA6441"/>
    <w:rsid w:val="00EA6553"/>
    <w:rsid w:val="00EA7450"/>
    <w:rsid w:val="00EB5674"/>
    <w:rsid w:val="00EB5916"/>
    <w:rsid w:val="00EB5F73"/>
    <w:rsid w:val="00EB612E"/>
    <w:rsid w:val="00EB75AD"/>
    <w:rsid w:val="00EC1490"/>
    <w:rsid w:val="00EC28B8"/>
    <w:rsid w:val="00EC3544"/>
    <w:rsid w:val="00EC3E62"/>
    <w:rsid w:val="00EC5B85"/>
    <w:rsid w:val="00EC6B3F"/>
    <w:rsid w:val="00EC732C"/>
    <w:rsid w:val="00EC7667"/>
    <w:rsid w:val="00EC7A17"/>
    <w:rsid w:val="00ED172F"/>
    <w:rsid w:val="00ED1962"/>
    <w:rsid w:val="00ED1D5F"/>
    <w:rsid w:val="00ED31C6"/>
    <w:rsid w:val="00ED4A73"/>
    <w:rsid w:val="00ED6659"/>
    <w:rsid w:val="00ED7E96"/>
    <w:rsid w:val="00EE044C"/>
    <w:rsid w:val="00EE1BA7"/>
    <w:rsid w:val="00EE23D4"/>
    <w:rsid w:val="00EE2FEA"/>
    <w:rsid w:val="00EE38C9"/>
    <w:rsid w:val="00EE3ACC"/>
    <w:rsid w:val="00EE566A"/>
    <w:rsid w:val="00EE635A"/>
    <w:rsid w:val="00EE670E"/>
    <w:rsid w:val="00EE7A96"/>
    <w:rsid w:val="00EF0F31"/>
    <w:rsid w:val="00EF181C"/>
    <w:rsid w:val="00EF1DC1"/>
    <w:rsid w:val="00EF2836"/>
    <w:rsid w:val="00EF29D5"/>
    <w:rsid w:val="00EF351E"/>
    <w:rsid w:val="00EF3DD9"/>
    <w:rsid w:val="00EF49A4"/>
    <w:rsid w:val="00EF5348"/>
    <w:rsid w:val="00EF57AB"/>
    <w:rsid w:val="00EF6D99"/>
    <w:rsid w:val="00EF72CC"/>
    <w:rsid w:val="00EF73D8"/>
    <w:rsid w:val="00EF7A80"/>
    <w:rsid w:val="00F011A2"/>
    <w:rsid w:val="00F01B3A"/>
    <w:rsid w:val="00F021F3"/>
    <w:rsid w:val="00F02E56"/>
    <w:rsid w:val="00F032AA"/>
    <w:rsid w:val="00F03828"/>
    <w:rsid w:val="00F03DDD"/>
    <w:rsid w:val="00F03ED9"/>
    <w:rsid w:val="00F04D07"/>
    <w:rsid w:val="00F05160"/>
    <w:rsid w:val="00F069A1"/>
    <w:rsid w:val="00F06B32"/>
    <w:rsid w:val="00F06D6E"/>
    <w:rsid w:val="00F07BBB"/>
    <w:rsid w:val="00F108FC"/>
    <w:rsid w:val="00F118C9"/>
    <w:rsid w:val="00F12517"/>
    <w:rsid w:val="00F13197"/>
    <w:rsid w:val="00F146A3"/>
    <w:rsid w:val="00F149B4"/>
    <w:rsid w:val="00F14C87"/>
    <w:rsid w:val="00F15011"/>
    <w:rsid w:val="00F15B5B"/>
    <w:rsid w:val="00F16000"/>
    <w:rsid w:val="00F164D7"/>
    <w:rsid w:val="00F16816"/>
    <w:rsid w:val="00F16B92"/>
    <w:rsid w:val="00F21862"/>
    <w:rsid w:val="00F218CF"/>
    <w:rsid w:val="00F2193B"/>
    <w:rsid w:val="00F21B0E"/>
    <w:rsid w:val="00F2239B"/>
    <w:rsid w:val="00F24564"/>
    <w:rsid w:val="00F25171"/>
    <w:rsid w:val="00F2620A"/>
    <w:rsid w:val="00F2624B"/>
    <w:rsid w:val="00F307FA"/>
    <w:rsid w:val="00F31022"/>
    <w:rsid w:val="00F31236"/>
    <w:rsid w:val="00F31645"/>
    <w:rsid w:val="00F31C16"/>
    <w:rsid w:val="00F31C63"/>
    <w:rsid w:val="00F33DED"/>
    <w:rsid w:val="00F34079"/>
    <w:rsid w:val="00F35513"/>
    <w:rsid w:val="00F362A0"/>
    <w:rsid w:val="00F36D03"/>
    <w:rsid w:val="00F37C3F"/>
    <w:rsid w:val="00F40356"/>
    <w:rsid w:val="00F4361C"/>
    <w:rsid w:val="00F4399D"/>
    <w:rsid w:val="00F44E0C"/>
    <w:rsid w:val="00F46CED"/>
    <w:rsid w:val="00F46D69"/>
    <w:rsid w:val="00F500FD"/>
    <w:rsid w:val="00F50788"/>
    <w:rsid w:val="00F51CD5"/>
    <w:rsid w:val="00F52B5E"/>
    <w:rsid w:val="00F52D53"/>
    <w:rsid w:val="00F532C1"/>
    <w:rsid w:val="00F5483A"/>
    <w:rsid w:val="00F55E1A"/>
    <w:rsid w:val="00F56B40"/>
    <w:rsid w:val="00F60AC6"/>
    <w:rsid w:val="00F6165D"/>
    <w:rsid w:val="00F6322C"/>
    <w:rsid w:val="00F63AB4"/>
    <w:rsid w:val="00F63EF3"/>
    <w:rsid w:val="00F66565"/>
    <w:rsid w:val="00F67CBF"/>
    <w:rsid w:val="00F7097B"/>
    <w:rsid w:val="00F71555"/>
    <w:rsid w:val="00F71782"/>
    <w:rsid w:val="00F7301D"/>
    <w:rsid w:val="00F731D6"/>
    <w:rsid w:val="00F7382C"/>
    <w:rsid w:val="00F753DE"/>
    <w:rsid w:val="00F75993"/>
    <w:rsid w:val="00F7722A"/>
    <w:rsid w:val="00F77E0C"/>
    <w:rsid w:val="00F77F67"/>
    <w:rsid w:val="00F8036E"/>
    <w:rsid w:val="00F81581"/>
    <w:rsid w:val="00F81BB8"/>
    <w:rsid w:val="00F84CA7"/>
    <w:rsid w:val="00F84FEA"/>
    <w:rsid w:val="00F85EB7"/>
    <w:rsid w:val="00F86685"/>
    <w:rsid w:val="00F86805"/>
    <w:rsid w:val="00F9211C"/>
    <w:rsid w:val="00F9467C"/>
    <w:rsid w:val="00F94E8C"/>
    <w:rsid w:val="00FA0472"/>
    <w:rsid w:val="00FA189E"/>
    <w:rsid w:val="00FA3EF4"/>
    <w:rsid w:val="00FA3F01"/>
    <w:rsid w:val="00FA409F"/>
    <w:rsid w:val="00FA6B51"/>
    <w:rsid w:val="00FB0E1F"/>
    <w:rsid w:val="00FB18E5"/>
    <w:rsid w:val="00FB1C01"/>
    <w:rsid w:val="00FB1C28"/>
    <w:rsid w:val="00FB1FB2"/>
    <w:rsid w:val="00FB304E"/>
    <w:rsid w:val="00FB3165"/>
    <w:rsid w:val="00FB346C"/>
    <w:rsid w:val="00FB616D"/>
    <w:rsid w:val="00FC1B6A"/>
    <w:rsid w:val="00FC1F19"/>
    <w:rsid w:val="00FC2229"/>
    <w:rsid w:val="00FC2312"/>
    <w:rsid w:val="00FC4A16"/>
    <w:rsid w:val="00FC4FBD"/>
    <w:rsid w:val="00FC6536"/>
    <w:rsid w:val="00FC6D4E"/>
    <w:rsid w:val="00FC75F7"/>
    <w:rsid w:val="00FD0B98"/>
    <w:rsid w:val="00FD6341"/>
    <w:rsid w:val="00FD6EA8"/>
    <w:rsid w:val="00FD7378"/>
    <w:rsid w:val="00FD75C1"/>
    <w:rsid w:val="00FE0AB7"/>
    <w:rsid w:val="00FE0FAB"/>
    <w:rsid w:val="00FE1533"/>
    <w:rsid w:val="00FE2006"/>
    <w:rsid w:val="00FE235A"/>
    <w:rsid w:val="00FE2C35"/>
    <w:rsid w:val="00FE4AE0"/>
    <w:rsid w:val="00FE6345"/>
    <w:rsid w:val="00FE6487"/>
    <w:rsid w:val="00FE6D17"/>
    <w:rsid w:val="00FF036E"/>
    <w:rsid w:val="00FF0866"/>
    <w:rsid w:val="00FF0BC2"/>
    <w:rsid w:val="00FF218B"/>
    <w:rsid w:val="00FF2F00"/>
    <w:rsid w:val="00FF34C6"/>
    <w:rsid w:val="00FF36D3"/>
    <w:rsid w:val="00FF3E83"/>
    <w:rsid w:val="00FF3F77"/>
    <w:rsid w:val="00FF400F"/>
    <w:rsid w:val="00FF439F"/>
    <w:rsid w:val="00FF440F"/>
    <w:rsid w:val="00FF4803"/>
    <w:rsid w:val="00FF4FDF"/>
    <w:rsid w:val="00FF5919"/>
    <w:rsid w:val="00FF6B12"/>
    <w:rsid w:val="00FF6BA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98"/>
    <w:pPr>
      <w:spacing w:after="200" w:line="276" w:lineRule="auto"/>
      <w:jc w:val="both"/>
    </w:pPr>
    <w:rPr>
      <w:sz w:val="22"/>
      <w:szCs w:val="22"/>
    </w:rPr>
  </w:style>
  <w:style w:type="paragraph" w:styleId="Heading1">
    <w:name w:val="heading 1"/>
    <w:basedOn w:val="Normal"/>
    <w:next w:val="Normal"/>
    <w:link w:val="Heading1Char"/>
    <w:uiPriority w:val="9"/>
    <w:qFormat/>
    <w:rsid w:val="00CE38F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E4710"/>
    <w:pPr>
      <w:keepNext/>
      <w:spacing w:before="240" w:after="60"/>
      <w:outlineLvl w:val="1"/>
    </w:pPr>
    <w:rPr>
      <w:rFonts w:asciiTheme="minorHAnsi" w:eastAsia="Times New Roman" w:hAnsiTheme="minorHAnsi"/>
      <w:b/>
      <w:bCs/>
      <w:i/>
      <w:iCs/>
      <w:sz w:val="28"/>
      <w:szCs w:val="28"/>
    </w:rPr>
  </w:style>
  <w:style w:type="paragraph" w:styleId="Heading3">
    <w:name w:val="heading 3"/>
    <w:basedOn w:val="Normal"/>
    <w:next w:val="Normal"/>
    <w:link w:val="Heading3Char"/>
    <w:uiPriority w:val="9"/>
    <w:unhideWhenUsed/>
    <w:qFormat/>
    <w:rsid w:val="00957E0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31007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167405"/>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E1F"/>
  </w:style>
  <w:style w:type="paragraph" w:styleId="Footer">
    <w:name w:val="footer"/>
    <w:basedOn w:val="Normal"/>
    <w:link w:val="FooterChar"/>
    <w:uiPriority w:val="99"/>
    <w:unhideWhenUsed/>
    <w:rsid w:val="00FB0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E1F"/>
  </w:style>
  <w:style w:type="paragraph" w:styleId="BalloonText">
    <w:name w:val="Balloon Text"/>
    <w:basedOn w:val="Normal"/>
    <w:link w:val="BalloonTextChar"/>
    <w:uiPriority w:val="99"/>
    <w:semiHidden/>
    <w:unhideWhenUsed/>
    <w:rsid w:val="00FB0E1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B0E1F"/>
    <w:rPr>
      <w:rFonts w:ascii="Tahoma" w:hAnsi="Tahoma" w:cs="Tahoma"/>
      <w:sz w:val="16"/>
      <w:szCs w:val="16"/>
    </w:rPr>
  </w:style>
  <w:style w:type="character" w:styleId="CommentReference">
    <w:name w:val="annotation reference"/>
    <w:uiPriority w:val="99"/>
    <w:semiHidden/>
    <w:unhideWhenUsed/>
    <w:rsid w:val="00052CBB"/>
    <w:rPr>
      <w:sz w:val="16"/>
      <w:szCs w:val="16"/>
    </w:rPr>
  </w:style>
  <w:style w:type="paragraph" w:styleId="CommentText">
    <w:name w:val="annotation text"/>
    <w:basedOn w:val="Normal"/>
    <w:link w:val="CommentTextChar"/>
    <w:uiPriority w:val="99"/>
    <w:semiHidden/>
    <w:unhideWhenUsed/>
    <w:rsid w:val="00052CBB"/>
    <w:rPr>
      <w:sz w:val="20"/>
      <w:szCs w:val="20"/>
    </w:rPr>
  </w:style>
  <w:style w:type="character" w:customStyle="1" w:styleId="CommentTextChar">
    <w:name w:val="Comment Text Char"/>
    <w:basedOn w:val="DefaultParagraphFont"/>
    <w:link w:val="CommentText"/>
    <w:uiPriority w:val="99"/>
    <w:semiHidden/>
    <w:rsid w:val="00052CBB"/>
  </w:style>
  <w:style w:type="paragraph" w:styleId="CommentSubject">
    <w:name w:val="annotation subject"/>
    <w:basedOn w:val="CommentText"/>
    <w:next w:val="CommentText"/>
    <w:link w:val="CommentSubjectChar"/>
    <w:uiPriority w:val="99"/>
    <w:semiHidden/>
    <w:unhideWhenUsed/>
    <w:rsid w:val="00052CBB"/>
    <w:rPr>
      <w:b/>
      <w:bCs/>
    </w:rPr>
  </w:style>
  <w:style w:type="character" w:customStyle="1" w:styleId="CommentSubjectChar">
    <w:name w:val="Comment Subject Char"/>
    <w:link w:val="CommentSubject"/>
    <w:uiPriority w:val="99"/>
    <w:semiHidden/>
    <w:rsid w:val="00052CBB"/>
    <w:rPr>
      <w:b/>
      <w:bCs/>
    </w:rPr>
  </w:style>
  <w:style w:type="character" w:customStyle="1" w:styleId="Heading1Char">
    <w:name w:val="Heading 1 Char"/>
    <w:link w:val="Heading1"/>
    <w:uiPriority w:val="9"/>
    <w:rsid w:val="00CE38FB"/>
    <w:rPr>
      <w:rFonts w:ascii="Cambria" w:eastAsia="Times New Roman" w:hAnsi="Cambria" w:cs="Times New Roman"/>
      <w:b/>
      <w:bCs/>
      <w:kern w:val="32"/>
      <w:sz w:val="32"/>
      <w:szCs w:val="32"/>
    </w:rPr>
  </w:style>
  <w:style w:type="character" w:customStyle="1" w:styleId="Heading2Char">
    <w:name w:val="Heading 2 Char"/>
    <w:link w:val="Heading2"/>
    <w:uiPriority w:val="9"/>
    <w:rsid w:val="000E4710"/>
    <w:rPr>
      <w:rFonts w:asciiTheme="minorHAnsi" w:eastAsia="Times New Roman" w:hAnsiTheme="minorHAnsi"/>
      <w:b/>
      <w:bCs/>
      <w:i/>
      <w:iCs/>
      <w:sz w:val="28"/>
      <w:szCs w:val="28"/>
    </w:rPr>
  </w:style>
  <w:style w:type="character" w:customStyle="1" w:styleId="Heading3Char">
    <w:name w:val="Heading 3 Char"/>
    <w:link w:val="Heading3"/>
    <w:uiPriority w:val="9"/>
    <w:rsid w:val="00957E0E"/>
    <w:rPr>
      <w:rFonts w:ascii="Cambria" w:eastAsia="Times New Roman" w:hAnsi="Cambria" w:cs="Times New Roman"/>
      <w:b/>
      <w:bCs/>
      <w:sz w:val="26"/>
      <w:szCs w:val="26"/>
    </w:rPr>
  </w:style>
  <w:style w:type="paragraph" w:styleId="FootnoteText">
    <w:name w:val="footnote text"/>
    <w:basedOn w:val="Normal"/>
    <w:link w:val="FootnoteTextChar"/>
    <w:uiPriority w:val="99"/>
    <w:unhideWhenUsed/>
    <w:rsid w:val="001818E7"/>
    <w:rPr>
      <w:sz w:val="20"/>
      <w:szCs w:val="20"/>
    </w:rPr>
  </w:style>
  <w:style w:type="character" w:customStyle="1" w:styleId="FootnoteTextChar">
    <w:name w:val="Footnote Text Char"/>
    <w:basedOn w:val="DefaultParagraphFont"/>
    <w:link w:val="FootnoteText"/>
    <w:uiPriority w:val="99"/>
    <w:rsid w:val="001818E7"/>
  </w:style>
  <w:style w:type="character" w:styleId="FootnoteReference">
    <w:name w:val="footnote reference"/>
    <w:aliases w:val="BVI fnr,MMP - Footnote Reference 2,16 Point,Superscript 6 Point,Footnote"/>
    <w:uiPriority w:val="99"/>
    <w:unhideWhenUsed/>
    <w:rsid w:val="001818E7"/>
    <w:rPr>
      <w:vertAlign w:val="superscript"/>
    </w:rPr>
  </w:style>
  <w:style w:type="character" w:styleId="Hyperlink">
    <w:name w:val="Hyperlink"/>
    <w:uiPriority w:val="99"/>
    <w:unhideWhenUsed/>
    <w:rsid w:val="007B7B39"/>
    <w:rPr>
      <w:color w:val="0000FF"/>
      <w:u w:val="single"/>
    </w:rPr>
  </w:style>
  <w:style w:type="character" w:customStyle="1" w:styleId="Heading4Char">
    <w:name w:val="Heading 4 Char"/>
    <w:link w:val="Heading4"/>
    <w:uiPriority w:val="9"/>
    <w:rsid w:val="00310073"/>
    <w:rPr>
      <w:rFonts w:ascii="Calibri" w:eastAsia="Times New Roman" w:hAnsi="Calibri" w:cs="Times New Roman"/>
      <w:b/>
      <w:bCs/>
      <w:sz w:val="28"/>
      <w:szCs w:val="28"/>
    </w:rPr>
  </w:style>
  <w:style w:type="table" w:styleId="TableGrid">
    <w:name w:val="Table Grid"/>
    <w:basedOn w:val="TableNormal"/>
    <w:uiPriority w:val="59"/>
    <w:rsid w:val="002E7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2E73A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
    <w:name w:val="Light List1"/>
    <w:basedOn w:val="TableNormal"/>
    <w:uiPriority w:val="61"/>
    <w:rsid w:val="003D6F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uiPriority w:val="99"/>
    <w:semiHidden/>
    <w:unhideWhenUsed/>
    <w:rsid w:val="00555116"/>
    <w:rPr>
      <w:color w:val="800080"/>
      <w:u w:val="single"/>
    </w:rPr>
  </w:style>
  <w:style w:type="paragraph" w:styleId="TOCHeading">
    <w:name w:val="TOC Heading"/>
    <w:basedOn w:val="Heading1"/>
    <w:next w:val="Normal"/>
    <w:uiPriority w:val="39"/>
    <w:unhideWhenUsed/>
    <w:qFormat/>
    <w:rsid w:val="004541DA"/>
    <w:pPr>
      <w:keepLines/>
      <w:spacing w:before="480" w:after="0"/>
      <w:outlineLvl w:val="9"/>
    </w:pPr>
    <w:rPr>
      <w:rFonts w:eastAsia="MS Gothic"/>
      <w:color w:val="365F91"/>
      <w:kern w:val="0"/>
      <w:sz w:val="28"/>
      <w:szCs w:val="28"/>
      <w:lang w:eastAsia="ja-JP"/>
    </w:rPr>
  </w:style>
  <w:style w:type="paragraph" w:styleId="TOC1">
    <w:name w:val="toc 1"/>
    <w:basedOn w:val="Normal"/>
    <w:next w:val="Normal"/>
    <w:autoRedefine/>
    <w:uiPriority w:val="39"/>
    <w:unhideWhenUsed/>
    <w:rsid w:val="004541DA"/>
  </w:style>
  <w:style w:type="paragraph" w:styleId="TOC2">
    <w:name w:val="toc 2"/>
    <w:basedOn w:val="Normal"/>
    <w:next w:val="Normal"/>
    <w:autoRedefine/>
    <w:uiPriority w:val="39"/>
    <w:unhideWhenUsed/>
    <w:rsid w:val="004541DA"/>
    <w:pPr>
      <w:ind w:left="220"/>
    </w:pPr>
  </w:style>
  <w:style w:type="paragraph" w:styleId="TOC3">
    <w:name w:val="toc 3"/>
    <w:basedOn w:val="Normal"/>
    <w:next w:val="Normal"/>
    <w:autoRedefine/>
    <w:uiPriority w:val="39"/>
    <w:unhideWhenUsed/>
    <w:rsid w:val="004541DA"/>
    <w:pPr>
      <w:ind w:left="440"/>
    </w:pPr>
  </w:style>
  <w:style w:type="paragraph" w:styleId="Caption">
    <w:name w:val="caption"/>
    <w:basedOn w:val="Normal"/>
    <w:next w:val="Normal"/>
    <w:uiPriority w:val="35"/>
    <w:unhideWhenUsed/>
    <w:qFormat/>
    <w:rsid w:val="004541DA"/>
    <w:rPr>
      <w:b/>
      <w:bCs/>
      <w:sz w:val="20"/>
      <w:szCs w:val="20"/>
    </w:rPr>
  </w:style>
  <w:style w:type="paragraph" w:styleId="TableofFigures">
    <w:name w:val="table of figures"/>
    <w:basedOn w:val="Normal"/>
    <w:next w:val="Normal"/>
    <w:uiPriority w:val="99"/>
    <w:unhideWhenUsed/>
    <w:rsid w:val="004541DA"/>
  </w:style>
  <w:style w:type="paragraph" w:styleId="ListParagraph">
    <w:name w:val="List Paragraph"/>
    <w:basedOn w:val="Normal"/>
    <w:uiPriority w:val="34"/>
    <w:qFormat/>
    <w:rsid w:val="00F21862"/>
    <w:pPr>
      <w:ind w:left="720"/>
      <w:contextualSpacing/>
    </w:pPr>
  </w:style>
  <w:style w:type="paragraph" w:styleId="NoSpacing">
    <w:name w:val="No Spacing"/>
    <w:uiPriority w:val="1"/>
    <w:qFormat/>
    <w:rsid w:val="00F21862"/>
    <w:rPr>
      <w:sz w:val="22"/>
      <w:szCs w:val="22"/>
    </w:rPr>
  </w:style>
  <w:style w:type="character" w:customStyle="1" w:styleId="hps">
    <w:name w:val="hps"/>
    <w:basedOn w:val="DefaultParagraphFont"/>
    <w:rsid w:val="00F21862"/>
  </w:style>
  <w:style w:type="paragraph" w:customStyle="1" w:styleId="Default">
    <w:name w:val="Default"/>
    <w:rsid w:val="00F2186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D77C3"/>
    <w:rPr>
      <w:sz w:val="22"/>
      <w:szCs w:val="22"/>
    </w:rPr>
  </w:style>
  <w:style w:type="character" w:customStyle="1" w:styleId="alt-edited1">
    <w:name w:val="alt-edited1"/>
    <w:rsid w:val="00A53671"/>
    <w:rPr>
      <w:color w:val="4D90F0"/>
    </w:rPr>
  </w:style>
  <w:style w:type="character" w:customStyle="1" w:styleId="longtext">
    <w:name w:val="long_text"/>
    <w:basedOn w:val="DefaultParagraphFont"/>
    <w:rsid w:val="00A53671"/>
  </w:style>
  <w:style w:type="character" w:customStyle="1" w:styleId="atn">
    <w:name w:val="atn"/>
    <w:basedOn w:val="DefaultParagraphFont"/>
    <w:rsid w:val="00A53671"/>
  </w:style>
  <w:style w:type="character" w:customStyle="1" w:styleId="Heading5Char">
    <w:name w:val="Heading 5 Char"/>
    <w:basedOn w:val="DefaultParagraphFont"/>
    <w:link w:val="Heading5"/>
    <w:uiPriority w:val="9"/>
    <w:rsid w:val="00167405"/>
    <w:rPr>
      <w:rFonts w:ascii="Cambria" w:eastAsia="Times New Roman" w:hAnsi="Cambria" w:cs="Times New Roman"/>
      <w:color w:val="243F60"/>
      <w:sz w:val="22"/>
      <w:szCs w:val="22"/>
    </w:rPr>
  </w:style>
  <w:style w:type="paragraph" w:styleId="EndnoteText">
    <w:name w:val="endnote text"/>
    <w:basedOn w:val="Normal"/>
    <w:link w:val="EndnoteTextChar"/>
    <w:uiPriority w:val="99"/>
    <w:semiHidden/>
    <w:unhideWhenUsed/>
    <w:rsid w:val="003C54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54D9"/>
  </w:style>
  <w:style w:type="character" w:styleId="EndnoteReference">
    <w:name w:val="endnote reference"/>
    <w:basedOn w:val="DefaultParagraphFont"/>
    <w:uiPriority w:val="99"/>
    <w:semiHidden/>
    <w:unhideWhenUsed/>
    <w:rsid w:val="003C54D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98"/>
    <w:pPr>
      <w:spacing w:after="200" w:line="276" w:lineRule="auto"/>
      <w:jc w:val="both"/>
    </w:pPr>
    <w:rPr>
      <w:sz w:val="22"/>
      <w:szCs w:val="22"/>
    </w:rPr>
  </w:style>
  <w:style w:type="paragraph" w:styleId="Heading1">
    <w:name w:val="heading 1"/>
    <w:basedOn w:val="Normal"/>
    <w:next w:val="Normal"/>
    <w:link w:val="Heading1Char"/>
    <w:uiPriority w:val="9"/>
    <w:qFormat/>
    <w:rsid w:val="00CE38F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E4710"/>
    <w:pPr>
      <w:keepNext/>
      <w:spacing w:before="240" w:after="60"/>
      <w:outlineLvl w:val="1"/>
    </w:pPr>
    <w:rPr>
      <w:rFonts w:asciiTheme="minorHAnsi" w:eastAsia="Times New Roman" w:hAnsiTheme="minorHAnsi"/>
      <w:b/>
      <w:bCs/>
      <w:i/>
      <w:iCs/>
      <w:sz w:val="28"/>
      <w:szCs w:val="28"/>
    </w:rPr>
  </w:style>
  <w:style w:type="paragraph" w:styleId="Heading3">
    <w:name w:val="heading 3"/>
    <w:basedOn w:val="Normal"/>
    <w:next w:val="Normal"/>
    <w:link w:val="Heading3Char"/>
    <w:uiPriority w:val="9"/>
    <w:unhideWhenUsed/>
    <w:qFormat/>
    <w:rsid w:val="00957E0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31007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167405"/>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E1F"/>
  </w:style>
  <w:style w:type="paragraph" w:styleId="Footer">
    <w:name w:val="footer"/>
    <w:basedOn w:val="Normal"/>
    <w:link w:val="FooterChar"/>
    <w:uiPriority w:val="99"/>
    <w:unhideWhenUsed/>
    <w:rsid w:val="00FB0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E1F"/>
  </w:style>
  <w:style w:type="paragraph" w:styleId="BalloonText">
    <w:name w:val="Balloon Text"/>
    <w:basedOn w:val="Normal"/>
    <w:link w:val="BalloonTextChar"/>
    <w:uiPriority w:val="99"/>
    <w:semiHidden/>
    <w:unhideWhenUsed/>
    <w:rsid w:val="00FB0E1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B0E1F"/>
    <w:rPr>
      <w:rFonts w:ascii="Tahoma" w:hAnsi="Tahoma" w:cs="Tahoma"/>
      <w:sz w:val="16"/>
      <w:szCs w:val="16"/>
    </w:rPr>
  </w:style>
  <w:style w:type="character" w:styleId="CommentReference">
    <w:name w:val="annotation reference"/>
    <w:uiPriority w:val="99"/>
    <w:semiHidden/>
    <w:unhideWhenUsed/>
    <w:rsid w:val="00052CBB"/>
    <w:rPr>
      <w:sz w:val="16"/>
      <w:szCs w:val="16"/>
    </w:rPr>
  </w:style>
  <w:style w:type="paragraph" w:styleId="CommentText">
    <w:name w:val="annotation text"/>
    <w:basedOn w:val="Normal"/>
    <w:link w:val="CommentTextChar"/>
    <w:uiPriority w:val="99"/>
    <w:semiHidden/>
    <w:unhideWhenUsed/>
    <w:rsid w:val="00052CBB"/>
    <w:rPr>
      <w:sz w:val="20"/>
      <w:szCs w:val="20"/>
    </w:rPr>
  </w:style>
  <w:style w:type="character" w:customStyle="1" w:styleId="CommentTextChar">
    <w:name w:val="Comment Text Char"/>
    <w:basedOn w:val="DefaultParagraphFont"/>
    <w:link w:val="CommentText"/>
    <w:uiPriority w:val="99"/>
    <w:semiHidden/>
    <w:rsid w:val="00052CBB"/>
  </w:style>
  <w:style w:type="paragraph" w:styleId="CommentSubject">
    <w:name w:val="annotation subject"/>
    <w:basedOn w:val="CommentText"/>
    <w:next w:val="CommentText"/>
    <w:link w:val="CommentSubjectChar"/>
    <w:uiPriority w:val="99"/>
    <w:semiHidden/>
    <w:unhideWhenUsed/>
    <w:rsid w:val="00052CBB"/>
    <w:rPr>
      <w:b/>
      <w:bCs/>
    </w:rPr>
  </w:style>
  <w:style w:type="character" w:customStyle="1" w:styleId="CommentSubjectChar">
    <w:name w:val="Comment Subject Char"/>
    <w:link w:val="CommentSubject"/>
    <w:uiPriority w:val="99"/>
    <w:semiHidden/>
    <w:rsid w:val="00052CBB"/>
    <w:rPr>
      <w:b/>
      <w:bCs/>
    </w:rPr>
  </w:style>
  <w:style w:type="character" w:customStyle="1" w:styleId="Heading1Char">
    <w:name w:val="Heading 1 Char"/>
    <w:link w:val="Heading1"/>
    <w:uiPriority w:val="9"/>
    <w:rsid w:val="00CE38FB"/>
    <w:rPr>
      <w:rFonts w:ascii="Cambria" w:eastAsia="Times New Roman" w:hAnsi="Cambria" w:cs="Times New Roman"/>
      <w:b/>
      <w:bCs/>
      <w:kern w:val="32"/>
      <w:sz w:val="32"/>
      <w:szCs w:val="32"/>
    </w:rPr>
  </w:style>
  <w:style w:type="character" w:customStyle="1" w:styleId="Heading2Char">
    <w:name w:val="Heading 2 Char"/>
    <w:link w:val="Heading2"/>
    <w:uiPriority w:val="9"/>
    <w:rsid w:val="000E4710"/>
    <w:rPr>
      <w:rFonts w:asciiTheme="minorHAnsi" w:eastAsia="Times New Roman" w:hAnsiTheme="minorHAnsi"/>
      <w:b/>
      <w:bCs/>
      <w:i/>
      <w:iCs/>
      <w:sz w:val="28"/>
      <w:szCs w:val="28"/>
    </w:rPr>
  </w:style>
  <w:style w:type="character" w:customStyle="1" w:styleId="Heading3Char">
    <w:name w:val="Heading 3 Char"/>
    <w:link w:val="Heading3"/>
    <w:uiPriority w:val="9"/>
    <w:rsid w:val="00957E0E"/>
    <w:rPr>
      <w:rFonts w:ascii="Cambria" w:eastAsia="Times New Roman" w:hAnsi="Cambria" w:cs="Times New Roman"/>
      <w:b/>
      <w:bCs/>
      <w:sz w:val="26"/>
      <w:szCs w:val="26"/>
    </w:rPr>
  </w:style>
  <w:style w:type="paragraph" w:styleId="FootnoteText">
    <w:name w:val="footnote text"/>
    <w:basedOn w:val="Normal"/>
    <w:link w:val="FootnoteTextChar"/>
    <w:uiPriority w:val="99"/>
    <w:unhideWhenUsed/>
    <w:rsid w:val="001818E7"/>
    <w:rPr>
      <w:sz w:val="20"/>
      <w:szCs w:val="20"/>
    </w:rPr>
  </w:style>
  <w:style w:type="character" w:customStyle="1" w:styleId="FootnoteTextChar">
    <w:name w:val="Footnote Text Char"/>
    <w:basedOn w:val="DefaultParagraphFont"/>
    <w:link w:val="FootnoteText"/>
    <w:uiPriority w:val="99"/>
    <w:rsid w:val="001818E7"/>
  </w:style>
  <w:style w:type="character" w:styleId="FootnoteReference">
    <w:name w:val="footnote reference"/>
    <w:aliases w:val="BVI fnr,MMP - Footnote Reference 2,16 Point,Superscript 6 Point,Footnote"/>
    <w:uiPriority w:val="99"/>
    <w:unhideWhenUsed/>
    <w:rsid w:val="001818E7"/>
    <w:rPr>
      <w:vertAlign w:val="superscript"/>
    </w:rPr>
  </w:style>
  <w:style w:type="character" w:styleId="Hyperlink">
    <w:name w:val="Hyperlink"/>
    <w:uiPriority w:val="99"/>
    <w:unhideWhenUsed/>
    <w:rsid w:val="007B7B39"/>
    <w:rPr>
      <w:color w:val="0000FF"/>
      <w:u w:val="single"/>
    </w:rPr>
  </w:style>
  <w:style w:type="character" w:customStyle="1" w:styleId="Heading4Char">
    <w:name w:val="Heading 4 Char"/>
    <w:link w:val="Heading4"/>
    <w:uiPriority w:val="9"/>
    <w:rsid w:val="00310073"/>
    <w:rPr>
      <w:rFonts w:ascii="Calibri" w:eastAsia="Times New Roman" w:hAnsi="Calibri" w:cs="Times New Roman"/>
      <w:b/>
      <w:bCs/>
      <w:sz w:val="28"/>
      <w:szCs w:val="28"/>
    </w:rPr>
  </w:style>
  <w:style w:type="table" w:styleId="TableGrid">
    <w:name w:val="Table Grid"/>
    <w:basedOn w:val="TableNormal"/>
    <w:uiPriority w:val="59"/>
    <w:rsid w:val="002E73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2E73A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
    <w:name w:val="Light List1"/>
    <w:basedOn w:val="TableNormal"/>
    <w:uiPriority w:val="61"/>
    <w:rsid w:val="003D6F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FollowedHyperlink">
    <w:name w:val="FollowedHyperlink"/>
    <w:uiPriority w:val="99"/>
    <w:semiHidden/>
    <w:unhideWhenUsed/>
    <w:rsid w:val="00555116"/>
    <w:rPr>
      <w:color w:val="800080"/>
      <w:u w:val="single"/>
    </w:rPr>
  </w:style>
  <w:style w:type="paragraph" w:styleId="TOCHeading">
    <w:name w:val="TOC Heading"/>
    <w:basedOn w:val="Heading1"/>
    <w:next w:val="Normal"/>
    <w:uiPriority w:val="39"/>
    <w:unhideWhenUsed/>
    <w:qFormat/>
    <w:rsid w:val="004541DA"/>
    <w:pPr>
      <w:keepLines/>
      <w:spacing w:before="480" w:after="0"/>
      <w:outlineLvl w:val="9"/>
    </w:pPr>
    <w:rPr>
      <w:rFonts w:eastAsia="MS Gothic"/>
      <w:color w:val="365F91"/>
      <w:kern w:val="0"/>
      <w:sz w:val="28"/>
      <w:szCs w:val="28"/>
      <w:lang w:eastAsia="ja-JP"/>
    </w:rPr>
  </w:style>
  <w:style w:type="paragraph" w:styleId="TOC1">
    <w:name w:val="toc 1"/>
    <w:basedOn w:val="Normal"/>
    <w:next w:val="Normal"/>
    <w:autoRedefine/>
    <w:uiPriority w:val="39"/>
    <w:unhideWhenUsed/>
    <w:rsid w:val="004541DA"/>
  </w:style>
  <w:style w:type="paragraph" w:styleId="TOC2">
    <w:name w:val="toc 2"/>
    <w:basedOn w:val="Normal"/>
    <w:next w:val="Normal"/>
    <w:autoRedefine/>
    <w:uiPriority w:val="39"/>
    <w:unhideWhenUsed/>
    <w:rsid w:val="004541DA"/>
    <w:pPr>
      <w:ind w:left="220"/>
    </w:pPr>
  </w:style>
  <w:style w:type="paragraph" w:styleId="TOC3">
    <w:name w:val="toc 3"/>
    <w:basedOn w:val="Normal"/>
    <w:next w:val="Normal"/>
    <w:autoRedefine/>
    <w:uiPriority w:val="39"/>
    <w:unhideWhenUsed/>
    <w:rsid w:val="004541DA"/>
    <w:pPr>
      <w:ind w:left="440"/>
    </w:pPr>
  </w:style>
  <w:style w:type="paragraph" w:styleId="Caption">
    <w:name w:val="caption"/>
    <w:basedOn w:val="Normal"/>
    <w:next w:val="Normal"/>
    <w:uiPriority w:val="35"/>
    <w:unhideWhenUsed/>
    <w:qFormat/>
    <w:rsid w:val="004541DA"/>
    <w:rPr>
      <w:b/>
      <w:bCs/>
      <w:sz w:val="20"/>
      <w:szCs w:val="20"/>
    </w:rPr>
  </w:style>
  <w:style w:type="paragraph" w:styleId="TableofFigures">
    <w:name w:val="table of figures"/>
    <w:basedOn w:val="Normal"/>
    <w:next w:val="Normal"/>
    <w:uiPriority w:val="99"/>
    <w:unhideWhenUsed/>
    <w:rsid w:val="004541DA"/>
  </w:style>
  <w:style w:type="paragraph" w:styleId="ListParagraph">
    <w:name w:val="List Paragraph"/>
    <w:basedOn w:val="Normal"/>
    <w:uiPriority w:val="34"/>
    <w:qFormat/>
    <w:rsid w:val="00F21862"/>
    <w:pPr>
      <w:ind w:left="720"/>
      <w:contextualSpacing/>
    </w:pPr>
  </w:style>
  <w:style w:type="paragraph" w:styleId="NoSpacing">
    <w:name w:val="No Spacing"/>
    <w:uiPriority w:val="1"/>
    <w:qFormat/>
    <w:rsid w:val="00F21862"/>
    <w:rPr>
      <w:sz w:val="22"/>
      <w:szCs w:val="22"/>
    </w:rPr>
  </w:style>
  <w:style w:type="character" w:customStyle="1" w:styleId="hps">
    <w:name w:val="hps"/>
    <w:basedOn w:val="DefaultParagraphFont"/>
    <w:rsid w:val="00F21862"/>
  </w:style>
  <w:style w:type="paragraph" w:customStyle="1" w:styleId="Default">
    <w:name w:val="Default"/>
    <w:rsid w:val="00F2186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D77C3"/>
    <w:rPr>
      <w:sz w:val="22"/>
      <w:szCs w:val="22"/>
    </w:rPr>
  </w:style>
  <w:style w:type="character" w:customStyle="1" w:styleId="alt-edited1">
    <w:name w:val="alt-edited1"/>
    <w:rsid w:val="00A53671"/>
    <w:rPr>
      <w:color w:val="4D90F0"/>
    </w:rPr>
  </w:style>
  <w:style w:type="character" w:customStyle="1" w:styleId="longtext">
    <w:name w:val="long_text"/>
    <w:basedOn w:val="DefaultParagraphFont"/>
    <w:rsid w:val="00A53671"/>
  </w:style>
  <w:style w:type="character" w:customStyle="1" w:styleId="atn">
    <w:name w:val="atn"/>
    <w:basedOn w:val="DefaultParagraphFont"/>
    <w:rsid w:val="00A53671"/>
  </w:style>
  <w:style w:type="character" w:customStyle="1" w:styleId="Heading5Char">
    <w:name w:val="Heading 5 Char"/>
    <w:basedOn w:val="DefaultParagraphFont"/>
    <w:link w:val="Heading5"/>
    <w:uiPriority w:val="9"/>
    <w:rsid w:val="00167405"/>
    <w:rPr>
      <w:rFonts w:ascii="Cambria" w:eastAsia="Times New Roman" w:hAnsi="Cambria" w:cs="Times New Roman"/>
      <w:color w:val="243F60"/>
      <w:sz w:val="22"/>
      <w:szCs w:val="22"/>
    </w:rPr>
  </w:style>
  <w:style w:type="paragraph" w:styleId="EndnoteText">
    <w:name w:val="endnote text"/>
    <w:basedOn w:val="Normal"/>
    <w:link w:val="EndnoteTextChar"/>
    <w:uiPriority w:val="99"/>
    <w:semiHidden/>
    <w:unhideWhenUsed/>
    <w:rsid w:val="003C54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54D9"/>
  </w:style>
  <w:style w:type="character" w:styleId="EndnoteReference">
    <w:name w:val="endnote reference"/>
    <w:basedOn w:val="DefaultParagraphFont"/>
    <w:uiPriority w:val="99"/>
    <w:semiHidden/>
    <w:unhideWhenUsed/>
    <w:rsid w:val="003C54D9"/>
    <w:rPr>
      <w:vertAlign w:val="superscript"/>
    </w:rPr>
  </w:style>
</w:styles>
</file>

<file path=word/webSettings.xml><?xml version="1.0" encoding="utf-8"?>
<w:webSettings xmlns:r="http://schemas.openxmlformats.org/officeDocument/2006/relationships" xmlns:w="http://schemas.openxmlformats.org/wordprocessingml/2006/main">
  <w:divs>
    <w:div w:id="32660940">
      <w:bodyDiv w:val="1"/>
      <w:marLeft w:val="0"/>
      <w:marRight w:val="0"/>
      <w:marTop w:val="0"/>
      <w:marBottom w:val="0"/>
      <w:divBdr>
        <w:top w:val="none" w:sz="0" w:space="0" w:color="auto"/>
        <w:left w:val="none" w:sz="0" w:space="0" w:color="auto"/>
        <w:bottom w:val="none" w:sz="0" w:space="0" w:color="auto"/>
        <w:right w:val="none" w:sz="0" w:space="0" w:color="auto"/>
      </w:divBdr>
    </w:div>
    <w:div w:id="85811002">
      <w:bodyDiv w:val="1"/>
      <w:marLeft w:val="0"/>
      <w:marRight w:val="0"/>
      <w:marTop w:val="0"/>
      <w:marBottom w:val="0"/>
      <w:divBdr>
        <w:top w:val="none" w:sz="0" w:space="0" w:color="auto"/>
        <w:left w:val="none" w:sz="0" w:space="0" w:color="auto"/>
        <w:bottom w:val="none" w:sz="0" w:space="0" w:color="auto"/>
        <w:right w:val="none" w:sz="0" w:space="0" w:color="auto"/>
      </w:divBdr>
      <w:divsChild>
        <w:div w:id="264506549">
          <w:marLeft w:val="0"/>
          <w:marRight w:val="0"/>
          <w:marTop w:val="0"/>
          <w:marBottom w:val="0"/>
          <w:divBdr>
            <w:top w:val="none" w:sz="0" w:space="0" w:color="auto"/>
            <w:left w:val="none" w:sz="0" w:space="0" w:color="auto"/>
            <w:bottom w:val="none" w:sz="0" w:space="0" w:color="auto"/>
            <w:right w:val="none" w:sz="0" w:space="0" w:color="auto"/>
          </w:divBdr>
          <w:divsChild>
            <w:div w:id="1380285075">
              <w:marLeft w:val="0"/>
              <w:marRight w:val="0"/>
              <w:marTop w:val="0"/>
              <w:marBottom w:val="0"/>
              <w:divBdr>
                <w:top w:val="none" w:sz="0" w:space="0" w:color="auto"/>
                <w:left w:val="none" w:sz="0" w:space="0" w:color="auto"/>
                <w:bottom w:val="none" w:sz="0" w:space="0" w:color="auto"/>
                <w:right w:val="none" w:sz="0" w:space="0" w:color="auto"/>
              </w:divBdr>
              <w:divsChild>
                <w:div w:id="1796479951">
                  <w:marLeft w:val="0"/>
                  <w:marRight w:val="0"/>
                  <w:marTop w:val="0"/>
                  <w:marBottom w:val="0"/>
                  <w:divBdr>
                    <w:top w:val="none" w:sz="0" w:space="0" w:color="auto"/>
                    <w:left w:val="none" w:sz="0" w:space="0" w:color="auto"/>
                    <w:bottom w:val="none" w:sz="0" w:space="0" w:color="auto"/>
                    <w:right w:val="none" w:sz="0" w:space="0" w:color="auto"/>
                  </w:divBdr>
                  <w:divsChild>
                    <w:div w:id="758402189">
                      <w:marLeft w:val="0"/>
                      <w:marRight w:val="0"/>
                      <w:marTop w:val="0"/>
                      <w:marBottom w:val="0"/>
                      <w:divBdr>
                        <w:top w:val="none" w:sz="0" w:space="0" w:color="auto"/>
                        <w:left w:val="none" w:sz="0" w:space="0" w:color="auto"/>
                        <w:bottom w:val="none" w:sz="0" w:space="0" w:color="auto"/>
                        <w:right w:val="none" w:sz="0" w:space="0" w:color="auto"/>
                      </w:divBdr>
                      <w:divsChild>
                        <w:div w:id="271740850">
                          <w:marLeft w:val="0"/>
                          <w:marRight w:val="0"/>
                          <w:marTop w:val="0"/>
                          <w:marBottom w:val="0"/>
                          <w:divBdr>
                            <w:top w:val="none" w:sz="0" w:space="0" w:color="auto"/>
                            <w:left w:val="none" w:sz="0" w:space="0" w:color="auto"/>
                            <w:bottom w:val="none" w:sz="0" w:space="0" w:color="auto"/>
                            <w:right w:val="none" w:sz="0" w:space="0" w:color="auto"/>
                          </w:divBdr>
                          <w:divsChild>
                            <w:div w:id="1819178133">
                              <w:marLeft w:val="0"/>
                              <w:marRight w:val="0"/>
                              <w:marTop w:val="0"/>
                              <w:marBottom w:val="0"/>
                              <w:divBdr>
                                <w:top w:val="none" w:sz="0" w:space="0" w:color="auto"/>
                                <w:left w:val="none" w:sz="0" w:space="0" w:color="auto"/>
                                <w:bottom w:val="none" w:sz="0" w:space="0" w:color="auto"/>
                                <w:right w:val="none" w:sz="0" w:space="0" w:color="auto"/>
                              </w:divBdr>
                              <w:divsChild>
                                <w:div w:id="28724576">
                                  <w:marLeft w:val="0"/>
                                  <w:marRight w:val="0"/>
                                  <w:marTop w:val="0"/>
                                  <w:marBottom w:val="0"/>
                                  <w:divBdr>
                                    <w:top w:val="none" w:sz="0" w:space="0" w:color="auto"/>
                                    <w:left w:val="none" w:sz="0" w:space="0" w:color="auto"/>
                                    <w:bottom w:val="none" w:sz="0" w:space="0" w:color="auto"/>
                                    <w:right w:val="none" w:sz="0" w:space="0" w:color="auto"/>
                                  </w:divBdr>
                                  <w:divsChild>
                                    <w:div w:id="1756168929">
                                      <w:marLeft w:val="0"/>
                                      <w:marRight w:val="0"/>
                                      <w:marTop w:val="0"/>
                                      <w:marBottom w:val="0"/>
                                      <w:divBdr>
                                        <w:top w:val="none" w:sz="0" w:space="0" w:color="auto"/>
                                        <w:left w:val="none" w:sz="0" w:space="0" w:color="auto"/>
                                        <w:bottom w:val="none" w:sz="0" w:space="0" w:color="auto"/>
                                        <w:right w:val="none" w:sz="0" w:space="0" w:color="auto"/>
                                      </w:divBdr>
                                      <w:divsChild>
                                        <w:div w:id="948122907">
                                          <w:marLeft w:val="0"/>
                                          <w:marRight w:val="0"/>
                                          <w:marTop w:val="0"/>
                                          <w:marBottom w:val="0"/>
                                          <w:divBdr>
                                            <w:top w:val="none" w:sz="0" w:space="0" w:color="auto"/>
                                            <w:left w:val="none" w:sz="0" w:space="0" w:color="auto"/>
                                            <w:bottom w:val="none" w:sz="0" w:space="0" w:color="auto"/>
                                            <w:right w:val="none" w:sz="0" w:space="0" w:color="auto"/>
                                          </w:divBdr>
                                          <w:divsChild>
                                            <w:div w:id="1464932609">
                                              <w:marLeft w:val="0"/>
                                              <w:marRight w:val="0"/>
                                              <w:marTop w:val="0"/>
                                              <w:marBottom w:val="0"/>
                                              <w:divBdr>
                                                <w:top w:val="single" w:sz="4" w:space="0" w:color="F5F5F5"/>
                                                <w:left w:val="single" w:sz="4" w:space="0" w:color="F5F5F5"/>
                                                <w:bottom w:val="single" w:sz="4" w:space="0" w:color="F5F5F5"/>
                                                <w:right w:val="single" w:sz="4" w:space="0" w:color="F5F5F5"/>
                                              </w:divBdr>
                                              <w:divsChild>
                                                <w:div w:id="678460043">
                                                  <w:marLeft w:val="0"/>
                                                  <w:marRight w:val="0"/>
                                                  <w:marTop w:val="0"/>
                                                  <w:marBottom w:val="0"/>
                                                  <w:divBdr>
                                                    <w:top w:val="none" w:sz="0" w:space="0" w:color="auto"/>
                                                    <w:left w:val="none" w:sz="0" w:space="0" w:color="auto"/>
                                                    <w:bottom w:val="none" w:sz="0" w:space="0" w:color="auto"/>
                                                    <w:right w:val="none" w:sz="0" w:space="0" w:color="auto"/>
                                                  </w:divBdr>
                                                  <w:divsChild>
                                                    <w:div w:id="15169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555904">
      <w:bodyDiv w:val="1"/>
      <w:marLeft w:val="0"/>
      <w:marRight w:val="0"/>
      <w:marTop w:val="0"/>
      <w:marBottom w:val="0"/>
      <w:divBdr>
        <w:top w:val="none" w:sz="0" w:space="0" w:color="auto"/>
        <w:left w:val="none" w:sz="0" w:space="0" w:color="auto"/>
        <w:bottom w:val="none" w:sz="0" w:space="0" w:color="auto"/>
        <w:right w:val="none" w:sz="0" w:space="0" w:color="auto"/>
      </w:divBdr>
    </w:div>
    <w:div w:id="555435686">
      <w:bodyDiv w:val="1"/>
      <w:marLeft w:val="0"/>
      <w:marRight w:val="0"/>
      <w:marTop w:val="0"/>
      <w:marBottom w:val="0"/>
      <w:divBdr>
        <w:top w:val="none" w:sz="0" w:space="0" w:color="auto"/>
        <w:left w:val="none" w:sz="0" w:space="0" w:color="auto"/>
        <w:bottom w:val="none" w:sz="0" w:space="0" w:color="auto"/>
        <w:right w:val="none" w:sz="0" w:space="0" w:color="auto"/>
      </w:divBdr>
      <w:divsChild>
        <w:div w:id="71514037">
          <w:marLeft w:val="0"/>
          <w:marRight w:val="0"/>
          <w:marTop w:val="0"/>
          <w:marBottom w:val="0"/>
          <w:divBdr>
            <w:top w:val="none" w:sz="0" w:space="0" w:color="auto"/>
            <w:left w:val="none" w:sz="0" w:space="0" w:color="auto"/>
            <w:bottom w:val="none" w:sz="0" w:space="0" w:color="auto"/>
            <w:right w:val="none" w:sz="0" w:space="0" w:color="auto"/>
          </w:divBdr>
          <w:divsChild>
            <w:div w:id="18816476">
              <w:marLeft w:val="0"/>
              <w:marRight w:val="0"/>
              <w:marTop w:val="0"/>
              <w:marBottom w:val="0"/>
              <w:divBdr>
                <w:top w:val="none" w:sz="0" w:space="0" w:color="auto"/>
                <w:left w:val="none" w:sz="0" w:space="0" w:color="auto"/>
                <w:bottom w:val="none" w:sz="0" w:space="0" w:color="auto"/>
                <w:right w:val="none" w:sz="0" w:space="0" w:color="auto"/>
              </w:divBdr>
              <w:divsChild>
                <w:div w:id="1211307216">
                  <w:marLeft w:val="0"/>
                  <w:marRight w:val="0"/>
                  <w:marTop w:val="0"/>
                  <w:marBottom w:val="0"/>
                  <w:divBdr>
                    <w:top w:val="none" w:sz="0" w:space="0" w:color="auto"/>
                    <w:left w:val="none" w:sz="0" w:space="0" w:color="auto"/>
                    <w:bottom w:val="none" w:sz="0" w:space="0" w:color="auto"/>
                    <w:right w:val="none" w:sz="0" w:space="0" w:color="auto"/>
                  </w:divBdr>
                  <w:divsChild>
                    <w:div w:id="980383557">
                      <w:marLeft w:val="0"/>
                      <w:marRight w:val="0"/>
                      <w:marTop w:val="0"/>
                      <w:marBottom w:val="0"/>
                      <w:divBdr>
                        <w:top w:val="none" w:sz="0" w:space="0" w:color="auto"/>
                        <w:left w:val="none" w:sz="0" w:space="0" w:color="auto"/>
                        <w:bottom w:val="none" w:sz="0" w:space="0" w:color="auto"/>
                        <w:right w:val="none" w:sz="0" w:space="0" w:color="auto"/>
                      </w:divBdr>
                      <w:divsChild>
                        <w:div w:id="1884638105">
                          <w:marLeft w:val="0"/>
                          <w:marRight w:val="0"/>
                          <w:marTop w:val="0"/>
                          <w:marBottom w:val="0"/>
                          <w:divBdr>
                            <w:top w:val="none" w:sz="0" w:space="0" w:color="auto"/>
                            <w:left w:val="none" w:sz="0" w:space="0" w:color="auto"/>
                            <w:bottom w:val="none" w:sz="0" w:space="0" w:color="auto"/>
                            <w:right w:val="none" w:sz="0" w:space="0" w:color="auto"/>
                          </w:divBdr>
                          <w:divsChild>
                            <w:div w:id="1413357630">
                              <w:marLeft w:val="0"/>
                              <w:marRight w:val="0"/>
                              <w:marTop w:val="0"/>
                              <w:marBottom w:val="0"/>
                              <w:divBdr>
                                <w:top w:val="none" w:sz="0" w:space="0" w:color="auto"/>
                                <w:left w:val="none" w:sz="0" w:space="0" w:color="auto"/>
                                <w:bottom w:val="none" w:sz="0" w:space="0" w:color="auto"/>
                                <w:right w:val="none" w:sz="0" w:space="0" w:color="auto"/>
                              </w:divBdr>
                              <w:divsChild>
                                <w:div w:id="113253927">
                                  <w:marLeft w:val="0"/>
                                  <w:marRight w:val="0"/>
                                  <w:marTop w:val="0"/>
                                  <w:marBottom w:val="0"/>
                                  <w:divBdr>
                                    <w:top w:val="none" w:sz="0" w:space="0" w:color="auto"/>
                                    <w:left w:val="none" w:sz="0" w:space="0" w:color="auto"/>
                                    <w:bottom w:val="none" w:sz="0" w:space="0" w:color="auto"/>
                                    <w:right w:val="none" w:sz="0" w:space="0" w:color="auto"/>
                                  </w:divBdr>
                                  <w:divsChild>
                                    <w:div w:id="2109110687">
                                      <w:marLeft w:val="0"/>
                                      <w:marRight w:val="0"/>
                                      <w:marTop w:val="0"/>
                                      <w:marBottom w:val="0"/>
                                      <w:divBdr>
                                        <w:top w:val="none" w:sz="0" w:space="0" w:color="auto"/>
                                        <w:left w:val="none" w:sz="0" w:space="0" w:color="auto"/>
                                        <w:bottom w:val="none" w:sz="0" w:space="0" w:color="auto"/>
                                        <w:right w:val="none" w:sz="0" w:space="0" w:color="auto"/>
                                      </w:divBdr>
                                      <w:divsChild>
                                        <w:div w:id="1058095205">
                                          <w:marLeft w:val="0"/>
                                          <w:marRight w:val="0"/>
                                          <w:marTop w:val="0"/>
                                          <w:marBottom w:val="0"/>
                                          <w:divBdr>
                                            <w:top w:val="none" w:sz="0" w:space="0" w:color="auto"/>
                                            <w:left w:val="none" w:sz="0" w:space="0" w:color="auto"/>
                                            <w:bottom w:val="none" w:sz="0" w:space="0" w:color="auto"/>
                                            <w:right w:val="none" w:sz="0" w:space="0" w:color="auto"/>
                                          </w:divBdr>
                                          <w:divsChild>
                                            <w:div w:id="1558933326">
                                              <w:marLeft w:val="0"/>
                                              <w:marRight w:val="0"/>
                                              <w:marTop w:val="0"/>
                                              <w:marBottom w:val="0"/>
                                              <w:divBdr>
                                                <w:top w:val="single" w:sz="4" w:space="0" w:color="F5F5F5"/>
                                                <w:left w:val="single" w:sz="4" w:space="0" w:color="F5F5F5"/>
                                                <w:bottom w:val="single" w:sz="4" w:space="0" w:color="F5F5F5"/>
                                                <w:right w:val="single" w:sz="4" w:space="0" w:color="F5F5F5"/>
                                              </w:divBdr>
                                              <w:divsChild>
                                                <w:div w:id="2072071149">
                                                  <w:marLeft w:val="0"/>
                                                  <w:marRight w:val="0"/>
                                                  <w:marTop w:val="0"/>
                                                  <w:marBottom w:val="0"/>
                                                  <w:divBdr>
                                                    <w:top w:val="none" w:sz="0" w:space="0" w:color="auto"/>
                                                    <w:left w:val="none" w:sz="0" w:space="0" w:color="auto"/>
                                                    <w:bottom w:val="none" w:sz="0" w:space="0" w:color="auto"/>
                                                    <w:right w:val="none" w:sz="0" w:space="0" w:color="auto"/>
                                                  </w:divBdr>
                                                  <w:divsChild>
                                                    <w:div w:id="10103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635198">
      <w:bodyDiv w:val="1"/>
      <w:marLeft w:val="0"/>
      <w:marRight w:val="0"/>
      <w:marTop w:val="0"/>
      <w:marBottom w:val="0"/>
      <w:divBdr>
        <w:top w:val="none" w:sz="0" w:space="0" w:color="auto"/>
        <w:left w:val="none" w:sz="0" w:space="0" w:color="auto"/>
        <w:bottom w:val="none" w:sz="0" w:space="0" w:color="auto"/>
        <w:right w:val="none" w:sz="0" w:space="0" w:color="auto"/>
      </w:divBdr>
      <w:divsChild>
        <w:div w:id="435640735">
          <w:marLeft w:val="0"/>
          <w:marRight w:val="0"/>
          <w:marTop w:val="0"/>
          <w:marBottom w:val="0"/>
          <w:divBdr>
            <w:top w:val="none" w:sz="0" w:space="0" w:color="auto"/>
            <w:left w:val="none" w:sz="0" w:space="0" w:color="auto"/>
            <w:bottom w:val="none" w:sz="0" w:space="0" w:color="auto"/>
            <w:right w:val="none" w:sz="0" w:space="0" w:color="auto"/>
          </w:divBdr>
          <w:divsChild>
            <w:div w:id="2032757454">
              <w:marLeft w:val="0"/>
              <w:marRight w:val="0"/>
              <w:marTop w:val="0"/>
              <w:marBottom w:val="0"/>
              <w:divBdr>
                <w:top w:val="none" w:sz="0" w:space="0" w:color="auto"/>
                <w:left w:val="none" w:sz="0" w:space="0" w:color="auto"/>
                <w:bottom w:val="none" w:sz="0" w:space="0" w:color="auto"/>
                <w:right w:val="none" w:sz="0" w:space="0" w:color="auto"/>
              </w:divBdr>
              <w:divsChild>
                <w:div w:id="5252352">
                  <w:marLeft w:val="0"/>
                  <w:marRight w:val="0"/>
                  <w:marTop w:val="0"/>
                  <w:marBottom w:val="0"/>
                  <w:divBdr>
                    <w:top w:val="none" w:sz="0" w:space="0" w:color="auto"/>
                    <w:left w:val="none" w:sz="0" w:space="0" w:color="auto"/>
                    <w:bottom w:val="none" w:sz="0" w:space="0" w:color="auto"/>
                    <w:right w:val="none" w:sz="0" w:space="0" w:color="auto"/>
                  </w:divBdr>
                  <w:divsChild>
                    <w:div w:id="967858175">
                      <w:marLeft w:val="0"/>
                      <w:marRight w:val="0"/>
                      <w:marTop w:val="0"/>
                      <w:marBottom w:val="0"/>
                      <w:divBdr>
                        <w:top w:val="none" w:sz="0" w:space="0" w:color="auto"/>
                        <w:left w:val="none" w:sz="0" w:space="0" w:color="auto"/>
                        <w:bottom w:val="none" w:sz="0" w:space="0" w:color="auto"/>
                        <w:right w:val="none" w:sz="0" w:space="0" w:color="auto"/>
                      </w:divBdr>
                      <w:divsChild>
                        <w:div w:id="2109570445">
                          <w:marLeft w:val="0"/>
                          <w:marRight w:val="0"/>
                          <w:marTop w:val="0"/>
                          <w:marBottom w:val="0"/>
                          <w:divBdr>
                            <w:top w:val="none" w:sz="0" w:space="0" w:color="auto"/>
                            <w:left w:val="none" w:sz="0" w:space="0" w:color="auto"/>
                            <w:bottom w:val="none" w:sz="0" w:space="0" w:color="auto"/>
                            <w:right w:val="none" w:sz="0" w:space="0" w:color="auto"/>
                          </w:divBdr>
                          <w:divsChild>
                            <w:div w:id="940769613">
                              <w:marLeft w:val="0"/>
                              <w:marRight w:val="0"/>
                              <w:marTop w:val="0"/>
                              <w:marBottom w:val="0"/>
                              <w:divBdr>
                                <w:top w:val="none" w:sz="0" w:space="0" w:color="auto"/>
                                <w:left w:val="none" w:sz="0" w:space="0" w:color="auto"/>
                                <w:bottom w:val="none" w:sz="0" w:space="0" w:color="auto"/>
                                <w:right w:val="none" w:sz="0" w:space="0" w:color="auto"/>
                              </w:divBdr>
                              <w:divsChild>
                                <w:div w:id="769398450">
                                  <w:marLeft w:val="0"/>
                                  <w:marRight w:val="0"/>
                                  <w:marTop w:val="0"/>
                                  <w:marBottom w:val="0"/>
                                  <w:divBdr>
                                    <w:top w:val="none" w:sz="0" w:space="0" w:color="auto"/>
                                    <w:left w:val="none" w:sz="0" w:space="0" w:color="auto"/>
                                    <w:bottom w:val="none" w:sz="0" w:space="0" w:color="auto"/>
                                    <w:right w:val="none" w:sz="0" w:space="0" w:color="auto"/>
                                  </w:divBdr>
                                  <w:divsChild>
                                    <w:div w:id="1775127842">
                                      <w:marLeft w:val="0"/>
                                      <w:marRight w:val="0"/>
                                      <w:marTop w:val="0"/>
                                      <w:marBottom w:val="0"/>
                                      <w:divBdr>
                                        <w:top w:val="none" w:sz="0" w:space="0" w:color="auto"/>
                                        <w:left w:val="none" w:sz="0" w:space="0" w:color="auto"/>
                                        <w:bottom w:val="none" w:sz="0" w:space="0" w:color="auto"/>
                                        <w:right w:val="none" w:sz="0" w:space="0" w:color="auto"/>
                                      </w:divBdr>
                                      <w:divsChild>
                                        <w:div w:id="297876220">
                                          <w:marLeft w:val="0"/>
                                          <w:marRight w:val="0"/>
                                          <w:marTop w:val="0"/>
                                          <w:marBottom w:val="0"/>
                                          <w:divBdr>
                                            <w:top w:val="none" w:sz="0" w:space="0" w:color="auto"/>
                                            <w:left w:val="none" w:sz="0" w:space="0" w:color="auto"/>
                                            <w:bottom w:val="none" w:sz="0" w:space="0" w:color="auto"/>
                                            <w:right w:val="none" w:sz="0" w:space="0" w:color="auto"/>
                                          </w:divBdr>
                                          <w:divsChild>
                                            <w:div w:id="265381138">
                                              <w:marLeft w:val="0"/>
                                              <w:marRight w:val="0"/>
                                              <w:marTop w:val="0"/>
                                              <w:marBottom w:val="0"/>
                                              <w:divBdr>
                                                <w:top w:val="single" w:sz="4" w:space="0" w:color="F5F5F5"/>
                                                <w:left w:val="single" w:sz="4" w:space="0" w:color="F5F5F5"/>
                                                <w:bottom w:val="single" w:sz="4" w:space="0" w:color="F5F5F5"/>
                                                <w:right w:val="single" w:sz="4" w:space="0" w:color="F5F5F5"/>
                                              </w:divBdr>
                                              <w:divsChild>
                                                <w:div w:id="1041780051">
                                                  <w:marLeft w:val="0"/>
                                                  <w:marRight w:val="0"/>
                                                  <w:marTop w:val="0"/>
                                                  <w:marBottom w:val="0"/>
                                                  <w:divBdr>
                                                    <w:top w:val="none" w:sz="0" w:space="0" w:color="auto"/>
                                                    <w:left w:val="none" w:sz="0" w:space="0" w:color="auto"/>
                                                    <w:bottom w:val="none" w:sz="0" w:space="0" w:color="auto"/>
                                                    <w:right w:val="none" w:sz="0" w:space="0" w:color="auto"/>
                                                  </w:divBdr>
                                                  <w:divsChild>
                                                    <w:div w:id="9231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7905712">
      <w:bodyDiv w:val="1"/>
      <w:marLeft w:val="0"/>
      <w:marRight w:val="0"/>
      <w:marTop w:val="0"/>
      <w:marBottom w:val="0"/>
      <w:divBdr>
        <w:top w:val="none" w:sz="0" w:space="0" w:color="auto"/>
        <w:left w:val="none" w:sz="0" w:space="0" w:color="auto"/>
        <w:bottom w:val="none" w:sz="0" w:space="0" w:color="auto"/>
        <w:right w:val="none" w:sz="0" w:space="0" w:color="auto"/>
      </w:divBdr>
      <w:divsChild>
        <w:div w:id="320623600">
          <w:marLeft w:val="0"/>
          <w:marRight w:val="0"/>
          <w:marTop w:val="0"/>
          <w:marBottom w:val="0"/>
          <w:divBdr>
            <w:top w:val="none" w:sz="0" w:space="0" w:color="auto"/>
            <w:left w:val="none" w:sz="0" w:space="0" w:color="auto"/>
            <w:bottom w:val="none" w:sz="0" w:space="0" w:color="auto"/>
            <w:right w:val="none" w:sz="0" w:space="0" w:color="auto"/>
          </w:divBdr>
          <w:divsChild>
            <w:div w:id="1674213885">
              <w:marLeft w:val="0"/>
              <w:marRight w:val="0"/>
              <w:marTop w:val="0"/>
              <w:marBottom w:val="0"/>
              <w:divBdr>
                <w:top w:val="none" w:sz="0" w:space="0" w:color="auto"/>
                <w:left w:val="none" w:sz="0" w:space="0" w:color="auto"/>
                <w:bottom w:val="none" w:sz="0" w:space="0" w:color="auto"/>
                <w:right w:val="none" w:sz="0" w:space="0" w:color="auto"/>
              </w:divBdr>
              <w:divsChild>
                <w:div w:id="805002362">
                  <w:marLeft w:val="0"/>
                  <w:marRight w:val="0"/>
                  <w:marTop w:val="0"/>
                  <w:marBottom w:val="0"/>
                  <w:divBdr>
                    <w:top w:val="none" w:sz="0" w:space="0" w:color="auto"/>
                    <w:left w:val="none" w:sz="0" w:space="0" w:color="auto"/>
                    <w:bottom w:val="none" w:sz="0" w:space="0" w:color="auto"/>
                    <w:right w:val="none" w:sz="0" w:space="0" w:color="auto"/>
                  </w:divBdr>
                  <w:divsChild>
                    <w:div w:id="1048527618">
                      <w:marLeft w:val="0"/>
                      <w:marRight w:val="0"/>
                      <w:marTop w:val="0"/>
                      <w:marBottom w:val="0"/>
                      <w:divBdr>
                        <w:top w:val="none" w:sz="0" w:space="0" w:color="auto"/>
                        <w:left w:val="none" w:sz="0" w:space="0" w:color="auto"/>
                        <w:bottom w:val="none" w:sz="0" w:space="0" w:color="auto"/>
                        <w:right w:val="none" w:sz="0" w:space="0" w:color="auto"/>
                      </w:divBdr>
                      <w:divsChild>
                        <w:div w:id="630474665">
                          <w:marLeft w:val="0"/>
                          <w:marRight w:val="0"/>
                          <w:marTop w:val="0"/>
                          <w:marBottom w:val="0"/>
                          <w:divBdr>
                            <w:top w:val="none" w:sz="0" w:space="0" w:color="auto"/>
                            <w:left w:val="none" w:sz="0" w:space="0" w:color="auto"/>
                            <w:bottom w:val="none" w:sz="0" w:space="0" w:color="auto"/>
                            <w:right w:val="none" w:sz="0" w:space="0" w:color="auto"/>
                          </w:divBdr>
                          <w:divsChild>
                            <w:div w:id="1911423804">
                              <w:marLeft w:val="0"/>
                              <w:marRight w:val="0"/>
                              <w:marTop w:val="0"/>
                              <w:marBottom w:val="0"/>
                              <w:divBdr>
                                <w:top w:val="none" w:sz="0" w:space="0" w:color="auto"/>
                                <w:left w:val="none" w:sz="0" w:space="0" w:color="auto"/>
                                <w:bottom w:val="none" w:sz="0" w:space="0" w:color="auto"/>
                                <w:right w:val="none" w:sz="0" w:space="0" w:color="auto"/>
                              </w:divBdr>
                              <w:divsChild>
                                <w:div w:id="122699853">
                                  <w:marLeft w:val="0"/>
                                  <w:marRight w:val="0"/>
                                  <w:marTop w:val="0"/>
                                  <w:marBottom w:val="0"/>
                                  <w:divBdr>
                                    <w:top w:val="none" w:sz="0" w:space="0" w:color="auto"/>
                                    <w:left w:val="none" w:sz="0" w:space="0" w:color="auto"/>
                                    <w:bottom w:val="none" w:sz="0" w:space="0" w:color="auto"/>
                                    <w:right w:val="none" w:sz="0" w:space="0" w:color="auto"/>
                                  </w:divBdr>
                                  <w:divsChild>
                                    <w:div w:id="1164397797">
                                      <w:marLeft w:val="0"/>
                                      <w:marRight w:val="0"/>
                                      <w:marTop w:val="0"/>
                                      <w:marBottom w:val="0"/>
                                      <w:divBdr>
                                        <w:top w:val="none" w:sz="0" w:space="0" w:color="auto"/>
                                        <w:left w:val="none" w:sz="0" w:space="0" w:color="auto"/>
                                        <w:bottom w:val="none" w:sz="0" w:space="0" w:color="auto"/>
                                        <w:right w:val="none" w:sz="0" w:space="0" w:color="auto"/>
                                      </w:divBdr>
                                      <w:divsChild>
                                        <w:div w:id="501897087">
                                          <w:marLeft w:val="0"/>
                                          <w:marRight w:val="0"/>
                                          <w:marTop w:val="0"/>
                                          <w:marBottom w:val="0"/>
                                          <w:divBdr>
                                            <w:top w:val="none" w:sz="0" w:space="0" w:color="auto"/>
                                            <w:left w:val="none" w:sz="0" w:space="0" w:color="auto"/>
                                            <w:bottom w:val="none" w:sz="0" w:space="0" w:color="auto"/>
                                            <w:right w:val="none" w:sz="0" w:space="0" w:color="auto"/>
                                          </w:divBdr>
                                          <w:divsChild>
                                            <w:div w:id="2109882867">
                                              <w:marLeft w:val="0"/>
                                              <w:marRight w:val="0"/>
                                              <w:marTop w:val="0"/>
                                              <w:marBottom w:val="0"/>
                                              <w:divBdr>
                                                <w:top w:val="single" w:sz="4" w:space="0" w:color="F5F5F5"/>
                                                <w:left w:val="single" w:sz="4" w:space="0" w:color="F5F5F5"/>
                                                <w:bottom w:val="single" w:sz="4" w:space="0" w:color="F5F5F5"/>
                                                <w:right w:val="single" w:sz="4" w:space="0" w:color="F5F5F5"/>
                                              </w:divBdr>
                                              <w:divsChild>
                                                <w:div w:id="1329551152">
                                                  <w:marLeft w:val="0"/>
                                                  <w:marRight w:val="0"/>
                                                  <w:marTop w:val="0"/>
                                                  <w:marBottom w:val="0"/>
                                                  <w:divBdr>
                                                    <w:top w:val="none" w:sz="0" w:space="0" w:color="auto"/>
                                                    <w:left w:val="none" w:sz="0" w:space="0" w:color="auto"/>
                                                    <w:bottom w:val="none" w:sz="0" w:space="0" w:color="auto"/>
                                                    <w:right w:val="none" w:sz="0" w:space="0" w:color="auto"/>
                                                  </w:divBdr>
                                                  <w:divsChild>
                                                    <w:div w:id="10545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3816403">
      <w:bodyDiv w:val="1"/>
      <w:marLeft w:val="0"/>
      <w:marRight w:val="0"/>
      <w:marTop w:val="0"/>
      <w:marBottom w:val="0"/>
      <w:divBdr>
        <w:top w:val="none" w:sz="0" w:space="0" w:color="auto"/>
        <w:left w:val="none" w:sz="0" w:space="0" w:color="auto"/>
        <w:bottom w:val="none" w:sz="0" w:space="0" w:color="auto"/>
        <w:right w:val="none" w:sz="0" w:space="0" w:color="auto"/>
      </w:divBdr>
      <w:divsChild>
        <w:div w:id="809975588">
          <w:marLeft w:val="0"/>
          <w:marRight w:val="0"/>
          <w:marTop w:val="0"/>
          <w:marBottom w:val="0"/>
          <w:divBdr>
            <w:top w:val="none" w:sz="0" w:space="0" w:color="auto"/>
            <w:left w:val="none" w:sz="0" w:space="0" w:color="auto"/>
            <w:bottom w:val="none" w:sz="0" w:space="0" w:color="auto"/>
            <w:right w:val="none" w:sz="0" w:space="0" w:color="auto"/>
          </w:divBdr>
          <w:divsChild>
            <w:div w:id="1996912303">
              <w:marLeft w:val="0"/>
              <w:marRight w:val="0"/>
              <w:marTop w:val="0"/>
              <w:marBottom w:val="0"/>
              <w:divBdr>
                <w:top w:val="none" w:sz="0" w:space="0" w:color="auto"/>
                <w:left w:val="none" w:sz="0" w:space="0" w:color="auto"/>
                <w:bottom w:val="none" w:sz="0" w:space="0" w:color="auto"/>
                <w:right w:val="none" w:sz="0" w:space="0" w:color="auto"/>
              </w:divBdr>
              <w:divsChild>
                <w:div w:id="1328442138">
                  <w:marLeft w:val="0"/>
                  <w:marRight w:val="0"/>
                  <w:marTop w:val="0"/>
                  <w:marBottom w:val="0"/>
                  <w:divBdr>
                    <w:top w:val="none" w:sz="0" w:space="0" w:color="auto"/>
                    <w:left w:val="none" w:sz="0" w:space="0" w:color="auto"/>
                    <w:bottom w:val="none" w:sz="0" w:space="0" w:color="auto"/>
                    <w:right w:val="none" w:sz="0" w:space="0" w:color="auto"/>
                  </w:divBdr>
                  <w:divsChild>
                    <w:div w:id="567768134">
                      <w:marLeft w:val="0"/>
                      <w:marRight w:val="0"/>
                      <w:marTop w:val="0"/>
                      <w:marBottom w:val="0"/>
                      <w:divBdr>
                        <w:top w:val="none" w:sz="0" w:space="0" w:color="auto"/>
                        <w:left w:val="none" w:sz="0" w:space="0" w:color="auto"/>
                        <w:bottom w:val="none" w:sz="0" w:space="0" w:color="auto"/>
                        <w:right w:val="none" w:sz="0" w:space="0" w:color="auto"/>
                      </w:divBdr>
                      <w:divsChild>
                        <w:div w:id="66615932">
                          <w:marLeft w:val="0"/>
                          <w:marRight w:val="0"/>
                          <w:marTop w:val="0"/>
                          <w:marBottom w:val="0"/>
                          <w:divBdr>
                            <w:top w:val="none" w:sz="0" w:space="0" w:color="auto"/>
                            <w:left w:val="none" w:sz="0" w:space="0" w:color="auto"/>
                            <w:bottom w:val="none" w:sz="0" w:space="0" w:color="auto"/>
                            <w:right w:val="none" w:sz="0" w:space="0" w:color="auto"/>
                          </w:divBdr>
                          <w:divsChild>
                            <w:div w:id="192158208">
                              <w:marLeft w:val="0"/>
                              <w:marRight w:val="0"/>
                              <w:marTop w:val="0"/>
                              <w:marBottom w:val="0"/>
                              <w:divBdr>
                                <w:top w:val="none" w:sz="0" w:space="0" w:color="auto"/>
                                <w:left w:val="none" w:sz="0" w:space="0" w:color="auto"/>
                                <w:bottom w:val="none" w:sz="0" w:space="0" w:color="auto"/>
                                <w:right w:val="none" w:sz="0" w:space="0" w:color="auto"/>
                              </w:divBdr>
                              <w:divsChild>
                                <w:div w:id="1045299667">
                                  <w:marLeft w:val="0"/>
                                  <w:marRight w:val="0"/>
                                  <w:marTop w:val="0"/>
                                  <w:marBottom w:val="0"/>
                                  <w:divBdr>
                                    <w:top w:val="none" w:sz="0" w:space="0" w:color="auto"/>
                                    <w:left w:val="none" w:sz="0" w:space="0" w:color="auto"/>
                                    <w:bottom w:val="none" w:sz="0" w:space="0" w:color="auto"/>
                                    <w:right w:val="none" w:sz="0" w:space="0" w:color="auto"/>
                                  </w:divBdr>
                                  <w:divsChild>
                                    <w:div w:id="405953307">
                                      <w:marLeft w:val="0"/>
                                      <w:marRight w:val="0"/>
                                      <w:marTop w:val="0"/>
                                      <w:marBottom w:val="0"/>
                                      <w:divBdr>
                                        <w:top w:val="none" w:sz="0" w:space="0" w:color="auto"/>
                                        <w:left w:val="none" w:sz="0" w:space="0" w:color="auto"/>
                                        <w:bottom w:val="none" w:sz="0" w:space="0" w:color="auto"/>
                                        <w:right w:val="none" w:sz="0" w:space="0" w:color="auto"/>
                                      </w:divBdr>
                                      <w:divsChild>
                                        <w:div w:id="615134586">
                                          <w:marLeft w:val="0"/>
                                          <w:marRight w:val="0"/>
                                          <w:marTop w:val="0"/>
                                          <w:marBottom w:val="0"/>
                                          <w:divBdr>
                                            <w:top w:val="none" w:sz="0" w:space="0" w:color="auto"/>
                                            <w:left w:val="none" w:sz="0" w:space="0" w:color="auto"/>
                                            <w:bottom w:val="none" w:sz="0" w:space="0" w:color="auto"/>
                                            <w:right w:val="none" w:sz="0" w:space="0" w:color="auto"/>
                                          </w:divBdr>
                                          <w:divsChild>
                                            <w:div w:id="1820228824">
                                              <w:marLeft w:val="0"/>
                                              <w:marRight w:val="0"/>
                                              <w:marTop w:val="0"/>
                                              <w:marBottom w:val="0"/>
                                              <w:divBdr>
                                                <w:top w:val="single" w:sz="4" w:space="0" w:color="F5F5F5"/>
                                                <w:left w:val="single" w:sz="4" w:space="0" w:color="F5F5F5"/>
                                                <w:bottom w:val="single" w:sz="4" w:space="0" w:color="F5F5F5"/>
                                                <w:right w:val="single" w:sz="4" w:space="0" w:color="F5F5F5"/>
                                              </w:divBdr>
                                              <w:divsChild>
                                                <w:div w:id="817578495">
                                                  <w:marLeft w:val="0"/>
                                                  <w:marRight w:val="0"/>
                                                  <w:marTop w:val="0"/>
                                                  <w:marBottom w:val="0"/>
                                                  <w:divBdr>
                                                    <w:top w:val="none" w:sz="0" w:space="0" w:color="auto"/>
                                                    <w:left w:val="none" w:sz="0" w:space="0" w:color="auto"/>
                                                    <w:bottom w:val="none" w:sz="0" w:space="0" w:color="auto"/>
                                                    <w:right w:val="none" w:sz="0" w:space="0" w:color="auto"/>
                                                  </w:divBdr>
                                                  <w:divsChild>
                                                    <w:div w:id="20344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8138423">
      <w:bodyDiv w:val="1"/>
      <w:marLeft w:val="0"/>
      <w:marRight w:val="0"/>
      <w:marTop w:val="0"/>
      <w:marBottom w:val="0"/>
      <w:divBdr>
        <w:top w:val="none" w:sz="0" w:space="0" w:color="auto"/>
        <w:left w:val="none" w:sz="0" w:space="0" w:color="auto"/>
        <w:bottom w:val="none" w:sz="0" w:space="0" w:color="auto"/>
        <w:right w:val="none" w:sz="0" w:space="0" w:color="auto"/>
      </w:divBdr>
      <w:divsChild>
        <w:div w:id="1173302365">
          <w:marLeft w:val="0"/>
          <w:marRight w:val="0"/>
          <w:marTop w:val="0"/>
          <w:marBottom w:val="0"/>
          <w:divBdr>
            <w:top w:val="none" w:sz="0" w:space="0" w:color="auto"/>
            <w:left w:val="none" w:sz="0" w:space="0" w:color="auto"/>
            <w:bottom w:val="none" w:sz="0" w:space="0" w:color="auto"/>
            <w:right w:val="none" w:sz="0" w:space="0" w:color="auto"/>
          </w:divBdr>
          <w:divsChild>
            <w:div w:id="1074355158">
              <w:marLeft w:val="0"/>
              <w:marRight w:val="0"/>
              <w:marTop w:val="0"/>
              <w:marBottom w:val="0"/>
              <w:divBdr>
                <w:top w:val="none" w:sz="0" w:space="0" w:color="auto"/>
                <w:left w:val="none" w:sz="0" w:space="0" w:color="auto"/>
                <w:bottom w:val="none" w:sz="0" w:space="0" w:color="auto"/>
                <w:right w:val="none" w:sz="0" w:space="0" w:color="auto"/>
              </w:divBdr>
              <w:divsChild>
                <w:div w:id="1353074174">
                  <w:marLeft w:val="0"/>
                  <w:marRight w:val="0"/>
                  <w:marTop w:val="0"/>
                  <w:marBottom w:val="0"/>
                  <w:divBdr>
                    <w:top w:val="none" w:sz="0" w:space="0" w:color="auto"/>
                    <w:left w:val="none" w:sz="0" w:space="0" w:color="auto"/>
                    <w:bottom w:val="none" w:sz="0" w:space="0" w:color="auto"/>
                    <w:right w:val="none" w:sz="0" w:space="0" w:color="auto"/>
                  </w:divBdr>
                  <w:divsChild>
                    <w:div w:id="478041156">
                      <w:marLeft w:val="0"/>
                      <w:marRight w:val="0"/>
                      <w:marTop w:val="0"/>
                      <w:marBottom w:val="0"/>
                      <w:divBdr>
                        <w:top w:val="none" w:sz="0" w:space="0" w:color="auto"/>
                        <w:left w:val="none" w:sz="0" w:space="0" w:color="auto"/>
                        <w:bottom w:val="none" w:sz="0" w:space="0" w:color="auto"/>
                        <w:right w:val="none" w:sz="0" w:space="0" w:color="auto"/>
                      </w:divBdr>
                      <w:divsChild>
                        <w:div w:id="826017116">
                          <w:marLeft w:val="0"/>
                          <w:marRight w:val="0"/>
                          <w:marTop w:val="0"/>
                          <w:marBottom w:val="0"/>
                          <w:divBdr>
                            <w:top w:val="none" w:sz="0" w:space="0" w:color="auto"/>
                            <w:left w:val="none" w:sz="0" w:space="0" w:color="auto"/>
                            <w:bottom w:val="none" w:sz="0" w:space="0" w:color="auto"/>
                            <w:right w:val="none" w:sz="0" w:space="0" w:color="auto"/>
                          </w:divBdr>
                          <w:divsChild>
                            <w:div w:id="1630434393">
                              <w:marLeft w:val="0"/>
                              <w:marRight w:val="0"/>
                              <w:marTop w:val="0"/>
                              <w:marBottom w:val="0"/>
                              <w:divBdr>
                                <w:top w:val="none" w:sz="0" w:space="0" w:color="auto"/>
                                <w:left w:val="none" w:sz="0" w:space="0" w:color="auto"/>
                                <w:bottom w:val="none" w:sz="0" w:space="0" w:color="auto"/>
                                <w:right w:val="none" w:sz="0" w:space="0" w:color="auto"/>
                              </w:divBdr>
                              <w:divsChild>
                                <w:div w:id="1527131258">
                                  <w:marLeft w:val="0"/>
                                  <w:marRight w:val="0"/>
                                  <w:marTop w:val="0"/>
                                  <w:marBottom w:val="0"/>
                                  <w:divBdr>
                                    <w:top w:val="none" w:sz="0" w:space="0" w:color="auto"/>
                                    <w:left w:val="none" w:sz="0" w:space="0" w:color="auto"/>
                                    <w:bottom w:val="none" w:sz="0" w:space="0" w:color="auto"/>
                                    <w:right w:val="none" w:sz="0" w:space="0" w:color="auto"/>
                                  </w:divBdr>
                                  <w:divsChild>
                                    <w:div w:id="1548026696">
                                      <w:marLeft w:val="0"/>
                                      <w:marRight w:val="0"/>
                                      <w:marTop w:val="0"/>
                                      <w:marBottom w:val="0"/>
                                      <w:divBdr>
                                        <w:top w:val="none" w:sz="0" w:space="0" w:color="auto"/>
                                        <w:left w:val="none" w:sz="0" w:space="0" w:color="auto"/>
                                        <w:bottom w:val="none" w:sz="0" w:space="0" w:color="auto"/>
                                        <w:right w:val="none" w:sz="0" w:space="0" w:color="auto"/>
                                      </w:divBdr>
                                      <w:divsChild>
                                        <w:div w:id="474026351">
                                          <w:marLeft w:val="0"/>
                                          <w:marRight w:val="0"/>
                                          <w:marTop w:val="0"/>
                                          <w:marBottom w:val="0"/>
                                          <w:divBdr>
                                            <w:top w:val="none" w:sz="0" w:space="0" w:color="auto"/>
                                            <w:left w:val="none" w:sz="0" w:space="0" w:color="auto"/>
                                            <w:bottom w:val="none" w:sz="0" w:space="0" w:color="auto"/>
                                            <w:right w:val="none" w:sz="0" w:space="0" w:color="auto"/>
                                          </w:divBdr>
                                          <w:divsChild>
                                            <w:div w:id="1293756396">
                                              <w:marLeft w:val="0"/>
                                              <w:marRight w:val="0"/>
                                              <w:marTop w:val="0"/>
                                              <w:marBottom w:val="0"/>
                                              <w:divBdr>
                                                <w:top w:val="single" w:sz="4" w:space="0" w:color="F5F5F5"/>
                                                <w:left w:val="single" w:sz="4" w:space="0" w:color="F5F5F5"/>
                                                <w:bottom w:val="single" w:sz="4" w:space="0" w:color="F5F5F5"/>
                                                <w:right w:val="single" w:sz="4" w:space="0" w:color="F5F5F5"/>
                                              </w:divBdr>
                                              <w:divsChild>
                                                <w:div w:id="294406765">
                                                  <w:marLeft w:val="0"/>
                                                  <w:marRight w:val="0"/>
                                                  <w:marTop w:val="0"/>
                                                  <w:marBottom w:val="0"/>
                                                  <w:divBdr>
                                                    <w:top w:val="none" w:sz="0" w:space="0" w:color="auto"/>
                                                    <w:left w:val="none" w:sz="0" w:space="0" w:color="auto"/>
                                                    <w:bottom w:val="none" w:sz="0" w:space="0" w:color="auto"/>
                                                    <w:right w:val="none" w:sz="0" w:space="0" w:color="auto"/>
                                                  </w:divBdr>
                                                  <w:divsChild>
                                                    <w:div w:id="5366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windows-1252"/>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aec.mk" TargetMode="Externa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package" Target="embeddings/Microsoft_Office_Excel_Worksheet5.xlsx"/><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information_society/policy/ecomm/doc/library/proposals/rec_markets_en.pdf" TargetMode="External"/><Relationship Id="rId2" Type="http://schemas.openxmlformats.org/officeDocument/2006/relationships/hyperlink" Target="http://www.aek.mk/mk/dokumenti/izveshtai/ispituvanje-na-javno-mislenje" TargetMode="External"/><Relationship Id="rId1" Type="http://schemas.openxmlformats.org/officeDocument/2006/relationships/hyperlink" Target="http://www.aek.mk/mk/dokumenti/izveshtai/kvartalni-izveshtai-za-analiza-na-paza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Macro-Enabled_Worksheet1.xlsm"/></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Macro-Enabled_Worksheet2.xlsm"/></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Macro-Enabled_Worksheet3.xlsm"/><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Macro-Enabled_Worksheet4.xlsm"/><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Macro-Enabled_Worksheet6.xlsm"/></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Macro-Enabled_Worksheet7.xlsm"/></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Macro-Enabled_Worksheet8.xlsm"/></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8"/>
  <c:chart>
    <c:plotArea>
      <c:layout>
        <c:manualLayout>
          <c:layoutTarget val="inner"/>
          <c:xMode val="edge"/>
          <c:yMode val="edge"/>
          <c:x val="0.12332699562997103"/>
          <c:y val="3.4161599030890367E-2"/>
          <c:w val="0.76181629951123353"/>
          <c:h val="0.75889497274379181"/>
        </c:manualLayout>
      </c:layout>
      <c:barChart>
        <c:barDir val="col"/>
        <c:grouping val="clustered"/>
        <c:ser>
          <c:idx val="0"/>
          <c:order val="0"/>
          <c:tx>
            <c:strRef>
              <c:f>Sheet1!$B$1</c:f>
              <c:strCache>
                <c:ptCount val="1"/>
                <c:pt idx="0">
                  <c:v>Број на фиксни линии</c:v>
                </c:pt>
              </c:strCache>
            </c:strRef>
          </c:tx>
          <c:spPr>
            <a:gradFill rotWithShape="0">
              <a:gsLst>
                <a:gs pos="0">
                  <a:srgbClr val="882624"/>
                </a:gs>
                <a:gs pos="80000">
                  <a:srgbClr val="B33532"/>
                </a:gs>
                <a:gs pos="100000">
                  <a:srgbClr val="B73330"/>
                </a:gs>
              </a:gsLst>
              <a:lin ang="16200000"/>
            </a:gradFill>
            <a:ln w="25322">
              <a:noFill/>
            </a:ln>
            <a:effectLst>
              <a:outerShdw dist="35921" dir="2700000" algn="br">
                <a:srgbClr val="000000"/>
              </a:outerShdw>
            </a:effectLst>
          </c:spPr>
          <c:dLbls>
            <c:dLbl>
              <c:idx val="0"/>
              <c:layout>
                <c:manualLayout>
                  <c:x val="0"/>
                  <c:y val="0.17984496124031013"/>
                </c:manualLayout>
              </c:layout>
              <c:spPr>
                <a:noFill/>
                <a:ln w="25322">
                  <a:noFill/>
                </a:ln>
              </c:spPr>
              <c:txPr>
                <a:bodyPr rot="5400000" vert="horz"/>
                <a:lstStyle/>
                <a:p>
                  <a:pPr>
                    <a:defRPr b="1"/>
                  </a:pPr>
                  <a:endParaRPr lang="en-US"/>
                </a:p>
              </c:txPr>
              <c:dLblPos val="outEnd"/>
              <c:showVal val="1"/>
            </c:dLbl>
            <c:dLbl>
              <c:idx val="1"/>
              <c:layout>
                <c:manualLayout>
                  <c:x val="4.7534165181224008E-3"/>
                  <c:y val="0.18914704266618723"/>
                </c:manualLayout>
              </c:layout>
              <c:spPr>
                <a:noFill/>
                <a:ln w="25322">
                  <a:noFill/>
                </a:ln>
              </c:spPr>
              <c:txPr>
                <a:bodyPr rot="5400000" vert="horz"/>
                <a:lstStyle/>
                <a:p>
                  <a:pPr>
                    <a:defRPr b="1"/>
                  </a:pPr>
                  <a:endParaRPr lang="en-US"/>
                </a:p>
              </c:txPr>
              <c:dLblPos val="outEnd"/>
              <c:showVal val="1"/>
            </c:dLbl>
            <c:dLbl>
              <c:idx val="2"/>
              <c:layout>
                <c:manualLayout>
                  <c:x val="7.1301247771836124E-3"/>
                  <c:y val="0.16124006592199414"/>
                </c:manualLayout>
              </c:layout>
              <c:spPr>
                <a:noFill/>
                <a:ln w="25322">
                  <a:noFill/>
                </a:ln>
              </c:spPr>
              <c:txPr>
                <a:bodyPr rot="5400000" vert="horz"/>
                <a:lstStyle/>
                <a:p>
                  <a:pPr>
                    <a:defRPr b="1"/>
                  </a:pPr>
                  <a:endParaRPr lang="en-US"/>
                </a:p>
              </c:txPr>
              <c:dLblPos val="outEnd"/>
              <c:showVal val="1"/>
            </c:dLbl>
            <c:dLbl>
              <c:idx val="3"/>
              <c:layout>
                <c:manualLayout>
                  <c:x val="4.7534165181224008E-3"/>
                  <c:y val="0.18914728682171827"/>
                </c:manualLayout>
              </c:layout>
              <c:spPr>
                <a:noFill/>
                <a:ln w="25322">
                  <a:noFill/>
                </a:ln>
              </c:spPr>
              <c:txPr>
                <a:bodyPr rot="5400000" vert="horz"/>
                <a:lstStyle/>
                <a:p>
                  <a:pPr>
                    <a:defRPr b="1"/>
                  </a:pPr>
                  <a:endParaRPr lang="en-US"/>
                </a:p>
              </c:txPr>
              <c:dLblPos val="outEnd"/>
              <c:showVal val="1"/>
            </c:dLbl>
            <c:dLbl>
              <c:idx val="4"/>
              <c:layout>
                <c:manualLayout>
                  <c:x val="2.3767082590612008E-3"/>
                  <c:y val="0.16434108527131913"/>
                </c:manualLayout>
              </c:layout>
              <c:spPr>
                <a:noFill/>
                <a:ln w="25322">
                  <a:noFill/>
                </a:ln>
              </c:spPr>
              <c:txPr>
                <a:bodyPr rot="5400000" vert="horz"/>
                <a:lstStyle/>
                <a:p>
                  <a:pPr>
                    <a:defRPr b="1"/>
                  </a:pPr>
                  <a:endParaRPr lang="en-US"/>
                </a:p>
              </c:txPr>
              <c:dLblPos val="outEnd"/>
              <c:showVal val="1"/>
            </c:dLbl>
            <c:dLbl>
              <c:idx val="5"/>
              <c:layout>
                <c:manualLayout>
                  <c:x val="4.7534165181224008E-3"/>
                  <c:y val="0.17364341085272131"/>
                </c:manualLayout>
              </c:layout>
              <c:spPr>
                <a:noFill/>
                <a:ln w="25322">
                  <a:noFill/>
                </a:ln>
              </c:spPr>
              <c:txPr>
                <a:bodyPr rot="5400000" vert="horz"/>
                <a:lstStyle/>
                <a:p>
                  <a:pPr>
                    <a:defRPr b="1"/>
                  </a:pPr>
                  <a:endParaRPr lang="en-US"/>
                </a:p>
              </c:txPr>
              <c:dLblPos val="outEnd"/>
              <c:showVal val="1"/>
            </c:dLbl>
            <c:dLbl>
              <c:idx val="6"/>
              <c:layout>
                <c:manualLayout>
                  <c:x val="2.3767082590612008E-3"/>
                  <c:y val="0.17364341085272131"/>
                </c:manualLayout>
              </c:layout>
              <c:spPr>
                <a:noFill/>
                <a:ln w="25322">
                  <a:noFill/>
                </a:ln>
              </c:spPr>
              <c:txPr>
                <a:bodyPr rot="5400000" vert="horz"/>
                <a:lstStyle/>
                <a:p>
                  <a:pPr>
                    <a:defRPr b="1"/>
                  </a:pPr>
                  <a:endParaRPr lang="en-US"/>
                </a:p>
              </c:txPr>
              <c:dLblPos val="outEnd"/>
              <c:showVal val="1"/>
            </c:dLbl>
            <c:dLbl>
              <c:idx val="7"/>
              <c:layout>
                <c:manualLayout>
                  <c:x val="2.3767082590612008E-3"/>
                  <c:y val="0.15503851553440418"/>
                </c:manualLayout>
              </c:layout>
              <c:spPr>
                <a:noFill/>
                <a:ln w="25322">
                  <a:noFill/>
                </a:ln>
              </c:spPr>
              <c:txPr>
                <a:bodyPr rot="5400000" vert="horz"/>
                <a:lstStyle/>
                <a:p>
                  <a:pPr>
                    <a:defRPr b="1"/>
                  </a:pPr>
                  <a:endParaRPr lang="en-US"/>
                </a:p>
              </c:txPr>
              <c:dLblPos val="outEnd"/>
              <c:showVal val="1"/>
            </c:dLbl>
            <c:spPr>
              <a:noFill/>
              <a:ln w="25322">
                <a:noFill/>
              </a:ln>
            </c:spPr>
            <c:txPr>
              <a:bodyPr/>
              <a:lstStyle/>
              <a:p>
                <a:pPr>
                  <a:defRPr b="1"/>
                </a:pPr>
                <a:endParaRPr lang="en-US"/>
              </a:p>
            </c:txPr>
            <c:showVal val="1"/>
          </c:dLbls>
          <c:cat>
            <c:strRef>
              <c:f>Sheet1!$A$2:$A$5</c:f>
              <c:strCache>
                <c:ptCount val="4"/>
                <c:pt idx="0">
                  <c:v>2012/4 квартал</c:v>
                </c:pt>
                <c:pt idx="1">
                  <c:v>2013/4 квартал</c:v>
                </c:pt>
                <c:pt idx="2">
                  <c:v>2014/4 квартал</c:v>
                </c:pt>
                <c:pt idx="3">
                  <c:v>2015/4 квартал</c:v>
                </c:pt>
              </c:strCache>
            </c:strRef>
          </c:cat>
          <c:val>
            <c:numRef>
              <c:f>Sheet1!$B$2:$B$5</c:f>
              <c:numCache>
                <c:formatCode>#,##0</c:formatCode>
                <c:ptCount val="4"/>
                <c:pt idx="0">
                  <c:v>408318</c:v>
                </c:pt>
                <c:pt idx="1">
                  <c:v>396523</c:v>
                </c:pt>
                <c:pt idx="2">
                  <c:v>383590</c:v>
                </c:pt>
                <c:pt idx="3">
                  <c:v>371003</c:v>
                </c:pt>
              </c:numCache>
            </c:numRef>
          </c:val>
        </c:ser>
        <c:gapWidth val="75"/>
        <c:overlap val="-25"/>
        <c:axId val="52605696"/>
        <c:axId val="52606848"/>
      </c:barChart>
      <c:lineChart>
        <c:grouping val="standard"/>
        <c:ser>
          <c:idx val="1"/>
          <c:order val="1"/>
          <c:tx>
            <c:strRef>
              <c:f>Sheet1!$C$1</c:f>
              <c:strCache>
                <c:ptCount val="1"/>
                <c:pt idx="0">
                  <c:v>Број на фиксни линии според популација 100</c:v>
                </c:pt>
              </c:strCache>
            </c:strRef>
          </c:tx>
          <c:spPr>
            <a:ln w="37983">
              <a:solidFill>
                <a:srgbClr val="FEA746"/>
              </a:solidFill>
              <a:prstDash val="solid"/>
            </a:ln>
          </c:spPr>
          <c:marker>
            <c:symbol val="square"/>
            <c:size val="12"/>
            <c:spPr>
              <a:gradFill rotWithShape="0">
                <a:gsLst>
                  <a:gs pos="0">
                    <a:srgbClr val="A16564"/>
                  </a:gs>
                  <a:gs pos="80000">
                    <a:srgbClr val="D38584"/>
                  </a:gs>
                  <a:gs pos="100000">
                    <a:srgbClr val="D68583"/>
                  </a:gs>
                </a:gsLst>
                <a:lin ang="16200000"/>
              </a:gradFill>
              <a:ln>
                <a:solidFill>
                  <a:srgbClr val="FEA746"/>
                </a:solidFill>
                <a:prstDash val="solid"/>
              </a:ln>
              <a:effectLst>
                <a:outerShdw dist="35921" dir="2700000" algn="br">
                  <a:srgbClr val="000000"/>
                </a:outerShdw>
              </a:effectLst>
            </c:spPr>
          </c:marker>
          <c:dLbls>
            <c:spPr>
              <a:noFill/>
              <a:ln w="25322">
                <a:noFill/>
              </a:ln>
            </c:spPr>
            <c:txPr>
              <a:bodyPr/>
              <a:lstStyle/>
              <a:p>
                <a:pPr>
                  <a:defRPr b="1"/>
                </a:pPr>
                <a:endParaRPr lang="en-US"/>
              </a:p>
            </c:txPr>
            <c:dLblPos val="t"/>
            <c:showVal val="1"/>
          </c:dLbls>
          <c:cat>
            <c:strRef>
              <c:f>Sheet1!$A$2:$A$5</c:f>
              <c:strCache>
                <c:ptCount val="4"/>
                <c:pt idx="0">
                  <c:v>2012/4 квартал</c:v>
                </c:pt>
                <c:pt idx="1">
                  <c:v>2013/4 квартал</c:v>
                </c:pt>
                <c:pt idx="2">
                  <c:v>2014/4 квартал</c:v>
                </c:pt>
                <c:pt idx="3">
                  <c:v>2015/4 квартал</c:v>
                </c:pt>
              </c:strCache>
            </c:strRef>
          </c:cat>
          <c:val>
            <c:numRef>
              <c:f>Sheet1!$C$2:$C$5</c:f>
              <c:numCache>
                <c:formatCode>0.00</c:formatCode>
                <c:ptCount val="4"/>
                <c:pt idx="0">
                  <c:v>19.82</c:v>
                </c:pt>
                <c:pt idx="1">
                  <c:v>19.22</c:v>
                </c:pt>
                <c:pt idx="2">
                  <c:v>18.59</c:v>
                </c:pt>
                <c:pt idx="3">
                  <c:v>17.93</c:v>
                </c:pt>
              </c:numCache>
            </c:numRef>
          </c:val>
        </c:ser>
        <c:marker val="1"/>
        <c:axId val="52608384"/>
        <c:axId val="52855936"/>
      </c:lineChart>
      <c:catAx>
        <c:axId val="52605696"/>
        <c:scaling>
          <c:orientation val="minMax"/>
        </c:scaling>
        <c:axPos val="b"/>
        <c:numFmt formatCode="General" sourceLinked="1"/>
        <c:majorTickMark val="none"/>
        <c:tickLblPos val="nextTo"/>
        <c:spPr>
          <a:ln w="3165">
            <a:solidFill>
              <a:srgbClr val="808080"/>
            </a:solidFill>
            <a:prstDash val="solid"/>
          </a:ln>
        </c:spPr>
        <c:txPr>
          <a:bodyPr/>
          <a:lstStyle/>
          <a:p>
            <a:pPr>
              <a:defRPr b="1"/>
            </a:pPr>
            <a:endParaRPr lang="en-US"/>
          </a:p>
        </c:txPr>
        <c:crossAx val="52606848"/>
        <c:crosses val="autoZero"/>
        <c:auto val="1"/>
        <c:lblAlgn val="ctr"/>
        <c:lblOffset val="100"/>
      </c:catAx>
      <c:valAx>
        <c:axId val="52606848"/>
        <c:scaling>
          <c:orientation val="minMax"/>
          <c:max val="500000"/>
          <c:min val="100000"/>
        </c:scaling>
        <c:axPos val="l"/>
        <c:majorGridlines>
          <c:spPr>
            <a:ln w="3165">
              <a:solidFill>
                <a:srgbClr val="808080"/>
              </a:solidFill>
              <a:prstDash val="solid"/>
            </a:ln>
          </c:spPr>
        </c:majorGridlines>
        <c:numFmt formatCode="#,##0" sourceLinked="1"/>
        <c:majorTickMark val="none"/>
        <c:tickLblPos val="nextTo"/>
        <c:spPr>
          <a:ln w="3165">
            <a:solidFill>
              <a:srgbClr val="808080"/>
            </a:solidFill>
            <a:prstDash val="solid"/>
          </a:ln>
        </c:spPr>
        <c:txPr>
          <a:bodyPr/>
          <a:lstStyle/>
          <a:p>
            <a:pPr>
              <a:defRPr b="1"/>
            </a:pPr>
            <a:endParaRPr lang="en-US"/>
          </a:p>
        </c:txPr>
        <c:crossAx val="52605696"/>
        <c:crosses val="autoZero"/>
        <c:crossBetween val="between"/>
      </c:valAx>
      <c:catAx>
        <c:axId val="52608384"/>
        <c:scaling>
          <c:orientation val="minMax"/>
        </c:scaling>
        <c:delete val="1"/>
        <c:axPos val="b"/>
        <c:tickLblPos val="none"/>
        <c:crossAx val="52855936"/>
        <c:crosses val="autoZero"/>
        <c:auto val="1"/>
        <c:lblAlgn val="ctr"/>
        <c:lblOffset val="100"/>
      </c:catAx>
      <c:valAx>
        <c:axId val="52855936"/>
        <c:scaling>
          <c:orientation val="minMax"/>
          <c:min val="10"/>
        </c:scaling>
        <c:axPos val="r"/>
        <c:numFmt formatCode="0" sourceLinked="0"/>
        <c:tickLblPos val="nextTo"/>
        <c:spPr>
          <a:ln w="3165">
            <a:solidFill>
              <a:srgbClr val="808080"/>
            </a:solidFill>
            <a:prstDash val="solid"/>
          </a:ln>
        </c:spPr>
        <c:txPr>
          <a:bodyPr/>
          <a:lstStyle/>
          <a:p>
            <a:pPr>
              <a:defRPr b="1"/>
            </a:pPr>
            <a:endParaRPr lang="en-US"/>
          </a:p>
        </c:txPr>
        <c:crossAx val="52608384"/>
        <c:crosses val="max"/>
        <c:crossBetween val="between"/>
      </c:valAx>
      <c:spPr>
        <a:solidFill>
          <a:srgbClr val="FFFFFF"/>
        </a:solidFill>
        <a:ln w="25322">
          <a:noFill/>
        </a:ln>
      </c:spPr>
    </c:plotArea>
    <c:legend>
      <c:legendPos val="r"/>
      <c:layout>
        <c:manualLayout>
          <c:xMode val="edge"/>
          <c:yMode val="edge"/>
          <c:x val="6.4676616915422966E-2"/>
          <c:y val="0.92024539877300604"/>
          <c:w val="0.86815920398009983"/>
          <c:h val="5.5214723926380438E-2"/>
        </c:manualLayout>
      </c:layout>
      <c:spPr>
        <a:noFill/>
        <a:ln w="25322">
          <a:noFill/>
        </a:ln>
      </c:spPr>
      <c:txPr>
        <a:bodyPr/>
        <a:lstStyle/>
        <a:p>
          <a:pPr>
            <a:defRPr b="1"/>
          </a:pPr>
          <a:endParaRPr lang="en-US"/>
        </a:p>
      </c:txPr>
    </c:legend>
    <c:plotVisOnly val="1"/>
    <c:dispBlanksAs val="gap"/>
  </c:chart>
  <c:spPr>
    <a:solidFill>
      <a:srgbClr val="FFFFFF"/>
    </a:solidFill>
    <a:ln w="3165">
      <a:solidFill>
        <a:srgbClr val="808080"/>
      </a:solidFill>
      <a:prstDash val="solid"/>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8"/>
  <c:chart>
    <c:plotArea>
      <c:layout>
        <c:manualLayout>
          <c:layoutTarget val="inner"/>
          <c:xMode val="edge"/>
          <c:yMode val="edge"/>
          <c:x val="8.6481338382561002E-2"/>
          <c:y val="2.1015666288707411E-2"/>
          <c:w val="0.8445707658635685"/>
          <c:h val="0.58386369301602659"/>
        </c:manualLayout>
      </c:layout>
      <c:lineChart>
        <c:grouping val="standard"/>
        <c:ser>
          <c:idx val="0"/>
          <c:order val="0"/>
          <c:tx>
            <c:strRef>
              <c:f>Sheet1!$B$1</c:f>
              <c:strCache>
                <c:ptCount val="1"/>
                <c:pt idx="0">
                  <c:v>Удел на алтернативни оператори/даватели на услуги според фиксни линии</c:v>
                </c:pt>
              </c:strCache>
            </c:strRef>
          </c:tx>
          <c:spPr>
            <a:ln w="37994">
              <a:solidFill>
                <a:srgbClr val="DD0806"/>
              </a:solidFill>
              <a:prstDash val="solid"/>
            </a:ln>
          </c:spPr>
          <c:marker>
            <c:symbol val="diamond"/>
            <c:size val="12"/>
            <c:spPr>
              <a:solidFill>
                <a:srgbClr val="FF0000"/>
              </a:solidFill>
            </c:spPr>
          </c:marker>
          <c:dLbls>
            <c:dLbl>
              <c:idx val="3"/>
              <c:layout>
                <c:manualLayout>
                  <c:x val="-5.2919882919293733E-2"/>
                  <c:y val="-3.4039174880034821E-2"/>
                </c:manualLayout>
              </c:layout>
              <c:dLblPos val="r"/>
              <c:showVal val="1"/>
            </c:dLbl>
            <c:spPr>
              <a:noFill/>
              <a:ln w="25330">
                <a:noFill/>
              </a:ln>
            </c:spPr>
            <c:txPr>
              <a:bodyPr/>
              <a:lstStyle/>
              <a:p>
                <a:pPr>
                  <a:defRPr b="1"/>
                </a:pPr>
                <a:endParaRPr lang="en-US"/>
              </a:p>
            </c:txPr>
            <c:dLblPos val="t"/>
            <c:showVal val="1"/>
          </c:dLbls>
          <c:cat>
            <c:strRef>
              <c:f>Sheet1!$A$2:$A$5</c:f>
              <c:strCache>
                <c:ptCount val="4"/>
                <c:pt idx="0">
                  <c:v>2012/4 квартал</c:v>
                </c:pt>
                <c:pt idx="1">
                  <c:v>2013/4 квартал</c:v>
                </c:pt>
                <c:pt idx="2">
                  <c:v>2014/4 квартал</c:v>
                </c:pt>
                <c:pt idx="3">
                  <c:v>2015/4 квартал</c:v>
                </c:pt>
              </c:strCache>
            </c:strRef>
          </c:cat>
          <c:val>
            <c:numRef>
              <c:f>Sheet1!$B$2:$B$5</c:f>
              <c:numCache>
                <c:formatCode>0.00%</c:formatCode>
                <c:ptCount val="4"/>
                <c:pt idx="0">
                  <c:v>0.34460000000000002</c:v>
                </c:pt>
                <c:pt idx="1">
                  <c:v>0.37340000000000034</c:v>
                </c:pt>
                <c:pt idx="2">
                  <c:v>0.41190000000000027</c:v>
                </c:pt>
                <c:pt idx="3">
                  <c:v>0.39410000000000034</c:v>
                </c:pt>
              </c:numCache>
            </c:numRef>
          </c:val>
        </c:ser>
        <c:ser>
          <c:idx val="1"/>
          <c:order val="1"/>
          <c:tx>
            <c:strRef>
              <c:f>Sheet1!$C$1</c:f>
              <c:strCache>
                <c:ptCount val="1"/>
                <c:pt idx="0">
                  <c:v>Удел на алтернативните оператори/даватели на услуги според приходи  од обезбедување на пристап до мрежа на фиксна локација и јавно достапни телефонски услуги на фиксна локација </c:v>
                </c:pt>
              </c:strCache>
            </c:strRef>
          </c:tx>
          <c:spPr>
            <a:ln w="37994">
              <a:solidFill>
                <a:srgbClr val="865357"/>
              </a:solidFill>
              <a:prstDash val="solid"/>
            </a:ln>
          </c:spPr>
          <c:marker>
            <c:symbol val="square"/>
            <c:size val="12"/>
            <c:spPr>
              <a:solidFill>
                <a:srgbClr val="0070C0"/>
              </a:solidFill>
              <a:ln>
                <a:solidFill>
                  <a:srgbClr val="865357"/>
                </a:solidFill>
                <a:prstDash val="solid"/>
              </a:ln>
              <a:effectLst>
                <a:outerShdw dist="35921" dir="2700000" algn="br">
                  <a:srgbClr val="000000"/>
                </a:outerShdw>
              </a:effectLst>
            </c:spPr>
          </c:marker>
          <c:dLbls>
            <c:dLbl>
              <c:idx val="0"/>
              <c:layout>
                <c:manualLayout>
                  <c:x val="-5.5960606256182037E-2"/>
                  <c:y val="4.2498224391583538E-2"/>
                </c:manualLayout>
              </c:layout>
              <c:dLblPos val="r"/>
              <c:showVal val="1"/>
            </c:dLbl>
            <c:dLbl>
              <c:idx val="1"/>
              <c:layout>
                <c:manualLayout>
                  <c:x val="-3.864734299517144E-2"/>
                  <c:y val="-3.7243947858476963E-2"/>
                </c:manualLayout>
              </c:layout>
              <c:dLblPos val="r"/>
              <c:showVal val="1"/>
            </c:dLbl>
            <c:dLbl>
              <c:idx val="2"/>
              <c:layout>
                <c:manualLayout>
                  <c:x val="-4.5088566827697324E-2"/>
                  <c:y val="-2.9795158286778402E-2"/>
                </c:manualLayout>
              </c:layout>
              <c:dLblPos val="r"/>
              <c:showVal val="1"/>
            </c:dLbl>
            <c:dLbl>
              <c:idx val="3"/>
              <c:layout>
                <c:manualLayout>
                  <c:x val="-7.3000536768652716E-2"/>
                  <c:y val="-3.9726877715704635E-2"/>
                </c:manualLayout>
              </c:layout>
              <c:dLblPos val="r"/>
              <c:showVal val="1"/>
            </c:dLbl>
            <c:dLbl>
              <c:idx val="4"/>
              <c:layout>
                <c:manualLayout>
                  <c:x val="-6.0118089103596534E-2"/>
                  <c:y val="-4.9658597144632124E-2"/>
                </c:manualLayout>
              </c:layout>
              <c:dLblPos val="r"/>
              <c:showVal val="1"/>
            </c:dLbl>
            <c:dLbl>
              <c:idx val="5"/>
              <c:layout>
                <c:manualLayout>
                  <c:x val="-6.6559312936124396E-2"/>
                  <c:y val="-2.9795158286778402E-2"/>
                </c:manualLayout>
              </c:layout>
              <c:dLblPos val="r"/>
              <c:showVal val="1"/>
            </c:dLbl>
            <c:dLbl>
              <c:idx val="6"/>
              <c:layout>
                <c:manualLayout>
                  <c:x val="-3.6500268384326635E-2"/>
                  <c:y val="-3.9726877715704635E-2"/>
                </c:manualLayout>
              </c:layout>
              <c:dLblPos val="r"/>
              <c:showVal val="1"/>
            </c:dLbl>
            <c:dLbl>
              <c:idx val="7"/>
              <c:layout>
                <c:manualLayout>
                  <c:x val="-5.1529790660225387E-2"/>
                  <c:y val="-4.4692737430169924E-2"/>
                </c:manualLayout>
              </c:layout>
              <c:dLblPos val="r"/>
              <c:showVal val="1"/>
            </c:dLbl>
            <c:spPr>
              <a:noFill/>
              <a:ln w="25330">
                <a:noFill/>
              </a:ln>
            </c:spPr>
            <c:txPr>
              <a:bodyPr/>
              <a:lstStyle/>
              <a:p>
                <a:pPr>
                  <a:defRPr b="1"/>
                </a:pPr>
                <a:endParaRPr lang="en-US"/>
              </a:p>
            </c:txPr>
            <c:showVal val="1"/>
          </c:dLbls>
          <c:cat>
            <c:strRef>
              <c:f>Sheet1!$A$2:$A$5</c:f>
              <c:strCache>
                <c:ptCount val="4"/>
                <c:pt idx="0">
                  <c:v>2012/4 квартал</c:v>
                </c:pt>
                <c:pt idx="1">
                  <c:v>2013/4 квартал</c:v>
                </c:pt>
                <c:pt idx="2">
                  <c:v>2014/4 квартал</c:v>
                </c:pt>
                <c:pt idx="3">
                  <c:v>2015/4 квартал</c:v>
                </c:pt>
              </c:strCache>
            </c:strRef>
          </c:cat>
          <c:val>
            <c:numRef>
              <c:f>Sheet1!$C$2:$C$5</c:f>
              <c:numCache>
                <c:formatCode>0.00%</c:formatCode>
                <c:ptCount val="4"/>
                <c:pt idx="0">
                  <c:v>0.22650000000000001</c:v>
                </c:pt>
                <c:pt idx="1">
                  <c:v>0.26320000000000005</c:v>
                </c:pt>
                <c:pt idx="2">
                  <c:v>0.24780000000000013</c:v>
                </c:pt>
                <c:pt idx="3">
                  <c:v>0.21760000000000004</c:v>
                </c:pt>
              </c:numCache>
            </c:numRef>
          </c:val>
        </c:ser>
        <c:ser>
          <c:idx val="2"/>
          <c:order val="2"/>
          <c:tx>
            <c:strRef>
              <c:f>Sheet1!$D$1</c:f>
              <c:strCache>
                <c:ptCount val="1"/>
                <c:pt idx="0">
                  <c:v>Удел на Македонски Телеком АД според фиксни линии</c:v>
                </c:pt>
              </c:strCache>
            </c:strRef>
          </c:tx>
          <c:spPr>
            <a:ln w="37994">
              <a:solidFill>
                <a:srgbClr val="DD0806"/>
              </a:solidFill>
              <a:prstDash val="solid"/>
            </a:ln>
          </c:spPr>
          <c:marker>
            <c:symbol val="triangle"/>
            <c:size val="12"/>
            <c:spPr>
              <a:solidFill>
                <a:srgbClr val="FF0000"/>
              </a:solidFill>
            </c:spPr>
          </c:marker>
          <c:dLbls>
            <c:dLbl>
              <c:idx val="0"/>
              <c:layout>
                <c:manualLayout>
                  <c:x val="-3.9875176394454016E-2"/>
                  <c:y val="4.7442245692130298E-2"/>
                </c:manualLayout>
              </c:layout>
              <c:spPr>
                <a:noFill/>
                <a:ln w="25330">
                  <a:noFill/>
                </a:ln>
              </c:spPr>
              <c:txPr>
                <a:bodyPr/>
                <a:lstStyle/>
                <a:p>
                  <a:pPr>
                    <a:defRPr/>
                  </a:pPr>
                  <a:endParaRPr lang="en-US"/>
                </a:p>
              </c:txPr>
              <c:dLblPos val="r"/>
              <c:showVal val="1"/>
            </c:dLbl>
            <c:spPr>
              <a:noFill/>
              <a:ln w="25330">
                <a:noFill/>
              </a:ln>
            </c:spPr>
            <c:showVal val="1"/>
          </c:dLbls>
          <c:cat>
            <c:strRef>
              <c:f>Sheet1!$A$2:$A$5</c:f>
              <c:strCache>
                <c:ptCount val="4"/>
                <c:pt idx="0">
                  <c:v>2012/4 квартал</c:v>
                </c:pt>
                <c:pt idx="1">
                  <c:v>2013/4 квартал</c:v>
                </c:pt>
                <c:pt idx="2">
                  <c:v>2014/4 квартал</c:v>
                </c:pt>
                <c:pt idx="3">
                  <c:v>2015/4 квартал</c:v>
                </c:pt>
              </c:strCache>
            </c:strRef>
          </c:cat>
          <c:val>
            <c:numRef>
              <c:f>Sheet1!$D$2:$D$5</c:f>
              <c:numCache>
                <c:formatCode>0.00%</c:formatCode>
                <c:ptCount val="4"/>
                <c:pt idx="0">
                  <c:v>0.65540000000000054</c:v>
                </c:pt>
                <c:pt idx="1">
                  <c:v>0.6265000000000005</c:v>
                </c:pt>
                <c:pt idx="2">
                  <c:v>0.58809999999999996</c:v>
                </c:pt>
                <c:pt idx="3">
                  <c:v>0.60590000000000055</c:v>
                </c:pt>
              </c:numCache>
            </c:numRef>
          </c:val>
        </c:ser>
        <c:ser>
          <c:idx val="3"/>
          <c:order val="3"/>
          <c:tx>
            <c:strRef>
              <c:f>Sheet1!$E$1</c:f>
              <c:strCache>
                <c:ptCount val="1"/>
                <c:pt idx="0">
                  <c:v>Удел на Македонски Телеком АД според приходи  од обезбедување на пристап до мрежа на фиксна локација и јавно достапни телефонски услуги на фиксна локација </c:v>
                </c:pt>
              </c:strCache>
            </c:strRef>
          </c:tx>
          <c:spPr>
            <a:ln w="37994">
              <a:solidFill>
                <a:srgbClr val="865357"/>
              </a:solidFill>
              <a:prstDash val="solid"/>
            </a:ln>
          </c:spPr>
          <c:marker>
            <c:symbol val="diamond"/>
            <c:size val="12"/>
            <c:spPr>
              <a:solidFill>
                <a:srgbClr val="0070C0"/>
              </a:solidFill>
              <a:ln>
                <a:solidFill>
                  <a:srgbClr val="00CCFF"/>
                </a:solidFill>
                <a:prstDash val="solid"/>
              </a:ln>
              <a:effectLst>
                <a:outerShdw dist="35921" dir="2700000" algn="br">
                  <a:srgbClr val="000000"/>
                </a:outerShdw>
              </a:effectLst>
            </c:spPr>
          </c:marker>
          <c:dLbls>
            <c:dLbl>
              <c:idx val="0"/>
              <c:layout>
                <c:manualLayout>
                  <c:x val="-5.9812764591681403E-2"/>
                  <c:y val="-3.3887318351521929E-2"/>
                </c:manualLayout>
              </c:layout>
              <c:spPr>
                <a:noFill/>
                <a:ln w="25330">
                  <a:noFill/>
                </a:ln>
              </c:spPr>
              <c:txPr>
                <a:bodyPr/>
                <a:lstStyle/>
                <a:p>
                  <a:pPr>
                    <a:defRPr/>
                  </a:pPr>
                  <a:endParaRPr lang="en-US"/>
                </a:p>
              </c:txPr>
              <c:dLblPos val="r"/>
              <c:showVal val="1"/>
            </c:dLbl>
            <c:spPr>
              <a:noFill/>
              <a:ln w="25330">
                <a:noFill/>
              </a:ln>
            </c:spPr>
            <c:showVal val="1"/>
          </c:dLbls>
          <c:cat>
            <c:strRef>
              <c:f>Sheet1!$A$2:$A$5</c:f>
              <c:strCache>
                <c:ptCount val="4"/>
                <c:pt idx="0">
                  <c:v>2012/4 квартал</c:v>
                </c:pt>
                <c:pt idx="1">
                  <c:v>2013/4 квартал</c:v>
                </c:pt>
                <c:pt idx="2">
                  <c:v>2014/4 квартал</c:v>
                </c:pt>
                <c:pt idx="3">
                  <c:v>2015/4 квартал</c:v>
                </c:pt>
              </c:strCache>
            </c:strRef>
          </c:cat>
          <c:val>
            <c:numRef>
              <c:f>Sheet1!$E$2:$E$5</c:f>
              <c:numCache>
                <c:formatCode>0.00%</c:formatCode>
                <c:ptCount val="4"/>
                <c:pt idx="0">
                  <c:v>0.77350000000000052</c:v>
                </c:pt>
                <c:pt idx="1">
                  <c:v>0.73680000000000057</c:v>
                </c:pt>
                <c:pt idx="2">
                  <c:v>0.75220000000000053</c:v>
                </c:pt>
                <c:pt idx="3">
                  <c:v>0.78239999999999998</c:v>
                </c:pt>
              </c:numCache>
            </c:numRef>
          </c:val>
        </c:ser>
        <c:marker val="1"/>
        <c:axId val="79345152"/>
        <c:axId val="79346688"/>
      </c:lineChart>
      <c:catAx>
        <c:axId val="79345152"/>
        <c:scaling>
          <c:orientation val="minMax"/>
        </c:scaling>
        <c:axPos val="b"/>
        <c:numFmt formatCode="General" sourceLinked="1"/>
        <c:tickLblPos val="nextTo"/>
        <c:spPr>
          <a:ln w="3166">
            <a:solidFill>
              <a:srgbClr val="808080"/>
            </a:solidFill>
            <a:prstDash val="solid"/>
          </a:ln>
        </c:spPr>
        <c:txPr>
          <a:bodyPr/>
          <a:lstStyle/>
          <a:p>
            <a:pPr>
              <a:defRPr b="1"/>
            </a:pPr>
            <a:endParaRPr lang="en-US"/>
          </a:p>
        </c:txPr>
        <c:crossAx val="79346688"/>
        <c:crosses val="autoZero"/>
        <c:auto val="1"/>
        <c:lblAlgn val="ctr"/>
        <c:lblOffset val="100"/>
      </c:catAx>
      <c:valAx>
        <c:axId val="79346688"/>
        <c:scaling>
          <c:orientation val="minMax"/>
        </c:scaling>
        <c:axPos val="l"/>
        <c:majorGridlines>
          <c:spPr>
            <a:ln w="3166">
              <a:solidFill>
                <a:srgbClr val="808080"/>
              </a:solidFill>
              <a:prstDash val="solid"/>
            </a:ln>
          </c:spPr>
        </c:majorGridlines>
        <c:numFmt formatCode="0%" sourceLinked="0"/>
        <c:tickLblPos val="nextTo"/>
        <c:spPr>
          <a:ln w="3166">
            <a:solidFill>
              <a:srgbClr val="808080"/>
            </a:solidFill>
            <a:prstDash val="solid"/>
          </a:ln>
        </c:spPr>
        <c:txPr>
          <a:bodyPr/>
          <a:lstStyle/>
          <a:p>
            <a:pPr>
              <a:defRPr b="1"/>
            </a:pPr>
            <a:endParaRPr lang="en-US"/>
          </a:p>
        </c:txPr>
        <c:crossAx val="79345152"/>
        <c:crosses val="autoZero"/>
        <c:crossBetween val="between"/>
      </c:valAx>
      <c:spPr>
        <a:solidFill>
          <a:srgbClr val="FFFFFF"/>
        </a:solidFill>
        <a:ln w="25330">
          <a:noFill/>
        </a:ln>
      </c:spPr>
    </c:plotArea>
    <c:legend>
      <c:legendPos val="r"/>
      <c:layout>
        <c:manualLayout>
          <c:xMode val="edge"/>
          <c:yMode val="edge"/>
          <c:x val="7.0422535211267623E-2"/>
          <c:y val="0.67627494456762705"/>
          <c:w val="0.84976525821596205"/>
          <c:h val="0.31929046563192925"/>
        </c:manualLayout>
      </c:layout>
      <c:spPr>
        <a:noFill/>
        <a:ln w="25330">
          <a:noFill/>
        </a:ln>
      </c:spPr>
    </c:legend>
    <c:plotVisOnly val="1"/>
    <c:dispBlanksAs val="gap"/>
  </c:chart>
  <c:spPr>
    <a:solidFill>
      <a:srgbClr val="FFFFFF"/>
    </a:solidFill>
    <a:ln w="3166">
      <a:solidFill>
        <a:srgbClr val="808080"/>
      </a:solidFill>
      <a:prstDash val="solid"/>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autoTitleDeleted val="1"/>
    <c:view3D>
      <c:rotX val="30"/>
      <c:perspective val="30"/>
    </c:view3D>
    <c:plotArea>
      <c:layout>
        <c:manualLayout>
          <c:layoutTarget val="inner"/>
          <c:xMode val="edge"/>
          <c:yMode val="edge"/>
          <c:x val="0.17005542315397401"/>
          <c:y val="0.14039189166486901"/>
          <c:w val="0.77622471654563485"/>
          <c:h val="0.75308227826329954"/>
        </c:manualLayout>
      </c:layout>
      <c:pie3DChart>
        <c:varyColors val="1"/>
        <c:ser>
          <c:idx val="0"/>
          <c:order val="0"/>
          <c:tx>
            <c:strRef>
              <c:f>Sheet1!$B$1</c:f>
              <c:strCache>
                <c:ptCount val="1"/>
                <c:pt idx="0">
                  <c:v>Sales</c:v>
                </c:pt>
              </c:strCache>
            </c:strRef>
          </c:tx>
          <c:spPr>
            <a:gradFill rotWithShape="0">
              <a:gsLst>
                <a:gs pos="0">
                  <a:srgbClr val="2C5D98"/>
                </a:gs>
                <a:gs pos="80000">
                  <a:srgbClr val="3C7BC7"/>
                </a:gs>
                <a:gs pos="100000">
                  <a:srgbClr val="3A7CCB"/>
                </a:gs>
              </a:gsLst>
              <a:lin ang="16200000"/>
            </a:gradFill>
            <a:ln w="25292">
              <a:noFill/>
            </a:ln>
            <a:effectLst>
              <a:outerShdw dist="35921" dir="2700000" algn="br">
                <a:srgbClr val="000000"/>
              </a:outerShdw>
            </a:effectLst>
          </c:spPr>
          <c:explosion val="25"/>
          <c:dPt>
            <c:idx val="0"/>
            <c:spPr>
              <a:gradFill rotWithShape="0">
                <a:gsLst>
                  <a:gs pos="0">
                    <a:srgbClr val="265186"/>
                  </a:gs>
                  <a:gs pos="80000">
                    <a:srgbClr val="346CB0"/>
                  </a:gs>
                  <a:gs pos="100000">
                    <a:srgbClr val="326DB3"/>
                  </a:gs>
                </a:gsLst>
                <a:lin ang="16200000"/>
              </a:gradFill>
              <a:ln w="25292">
                <a:noFill/>
              </a:ln>
              <a:effectLst>
                <a:outerShdw dist="35921" dir="2700000" algn="br">
                  <a:srgbClr val="000000"/>
                </a:outerShdw>
              </a:effectLst>
            </c:spPr>
          </c:dPt>
          <c:dPt>
            <c:idx val="1"/>
            <c:spPr>
              <a:gradFill rotWithShape="0">
                <a:gsLst>
                  <a:gs pos="0">
                    <a:srgbClr val="882624"/>
                  </a:gs>
                  <a:gs pos="80000">
                    <a:srgbClr val="B33532"/>
                  </a:gs>
                  <a:gs pos="100000">
                    <a:srgbClr val="B73330"/>
                  </a:gs>
                </a:gsLst>
                <a:lin ang="16200000"/>
              </a:gradFill>
              <a:ln w="25292">
                <a:noFill/>
              </a:ln>
              <a:effectLst>
                <a:outerShdw dist="35921" dir="2700000" algn="br">
                  <a:srgbClr val="000000"/>
                </a:outerShdw>
              </a:effectLst>
            </c:spPr>
          </c:dPt>
          <c:dPt>
            <c:idx val="2"/>
            <c:spPr>
              <a:gradFill rotWithShape="0">
                <a:gsLst>
                  <a:gs pos="0">
                    <a:srgbClr val="67832D"/>
                  </a:gs>
                  <a:gs pos="80000">
                    <a:srgbClr val="89AD3E"/>
                  </a:gs>
                  <a:gs pos="100000">
                    <a:srgbClr val="8AB03D"/>
                  </a:gs>
                </a:gsLst>
                <a:lin ang="16200000"/>
              </a:gradFill>
              <a:ln w="25292">
                <a:noFill/>
              </a:ln>
              <a:effectLst>
                <a:outerShdw dist="35921" dir="2700000" algn="br">
                  <a:srgbClr val="000000"/>
                </a:outerShdw>
              </a:effectLst>
            </c:spPr>
          </c:dPt>
          <c:dPt>
            <c:idx val="3"/>
            <c:spPr>
              <a:gradFill rotWithShape="0">
                <a:gsLst>
                  <a:gs pos="0">
                    <a:srgbClr val="51396F"/>
                  </a:gs>
                  <a:gs pos="80000">
                    <a:srgbClr val="6C4D92"/>
                  </a:gs>
                  <a:gs pos="100000">
                    <a:srgbClr val="6D4C94"/>
                  </a:gs>
                </a:gsLst>
                <a:lin ang="16200000"/>
              </a:gradFill>
              <a:ln w="25292">
                <a:noFill/>
              </a:ln>
              <a:effectLst>
                <a:outerShdw dist="35921" dir="2700000" algn="br">
                  <a:srgbClr val="000000"/>
                </a:outerShdw>
              </a:effectLst>
            </c:spPr>
          </c:dPt>
          <c:dPt>
            <c:idx val="4"/>
            <c:spPr>
              <a:gradFill rotWithShape="0">
                <a:gsLst>
                  <a:gs pos="0">
                    <a:srgbClr val="22768D"/>
                  </a:gs>
                  <a:gs pos="80000">
                    <a:srgbClr val="2F9CB9"/>
                  </a:gs>
                  <a:gs pos="100000">
                    <a:srgbClr val="2D9EBD"/>
                  </a:gs>
                </a:gsLst>
                <a:lin ang="16200000"/>
              </a:gradFill>
              <a:ln w="25292">
                <a:noFill/>
              </a:ln>
              <a:effectLst>
                <a:outerShdw dist="35921" dir="2700000" algn="br">
                  <a:srgbClr val="000000"/>
                </a:outerShdw>
              </a:effectLst>
            </c:spPr>
          </c:dPt>
          <c:dPt>
            <c:idx val="5"/>
            <c:spPr>
              <a:gradFill rotWithShape="0">
                <a:gsLst>
                  <a:gs pos="0">
                    <a:srgbClr val="B45F19"/>
                  </a:gs>
                  <a:gs pos="80000">
                    <a:srgbClr val="EB7E24"/>
                  </a:gs>
                  <a:gs pos="100000">
                    <a:srgbClr val="F07E20"/>
                  </a:gs>
                </a:gsLst>
                <a:lin ang="16200000"/>
              </a:gradFill>
              <a:ln w="25292">
                <a:noFill/>
              </a:ln>
              <a:effectLst>
                <a:outerShdw dist="35921" dir="2700000" algn="br">
                  <a:srgbClr val="000000"/>
                </a:outerShdw>
              </a:effectLst>
            </c:spPr>
          </c:dPt>
          <c:dPt>
            <c:idx val="6"/>
            <c:spPr>
              <a:gradFill rotWithShape="0">
                <a:gsLst>
                  <a:gs pos="0">
                    <a:srgbClr val="657B9F"/>
                  </a:gs>
                  <a:gs pos="80000">
                    <a:srgbClr val="85A2D1"/>
                  </a:gs>
                  <a:gs pos="100000">
                    <a:srgbClr val="84A2D3"/>
                  </a:gs>
                </a:gsLst>
                <a:lin ang="16200000"/>
              </a:gradFill>
              <a:ln w="25292">
                <a:noFill/>
              </a:ln>
              <a:effectLst>
                <a:outerShdw dist="35921" dir="2700000" algn="br">
                  <a:srgbClr val="000000"/>
                </a:outerShdw>
              </a:effectLst>
            </c:spPr>
          </c:dPt>
          <c:dPt>
            <c:idx val="7"/>
            <c:spPr>
              <a:gradFill rotWithShape="0">
                <a:gsLst>
                  <a:gs pos="0">
                    <a:srgbClr val="A16564"/>
                  </a:gs>
                  <a:gs pos="80000">
                    <a:srgbClr val="D38584"/>
                  </a:gs>
                  <a:gs pos="100000">
                    <a:srgbClr val="D68583"/>
                  </a:gs>
                </a:gsLst>
                <a:lin ang="16200000"/>
              </a:gradFill>
              <a:ln w="25292">
                <a:noFill/>
              </a:ln>
              <a:effectLst>
                <a:outerShdw dist="35921" dir="2700000" algn="br">
                  <a:srgbClr val="000000"/>
                </a:outerShdw>
              </a:effectLst>
            </c:spPr>
          </c:dPt>
          <c:dPt>
            <c:idx val="8"/>
            <c:spPr>
              <a:gradFill rotWithShape="0">
                <a:gsLst>
                  <a:gs pos="0">
                    <a:srgbClr val="899E68"/>
                  </a:gs>
                  <a:gs pos="80000">
                    <a:srgbClr val="B5CF8A"/>
                  </a:gs>
                  <a:gs pos="100000">
                    <a:srgbClr val="B6D189"/>
                  </a:gs>
                </a:gsLst>
                <a:lin ang="16200000"/>
              </a:gradFill>
              <a:ln w="25292">
                <a:noFill/>
              </a:ln>
              <a:effectLst>
                <a:outerShdw dist="35921" dir="2700000" algn="br">
                  <a:srgbClr val="000000"/>
                </a:outerShdw>
              </a:effectLst>
            </c:spPr>
          </c:dPt>
          <c:dPt>
            <c:idx val="9"/>
            <c:spPr>
              <a:gradFill rotWithShape="0">
                <a:gsLst>
                  <a:gs pos="0">
                    <a:srgbClr val="7B6E8F"/>
                  </a:gs>
                  <a:gs pos="80000">
                    <a:srgbClr val="A391BC"/>
                  </a:gs>
                  <a:gs pos="100000">
                    <a:srgbClr val="A391BD"/>
                  </a:gs>
                </a:gsLst>
                <a:lin ang="16200000"/>
              </a:gradFill>
              <a:ln w="25292">
                <a:noFill/>
              </a:ln>
              <a:effectLst>
                <a:outerShdw dist="35921" dir="2700000" algn="br">
                  <a:srgbClr val="000000"/>
                </a:outerShdw>
              </a:effectLst>
            </c:spPr>
          </c:dPt>
          <c:dPt>
            <c:idx val="10"/>
            <c:spPr>
              <a:gradFill rotWithShape="0">
                <a:gsLst>
                  <a:gs pos="0">
                    <a:srgbClr val="6394A5"/>
                  </a:gs>
                  <a:gs pos="80000">
                    <a:srgbClr val="83C2D8"/>
                  </a:gs>
                  <a:gs pos="100000">
                    <a:srgbClr val="82C4DB"/>
                  </a:gs>
                </a:gsLst>
                <a:lin ang="16200000"/>
              </a:gradFill>
              <a:ln w="25292">
                <a:noFill/>
              </a:ln>
              <a:effectLst>
                <a:outerShdw dist="35921" dir="2700000" algn="br">
                  <a:srgbClr val="000000"/>
                </a:outerShdw>
              </a:effectLst>
            </c:spPr>
          </c:dPt>
          <c:dLbls>
            <c:dLbl>
              <c:idx val="0"/>
              <c:layout>
                <c:manualLayout>
                  <c:x val="-9.3222504418740693E-2"/>
                  <c:y val="0.225362527392694"/>
                </c:manualLayout>
              </c:layout>
              <c:dLblPos val="bestFit"/>
              <c:showLegendKey val="1"/>
              <c:showVal val="1"/>
              <c:showCatName val="1"/>
            </c:dLbl>
            <c:dLbl>
              <c:idx val="1"/>
              <c:layout>
                <c:manualLayout>
                  <c:x val="-7.7838167981992029E-2"/>
                  <c:y val="0.17767813642608501"/>
                </c:manualLayout>
              </c:layout>
              <c:dLblPos val="bestFit"/>
              <c:showVal val="1"/>
              <c:showCatName val="1"/>
            </c:dLbl>
            <c:dLbl>
              <c:idx val="2"/>
              <c:layout>
                <c:manualLayout>
                  <c:x val="-9.4290758519171125E-2"/>
                  <c:y val="0.16487959178654488"/>
                </c:manualLayout>
              </c:layout>
              <c:dLblPos val="bestFit"/>
              <c:showVal val="1"/>
              <c:showCatName val="1"/>
            </c:dLbl>
            <c:dLbl>
              <c:idx val="3"/>
              <c:layout>
                <c:manualLayout>
                  <c:x val="-0.16043857010083901"/>
                  <c:y val="9.8556537124785765E-2"/>
                </c:manualLayout>
              </c:layout>
              <c:dLblPos val="bestFit"/>
              <c:showVal val="1"/>
              <c:showCatName val="1"/>
            </c:dLbl>
            <c:dLbl>
              <c:idx val="4"/>
              <c:layout>
                <c:manualLayout>
                  <c:x val="-0.18731331155750428"/>
                  <c:y val="5.5133675017797014E-2"/>
                </c:manualLayout>
              </c:layout>
              <c:dLblPos val="bestFit"/>
              <c:showVal val="1"/>
              <c:showCatName val="1"/>
            </c:dLbl>
            <c:dLbl>
              <c:idx val="5"/>
              <c:layout>
                <c:manualLayout>
                  <c:x val="-0.22800484449793623"/>
                  <c:y val="-3.134515160115571E-2"/>
                </c:manualLayout>
              </c:layout>
              <c:dLblPos val="bestFit"/>
              <c:showVal val="1"/>
              <c:showCatName val="1"/>
            </c:dLbl>
            <c:dLbl>
              <c:idx val="6"/>
              <c:delete val="1"/>
            </c:dLbl>
            <c:dLbl>
              <c:idx val="7"/>
              <c:delete val="1"/>
            </c:dLbl>
            <c:dLbl>
              <c:idx val="8"/>
              <c:layout>
                <c:manualLayout>
                  <c:x val="5.1864190053166441E-3"/>
                  <c:y val="-8.4685351831021147E-2"/>
                </c:manualLayout>
              </c:layout>
              <c:dLblPos val="bestFit"/>
              <c:showVal val="1"/>
              <c:showCatName val="1"/>
            </c:dLbl>
            <c:dLbl>
              <c:idx val="9"/>
              <c:layout>
                <c:manualLayout>
                  <c:x val="0.18173598492496132"/>
                  <c:y val="5.5935508061492299E-2"/>
                </c:manualLayout>
              </c:layout>
              <c:dLblPos val="bestFit"/>
              <c:showVal val="1"/>
              <c:showCatName val="1"/>
            </c:dLbl>
            <c:dLbl>
              <c:idx val="10"/>
              <c:layout>
                <c:manualLayout>
                  <c:x val="0.29068645265495663"/>
                  <c:y val="-3.7572178477690302E-2"/>
                </c:manualLayout>
              </c:layout>
              <c:dLblPos val="bestFit"/>
              <c:showVal val="1"/>
              <c:showCatName val="1"/>
            </c:dLbl>
            <c:spPr>
              <a:noFill/>
              <a:ln w="25292">
                <a:noFill/>
              </a:ln>
            </c:spPr>
            <c:txPr>
              <a:bodyPr/>
              <a:lstStyle/>
              <a:p>
                <a:pPr>
                  <a:defRPr sz="996" b="1" i="0" u="none" strike="noStrike" baseline="0">
                    <a:solidFill>
                      <a:srgbClr val="000000"/>
                    </a:solidFill>
                    <a:latin typeface="Cambria"/>
                    <a:ea typeface="Cambria"/>
                    <a:cs typeface="Cambria"/>
                  </a:defRPr>
                </a:pPr>
                <a:endParaRPr lang="en-US"/>
              </a:p>
            </c:txPr>
            <c:showVal val="1"/>
            <c:showCatName val="1"/>
            <c:showLeaderLines val="1"/>
          </c:dLbls>
          <c:cat>
            <c:strRef>
              <c:f>Sheet1!$A$2:$A$12</c:f>
              <c:strCache>
                <c:ptCount val="11"/>
                <c:pt idx="0">
                  <c:v>Македонски телеком</c:v>
                </c:pt>
                <c:pt idx="1">
                  <c:v>оне.ВИП</c:v>
                </c:pt>
                <c:pt idx="2">
                  <c:v>Неотел</c:v>
                </c:pt>
                <c:pt idx="3">
                  <c:v>Роби</c:v>
                </c:pt>
                <c:pt idx="4">
                  <c:v>Близу</c:v>
                </c:pt>
                <c:pt idx="5">
                  <c:v>Инфел Нет Плус</c:v>
                </c:pt>
                <c:pt idx="8">
                  <c:v>ГИВ Иван</c:v>
                </c:pt>
                <c:pt idx="9">
                  <c:v>Алтра Сат 2000</c:v>
                </c:pt>
                <c:pt idx="10">
                  <c:v>Кабле Калл</c:v>
                </c:pt>
              </c:strCache>
            </c:strRef>
          </c:cat>
          <c:val>
            <c:numRef>
              <c:f>Sheet1!$B$2:$B$12</c:f>
              <c:numCache>
                <c:formatCode>0.00%</c:formatCode>
                <c:ptCount val="11"/>
                <c:pt idx="0">
                  <c:v>0.60590000000000055</c:v>
                </c:pt>
                <c:pt idx="1">
                  <c:v>0.14630000000000001</c:v>
                </c:pt>
                <c:pt idx="2">
                  <c:v>3.8400000000000011E-2</c:v>
                </c:pt>
                <c:pt idx="3">
                  <c:v>6.9000000000000034E-2</c:v>
                </c:pt>
                <c:pt idx="4">
                  <c:v>0.12570000000000001</c:v>
                </c:pt>
                <c:pt idx="5">
                  <c:v>1.2400000000000001E-2</c:v>
                </c:pt>
                <c:pt idx="8">
                  <c:v>1.3000000000000021E-3</c:v>
                </c:pt>
                <c:pt idx="9">
                  <c:v>5.0000000000000034E-4</c:v>
                </c:pt>
                <c:pt idx="10">
                  <c:v>4.0000000000000034E-4</c:v>
                </c:pt>
              </c:numCache>
            </c:numRef>
          </c:val>
        </c:ser>
      </c:pie3DChart>
      <c:spPr>
        <a:noFill/>
        <a:ln w="25292">
          <a:noFill/>
        </a:ln>
      </c:spPr>
    </c:plotArea>
    <c:plotVisOnly val="1"/>
    <c:dispBlanksAs val="zero"/>
  </c:chart>
  <c:spPr>
    <a:solidFill>
      <a:srgbClr val="FFFFFF"/>
    </a:solidFill>
    <a:ln w="3161">
      <a:solidFill>
        <a:srgbClr val="808080"/>
      </a:solidFill>
      <a:prstDash val="solid"/>
    </a:ln>
  </c:spPr>
  <c:txPr>
    <a:bodyPr/>
    <a:lstStyle/>
    <a:p>
      <a:pPr>
        <a:defRPr sz="996" b="0" i="0" u="none" strike="noStrike" baseline="0">
          <a:solidFill>
            <a:srgbClr val="000000"/>
          </a:solidFill>
          <a:latin typeface="Calibri"/>
          <a:ea typeface="Calibri"/>
          <a:cs typeface="Calibri"/>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6"/>
  <c:clrMapOvr bg1="lt1" tx1="dk1" bg2="lt2" tx2="dk2" accent1="accent1" accent2="accent2" accent3="accent3" accent4="accent4" accent5="accent5" accent6="accent6" hlink="hlink" folHlink="folHlink"/>
  <c:chart>
    <c:plotArea>
      <c:layout/>
      <c:barChart>
        <c:barDir val="col"/>
        <c:grouping val="stacked"/>
        <c:ser>
          <c:idx val="0"/>
          <c:order val="0"/>
          <c:tx>
            <c:strRef>
              <c:f>Sheet1!$B$1</c:f>
              <c:strCache>
                <c:ptCount val="1"/>
                <c:pt idx="0">
                  <c:v>поединечна услуга</c:v>
                </c:pt>
              </c:strCache>
            </c:strRef>
          </c:tx>
          <c:spPr>
            <a:gradFill rotWithShape="0">
              <a:gsLst>
                <a:gs pos="0">
                  <a:srgbClr val="2C5D98"/>
                </a:gs>
                <a:gs pos="80000">
                  <a:srgbClr val="3C7BC7"/>
                </a:gs>
                <a:gs pos="100000">
                  <a:srgbClr val="3A7CCB"/>
                </a:gs>
              </a:gsLst>
              <a:lin ang="16200000"/>
            </a:gradFill>
            <a:ln w="25396">
              <a:noFill/>
            </a:ln>
            <a:effectLst>
              <a:outerShdw dist="35921" dir="2700000" algn="br">
                <a:srgbClr val="000000"/>
              </a:outerShdw>
            </a:effectLst>
          </c:spPr>
          <c:dLbls>
            <c:dLbl>
              <c:idx val="0"/>
              <c:layout>
                <c:manualLayout>
                  <c:x val="8.3333333333333343E-2"/>
                  <c:y val="-7.9365079365079333E-2"/>
                </c:manualLayout>
              </c:layout>
              <c:dLblPos val="ctr"/>
              <c:showVal val="1"/>
            </c:dLbl>
            <c:dLbl>
              <c:idx val="1"/>
              <c:layout>
                <c:manualLayout>
                  <c:x val="8.5648148148148223E-2"/>
                  <c:y val="3.9682539682539802E-3"/>
                </c:manualLayout>
              </c:layout>
              <c:dLblPos val="ctr"/>
              <c:showVal val="1"/>
            </c:dLbl>
            <c:dLbl>
              <c:idx val="2"/>
              <c:layout>
                <c:manualLayout>
                  <c:x val="8.7962962962963548E-2"/>
                  <c:y val="-8.7301587301587089E-2"/>
                </c:manualLayout>
              </c:layout>
              <c:dLblPos val="ctr"/>
              <c:showVal val="1"/>
            </c:dLbl>
            <c:spPr>
              <a:noFill/>
              <a:ln w="25396">
                <a:noFill/>
              </a:ln>
            </c:spPr>
            <c:txPr>
              <a:bodyPr/>
              <a:lstStyle/>
              <a:p>
                <a:pPr>
                  <a:defRPr b="1"/>
                </a:pPr>
                <a:endParaRPr lang="en-US"/>
              </a:p>
            </c:txPr>
            <c:showVal val="1"/>
          </c:dLbls>
          <c:cat>
            <c:strRef>
              <c:f>Sheet1!$A$2:$A$4</c:f>
              <c:strCache>
                <c:ptCount val="3"/>
                <c:pt idx="0">
                  <c:v>Фиксна телефонија</c:v>
                </c:pt>
                <c:pt idx="1">
                  <c:v>Интернет</c:v>
                </c:pt>
                <c:pt idx="2">
                  <c:v>ТВ</c:v>
                </c:pt>
              </c:strCache>
            </c:strRef>
          </c:cat>
          <c:val>
            <c:numRef>
              <c:f>Sheet1!$B$2:$B$4</c:f>
              <c:numCache>
                <c:formatCode>0.00%</c:formatCode>
                <c:ptCount val="3"/>
                <c:pt idx="0">
                  <c:v>0.29260000000000008</c:v>
                </c:pt>
                <c:pt idx="1">
                  <c:v>0.1641</c:v>
                </c:pt>
                <c:pt idx="2">
                  <c:v>0.32270000000000026</c:v>
                </c:pt>
              </c:numCache>
            </c:numRef>
          </c:val>
        </c:ser>
        <c:ser>
          <c:idx val="1"/>
          <c:order val="1"/>
          <c:tx>
            <c:strRef>
              <c:f>Sheet1!$C$1</c:f>
              <c:strCache>
                <c:ptCount val="1"/>
                <c:pt idx="0">
                  <c:v>услуга врзана во пакет</c:v>
                </c:pt>
              </c:strCache>
            </c:strRef>
          </c:tx>
          <c:spPr>
            <a:gradFill rotWithShape="0">
              <a:gsLst>
                <a:gs pos="0">
                  <a:srgbClr val="9B2D2A"/>
                </a:gs>
                <a:gs pos="80000">
                  <a:srgbClr val="CB3D3A"/>
                </a:gs>
                <a:gs pos="100000">
                  <a:srgbClr val="CE3B37"/>
                </a:gs>
              </a:gsLst>
              <a:lin ang="16200000"/>
            </a:gradFill>
            <a:ln w="25396">
              <a:noFill/>
            </a:ln>
            <a:effectLst>
              <a:outerShdw dist="35921" dir="2700000" algn="br">
                <a:srgbClr val="000000"/>
              </a:outerShdw>
            </a:effectLst>
          </c:spPr>
          <c:dLbls>
            <c:dLbl>
              <c:idx val="0"/>
              <c:layout>
                <c:manualLayout>
                  <c:x val="0"/>
                  <c:y val="-0.26510967379077627"/>
                </c:manualLayout>
              </c:layout>
              <c:dLblPos val="ctr"/>
              <c:showVal val="1"/>
            </c:dLbl>
            <c:dLbl>
              <c:idx val="1"/>
              <c:layout>
                <c:manualLayout>
                  <c:x val="0"/>
                  <c:y val="-0.31900949881267543"/>
                </c:manualLayout>
              </c:layout>
              <c:dLblPos val="ctr"/>
              <c:showVal val="1"/>
            </c:dLbl>
            <c:dLbl>
              <c:idx val="2"/>
              <c:layout>
                <c:manualLayout>
                  <c:x val="0"/>
                  <c:y val="-0.26384889388826543"/>
                </c:manualLayout>
              </c:layout>
              <c:dLblPos val="ctr"/>
              <c:showVal val="1"/>
            </c:dLbl>
            <c:spPr>
              <a:noFill/>
              <a:ln w="25396">
                <a:noFill/>
              </a:ln>
            </c:spPr>
            <c:txPr>
              <a:bodyPr/>
              <a:lstStyle/>
              <a:p>
                <a:pPr>
                  <a:defRPr b="1"/>
                </a:pPr>
                <a:endParaRPr lang="en-US"/>
              </a:p>
            </c:txPr>
            <c:dLblPos val="inEnd"/>
            <c:showVal val="1"/>
          </c:dLbls>
          <c:cat>
            <c:strRef>
              <c:f>Sheet1!$A$2:$A$4</c:f>
              <c:strCache>
                <c:ptCount val="3"/>
                <c:pt idx="0">
                  <c:v>Фиксна телефонија</c:v>
                </c:pt>
                <c:pt idx="1">
                  <c:v>Интернет</c:v>
                </c:pt>
                <c:pt idx="2">
                  <c:v>ТВ</c:v>
                </c:pt>
              </c:strCache>
            </c:strRef>
          </c:cat>
          <c:val>
            <c:numRef>
              <c:f>Sheet1!$C$2:$C$4</c:f>
              <c:numCache>
                <c:formatCode>0.00%</c:formatCode>
                <c:ptCount val="3"/>
                <c:pt idx="0">
                  <c:v>0.70740000000000003</c:v>
                </c:pt>
                <c:pt idx="1">
                  <c:v>0.83590000000000053</c:v>
                </c:pt>
                <c:pt idx="2">
                  <c:v>0.67730000000000068</c:v>
                </c:pt>
              </c:numCache>
            </c:numRef>
          </c:val>
        </c:ser>
        <c:overlap val="100"/>
        <c:axId val="72698112"/>
        <c:axId val="73183232"/>
      </c:barChart>
      <c:catAx>
        <c:axId val="72698112"/>
        <c:scaling>
          <c:orientation val="minMax"/>
        </c:scaling>
        <c:axPos val="b"/>
        <c:numFmt formatCode="General" sourceLinked="1"/>
        <c:tickLblPos val="nextTo"/>
        <c:spPr>
          <a:ln w="3174">
            <a:solidFill>
              <a:srgbClr val="808080"/>
            </a:solidFill>
            <a:prstDash val="solid"/>
          </a:ln>
        </c:spPr>
        <c:txPr>
          <a:bodyPr/>
          <a:lstStyle/>
          <a:p>
            <a:pPr>
              <a:defRPr>
                <a:latin typeface="Cambria" pitchFamily="18" charset="0"/>
              </a:defRPr>
            </a:pPr>
            <a:endParaRPr lang="en-US"/>
          </a:p>
        </c:txPr>
        <c:crossAx val="73183232"/>
        <c:crosses val="autoZero"/>
        <c:auto val="1"/>
        <c:lblAlgn val="ctr"/>
        <c:lblOffset val="100"/>
      </c:catAx>
      <c:valAx>
        <c:axId val="73183232"/>
        <c:scaling>
          <c:orientation val="minMax"/>
        </c:scaling>
        <c:axPos val="l"/>
        <c:majorGridlines>
          <c:spPr>
            <a:ln w="3174">
              <a:solidFill>
                <a:srgbClr val="808080"/>
              </a:solidFill>
              <a:prstDash val="solid"/>
            </a:ln>
          </c:spPr>
        </c:majorGridlines>
        <c:numFmt formatCode="0.00%" sourceLinked="1"/>
        <c:tickLblPos val="nextTo"/>
        <c:spPr>
          <a:ln w="3174">
            <a:solidFill>
              <a:srgbClr val="808080"/>
            </a:solidFill>
            <a:prstDash val="solid"/>
          </a:ln>
        </c:spPr>
        <c:txPr>
          <a:bodyPr/>
          <a:lstStyle/>
          <a:p>
            <a:pPr>
              <a:defRPr>
                <a:latin typeface="Cambria" pitchFamily="18" charset="0"/>
              </a:defRPr>
            </a:pPr>
            <a:endParaRPr lang="en-US"/>
          </a:p>
        </c:txPr>
        <c:crossAx val="72698112"/>
        <c:crosses val="autoZero"/>
        <c:crossBetween val="between"/>
      </c:valAx>
      <c:spPr>
        <a:solidFill>
          <a:srgbClr val="FFFFFF"/>
        </a:solidFill>
        <a:ln w="25396">
          <a:noFill/>
        </a:ln>
      </c:spPr>
    </c:plotArea>
    <c:legend>
      <c:legendPos val="r"/>
      <c:layout>
        <c:manualLayout>
          <c:xMode val="edge"/>
          <c:yMode val="edge"/>
          <c:x val="0.7061503416856485"/>
          <c:y val="0.42323651452282202"/>
          <c:w val="0.2733485193621874"/>
          <c:h val="0.14522821576763517"/>
        </c:manualLayout>
      </c:layout>
      <c:spPr>
        <a:noFill/>
        <a:ln w="25396">
          <a:noFill/>
        </a:ln>
      </c:spPr>
      <c:txPr>
        <a:bodyPr/>
        <a:lstStyle/>
        <a:p>
          <a:pPr>
            <a:defRPr>
              <a:latin typeface="Cambria" pitchFamily="18" charset="0"/>
            </a:defRPr>
          </a:pPr>
          <a:endParaRPr lang="en-US"/>
        </a:p>
      </c:txPr>
    </c:legend>
    <c:plotVisOnly val="1"/>
    <c:dispBlanksAs val="gap"/>
  </c:chart>
  <c:spPr>
    <a:solidFill>
      <a:srgbClr val="FFFFFF"/>
    </a:solidFill>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95" b="1" i="0" u="none" strike="noStrike" baseline="0">
                <a:solidFill>
                  <a:srgbClr val="000000"/>
                </a:solidFill>
                <a:latin typeface="Calibri"/>
                <a:ea typeface="Calibri"/>
                <a:cs typeface="Calibri"/>
              </a:defRPr>
            </a:pPr>
            <a:r>
              <a:rPr lang="mk-MK"/>
              <a:t>Мрежи на алтернативни оператори за широкопојасен пристап на малопродажен пазар</a:t>
            </a:r>
          </a:p>
        </c:rich>
      </c:tx>
      <c:layout/>
      <c:spPr>
        <a:noFill/>
        <a:ln w="25297">
          <a:noFill/>
        </a:ln>
      </c:spPr>
    </c:title>
    <c:plotArea>
      <c:layout/>
      <c:barChart>
        <c:barDir val="col"/>
        <c:grouping val="clustered"/>
        <c:ser>
          <c:idx val="0"/>
          <c:order val="0"/>
          <c:tx>
            <c:strRef>
              <c:f>Sheet1!$B$1</c:f>
              <c:strCache>
                <c:ptCount val="1"/>
                <c:pt idx="0">
                  <c:v>CaTV</c:v>
                </c:pt>
              </c:strCache>
            </c:strRef>
          </c:tx>
          <c:spPr>
            <a:solidFill>
              <a:srgbClr val="4F81BD"/>
            </a:solidFill>
            <a:ln w="25297">
              <a:noFill/>
            </a:ln>
          </c:spPr>
          <c:cat>
            <c:strRef>
              <c:f>Sheet1!$A$2:$A$7</c:f>
              <c:strCache>
                <c:ptCount val="6"/>
                <c:pt idx="0">
                  <c:v>Северен централен</c:v>
                </c:pt>
                <c:pt idx="1">
                  <c:v>Северен западен</c:v>
                </c:pt>
                <c:pt idx="2">
                  <c:v>Северен источен</c:v>
                </c:pt>
                <c:pt idx="3">
                  <c:v>Јужен централен</c:v>
                </c:pt>
                <c:pt idx="4">
                  <c:v>Јужен западен</c:v>
                </c:pt>
                <c:pt idx="5">
                  <c:v>Јужен источен</c:v>
                </c:pt>
              </c:strCache>
            </c:strRef>
          </c:cat>
          <c:val>
            <c:numRef>
              <c:f>Sheet1!$B$2:$B$7</c:f>
              <c:numCache>
                <c:formatCode>General</c:formatCode>
                <c:ptCount val="6"/>
                <c:pt idx="0">
                  <c:v>4</c:v>
                </c:pt>
                <c:pt idx="1">
                  <c:v>2</c:v>
                </c:pt>
                <c:pt idx="2">
                  <c:v>3</c:v>
                </c:pt>
                <c:pt idx="3">
                  <c:v>8</c:v>
                </c:pt>
                <c:pt idx="4">
                  <c:v>2</c:v>
                </c:pt>
                <c:pt idx="5">
                  <c:v>4</c:v>
                </c:pt>
              </c:numCache>
            </c:numRef>
          </c:val>
        </c:ser>
        <c:ser>
          <c:idx val="1"/>
          <c:order val="1"/>
          <c:tx>
            <c:strRef>
              <c:f>Sheet1!$C$1</c:f>
              <c:strCache>
                <c:ptCount val="1"/>
                <c:pt idx="0">
                  <c:v>LAN</c:v>
                </c:pt>
              </c:strCache>
            </c:strRef>
          </c:tx>
          <c:spPr>
            <a:solidFill>
              <a:srgbClr val="C0504D"/>
            </a:solidFill>
            <a:ln w="25297">
              <a:noFill/>
            </a:ln>
          </c:spPr>
          <c:cat>
            <c:strRef>
              <c:f>Sheet1!$A$2:$A$7</c:f>
              <c:strCache>
                <c:ptCount val="6"/>
                <c:pt idx="0">
                  <c:v>Северен централен</c:v>
                </c:pt>
                <c:pt idx="1">
                  <c:v>Северен западен</c:v>
                </c:pt>
                <c:pt idx="2">
                  <c:v>Северен источен</c:v>
                </c:pt>
                <c:pt idx="3">
                  <c:v>Јужен централен</c:v>
                </c:pt>
                <c:pt idx="4">
                  <c:v>Јужен западен</c:v>
                </c:pt>
                <c:pt idx="5">
                  <c:v>Јужен источен</c:v>
                </c:pt>
              </c:strCache>
            </c:strRef>
          </c:cat>
          <c:val>
            <c:numRef>
              <c:f>Sheet1!$C$2:$C$7</c:f>
              <c:numCache>
                <c:formatCode>General</c:formatCode>
                <c:ptCount val="6"/>
                <c:pt idx="0">
                  <c:v>14</c:v>
                </c:pt>
                <c:pt idx="1">
                  <c:v>2</c:v>
                </c:pt>
                <c:pt idx="2">
                  <c:v>9</c:v>
                </c:pt>
                <c:pt idx="3">
                  <c:v>3</c:v>
                </c:pt>
                <c:pt idx="4">
                  <c:v>14</c:v>
                </c:pt>
                <c:pt idx="5">
                  <c:v>2</c:v>
                </c:pt>
              </c:numCache>
            </c:numRef>
          </c:val>
        </c:ser>
        <c:ser>
          <c:idx val="2"/>
          <c:order val="2"/>
          <c:tx>
            <c:strRef>
              <c:f>Sheet1!$D$1</c:f>
              <c:strCache>
                <c:ptCount val="1"/>
                <c:pt idx="0">
                  <c:v>FTTH</c:v>
                </c:pt>
              </c:strCache>
            </c:strRef>
          </c:tx>
          <c:spPr>
            <a:solidFill>
              <a:srgbClr val="9BBB59"/>
            </a:solidFill>
            <a:ln w="25297">
              <a:noFill/>
            </a:ln>
          </c:spPr>
          <c:cat>
            <c:strRef>
              <c:f>Sheet1!$A$2:$A$7</c:f>
              <c:strCache>
                <c:ptCount val="6"/>
                <c:pt idx="0">
                  <c:v>Северен централен</c:v>
                </c:pt>
                <c:pt idx="1">
                  <c:v>Северен западен</c:v>
                </c:pt>
                <c:pt idx="2">
                  <c:v>Северен источен</c:v>
                </c:pt>
                <c:pt idx="3">
                  <c:v>Јужен централен</c:v>
                </c:pt>
                <c:pt idx="4">
                  <c:v>Јужен западен</c:v>
                </c:pt>
                <c:pt idx="5">
                  <c:v>Јужен источен</c:v>
                </c:pt>
              </c:strCache>
            </c:strRef>
          </c:cat>
          <c:val>
            <c:numRef>
              <c:f>Sheet1!$D$2:$D$7</c:f>
              <c:numCache>
                <c:formatCode>General</c:formatCode>
                <c:ptCount val="6"/>
                <c:pt idx="0">
                  <c:v>2</c:v>
                </c:pt>
                <c:pt idx="1">
                  <c:v>1</c:v>
                </c:pt>
                <c:pt idx="2">
                  <c:v>1</c:v>
                </c:pt>
                <c:pt idx="3">
                  <c:v>1</c:v>
                </c:pt>
                <c:pt idx="4">
                  <c:v>0</c:v>
                </c:pt>
                <c:pt idx="5">
                  <c:v>1</c:v>
                </c:pt>
              </c:numCache>
            </c:numRef>
          </c:val>
        </c:ser>
        <c:ser>
          <c:idx val="3"/>
          <c:order val="3"/>
          <c:tx>
            <c:strRef>
              <c:f>Sheet1!$E$1</c:f>
              <c:strCache>
                <c:ptCount val="1"/>
                <c:pt idx="0">
                  <c:v>ВКУПНО</c:v>
                </c:pt>
              </c:strCache>
            </c:strRef>
          </c:tx>
          <c:spPr>
            <a:solidFill>
              <a:srgbClr val="8064A2"/>
            </a:solidFill>
            <a:ln w="25297">
              <a:noFill/>
            </a:ln>
          </c:spPr>
          <c:cat>
            <c:strRef>
              <c:f>Sheet1!$A$2:$A$7</c:f>
              <c:strCache>
                <c:ptCount val="6"/>
                <c:pt idx="0">
                  <c:v>Северен централен</c:v>
                </c:pt>
                <c:pt idx="1">
                  <c:v>Северен западен</c:v>
                </c:pt>
                <c:pt idx="2">
                  <c:v>Северен источен</c:v>
                </c:pt>
                <c:pt idx="3">
                  <c:v>Јужен централен</c:v>
                </c:pt>
                <c:pt idx="4">
                  <c:v>Јужен западен</c:v>
                </c:pt>
                <c:pt idx="5">
                  <c:v>Јужен источен</c:v>
                </c:pt>
              </c:strCache>
            </c:strRef>
          </c:cat>
          <c:val>
            <c:numRef>
              <c:f>Sheet1!$E$2:$E$7</c:f>
              <c:numCache>
                <c:formatCode>General</c:formatCode>
                <c:ptCount val="6"/>
                <c:pt idx="0">
                  <c:v>20</c:v>
                </c:pt>
                <c:pt idx="1">
                  <c:v>5</c:v>
                </c:pt>
                <c:pt idx="2">
                  <c:v>13</c:v>
                </c:pt>
                <c:pt idx="3">
                  <c:v>12</c:v>
                </c:pt>
                <c:pt idx="4">
                  <c:v>16</c:v>
                </c:pt>
                <c:pt idx="5">
                  <c:v>7</c:v>
                </c:pt>
              </c:numCache>
            </c:numRef>
          </c:val>
        </c:ser>
        <c:axId val="73163136"/>
        <c:axId val="73164672"/>
      </c:barChart>
      <c:catAx>
        <c:axId val="73163136"/>
        <c:scaling>
          <c:orientation val="minMax"/>
        </c:scaling>
        <c:axPos val="b"/>
        <c:numFmt formatCode="General" sourceLinked="1"/>
        <c:majorTickMark val="none"/>
        <c:tickLblPos val="nextTo"/>
        <c:spPr>
          <a:ln w="3162">
            <a:solidFill>
              <a:srgbClr val="808080"/>
            </a:solidFill>
            <a:prstDash val="solid"/>
          </a:ln>
        </c:spPr>
        <c:txPr>
          <a:bodyPr rot="0" vert="horz"/>
          <a:lstStyle/>
          <a:p>
            <a:pPr>
              <a:defRPr sz="996" b="0" i="0" u="none" strike="noStrike" baseline="0">
                <a:solidFill>
                  <a:srgbClr val="000000"/>
                </a:solidFill>
                <a:latin typeface="Calibri"/>
                <a:ea typeface="Calibri"/>
                <a:cs typeface="Calibri"/>
              </a:defRPr>
            </a:pPr>
            <a:endParaRPr lang="en-US"/>
          </a:p>
        </c:txPr>
        <c:crossAx val="73164672"/>
        <c:crosses val="autoZero"/>
        <c:auto val="1"/>
        <c:lblAlgn val="ctr"/>
        <c:lblOffset val="100"/>
      </c:catAx>
      <c:valAx>
        <c:axId val="73164672"/>
        <c:scaling>
          <c:orientation val="minMax"/>
        </c:scaling>
        <c:axPos val="l"/>
        <c:majorGridlines>
          <c:spPr>
            <a:ln w="3162">
              <a:solidFill>
                <a:srgbClr val="808080"/>
              </a:solidFill>
              <a:prstDash val="solid"/>
            </a:ln>
          </c:spPr>
        </c:majorGridlines>
        <c:numFmt formatCode="General" sourceLinked="1"/>
        <c:majorTickMark val="none"/>
        <c:tickLblPos val="nextTo"/>
        <c:spPr>
          <a:ln w="3162">
            <a:solidFill>
              <a:srgbClr val="808080"/>
            </a:solidFill>
            <a:prstDash val="solid"/>
          </a:ln>
        </c:spPr>
        <c:txPr>
          <a:bodyPr rot="0" vert="horz"/>
          <a:lstStyle/>
          <a:p>
            <a:pPr>
              <a:defRPr sz="996" b="0" i="0" u="none" strike="noStrike" baseline="0">
                <a:solidFill>
                  <a:srgbClr val="000000"/>
                </a:solidFill>
                <a:latin typeface="Calibri"/>
                <a:ea typeface="Calibri"/>
                <a:cs typeface="Calibri"/>
              </a:defRPr>
            </a:pPr>
            <a:endParaRPr lang="en-US"/>
          </a:p>
        </c:txPr>
        <c:crossAx val="73163136"/>
        <c:crosses val="autoZero"/>
        <c:crossBetween val="between"/>
      </c:valAx>
      <c:dTable>
        <c:showHorzBorder val="1"/>
        <c:showVertBorder val="1"/>
        <c:showOutline val="1"/>
        <c:showKeys val="1"/>
        <c:spPr>
          <a:ln w="3162">
            <a:solidFill>
              <a:srgbClr val="808080"/>
            </a:solidFill>
            <a:prstDash val="solid"/>
          </a:ln>
        </c:spPr>
        <c:txPr>
          <a:bodyPr/>
          <a:lstStyle/>
          <a:p>
            <a:pPr rtl="0">
              <a:defRPr sz="996" b="0" i="0" u="none" strike="noStrike" baseline="0">
                <a:solidFill>
                  <a:srgbClr val="000000"/>
                </a:solidFill>
                <a:latin typeface="Calibri"/>
                <a:ea typeface="Calibri"/>
                <a:cs typeface="Calibri"/>
              </a:defRPr>
            </a:pPr>
            <a:endParaRPr lang="en-US"/>
          </a:p>
        </c:txPr>
      </c:dTable>
      <c:spPr>
        <a:solidFill>
          <a:srgbClr val="FFFFFF"/>
        </a:solidFill>
        <a:ln w="25297">
          <a:noFill/>
        </a:ln>
      </c:spPr>
    </c:plotArea>
    <c:plotVisOnly val="1"/>
    <c:dispBlanksAs val="gap"/>
  </c:chart>
  <c:spPr>
    <a:solidFill>
      <a:srgbClr val="FFFFFF"/>
    </a:solidFill>
    <a:ln w="3162">
      <a:solidFill>
        <a:srgbClr val="808080"/>
      </a:solidFill>
      <a:prstDash val="solid"/>
    </a:ln>
  </c:spPr>
  <c:txPr>
    <a:bodyPr/>
    <a:lstStyle/>
    <a:p>
      <a:pPr>
        <a:defRPr sz="996" b="0" i="0" u="none" strike="noStrike" baseline="0">
          <a:solidFill>
            <a:srgbClr val="000000"/>
          </a:solidFill>
          <a:latin typeface="Calibri"/>
          <a:ea typeface="Calibri"/>
          <a:cs typeface="Calibri"/>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1.7897091722595106E-2"/>
          <c:y val="4.3062200956937885E-2"/>
          <c:w val="0.70022371364653269"/>
          <c:h val="0.794258373205742"/>
        </c:manualLayout>
      </c:layout>
      <c:lineChart>
        <c:grouping val="standard"/>
        <c:ser>
          <c:idx val="0"/>
          <c:order val="0"/>
          <c:tx>
            <c:strRef>
              <c:f>Sheet1!$A$2</c:f>
              <c:strCache>
                <c:ptCount val="1"/>
                <c:pt idx="0">
                  <c:v>Македонски Телеком</c:v>
                </c:pt>
              </c:strCache>
            </c:strRef>
          </c:tx>
          <c:spPr>
            <a:ln w="25343">
              <a:solidFill>
                <a:srgbClr val="63AAFE"/>
              </a:solidFill>
              <a:prstDash val="solid"/>
            </a:ln>
          </c:spPr>
          <c:marker>
            <c:symbol val="diamond"/>
            <c:size val="6"/>
            <c:spPr>
              <a:solidFill>
                <a:srgbClr val="63AAFE"/>
              </a:solidFill>
              <a:ln>
                <a:solidFill>
                  <a:srgbClr val="63AAFE"/>
                </a:solidFill>
                <a:prstDash val="solid"/>
              </a:ln>
            </c:spPr>
          </c:marker>
          <c:dLbls>
            <c:dLbl>
              <c:idx val="0"/>
              <c:layout>
                <c:manualLayout>
                  <c:x val="-6.5907103581595697E-2"/>
                  <c:y val="-5.5560624983394535E-2"/>
                </c:manualLayout>
              </c:layout>
              <c:dLblPos val="r"/>
              <c:showVal val="1"/>
            </c:dLbl>
            <c:dLbl>
              <c:idx val="1"/>
              <c:layout>
                <c:manualLayout>
                  <c:x val="-6.0793686279315799E-2"/>
                  <c:y val="-9.0166579485151541E-2"/>
                </c:manualLayout>
              </c:layout>
              <c:dLblPos val="r"/>
              <c:showVal val="1"/>
            </c:dLbl>
            <c:dLbl>
              <c:idx val="2"/>
              <c:layout>
                <c:manualLayout>
                  <c:x val="-7.8051633630279629E-2"/>
                  <c:y val="-8.3310770364230666E-2"/>
                </c:manualLayout>
              </c:layout>
              <c:dLblPos val="r"/>
              <c:showVal val="1"/>
            </c:dLbl>
            <c:dLbl>
              <c:idx val="3"/>
              <c:layout>
                <c:manualLayout>
                  <c:x val="-7.5175352793323366E-2"/>
                  <c:y val="-7.6009029288290716E-2"/>
                </c:manualLayout>
              </c:layout>
              <c:dLblPos val="r"/>
              <c:showVal val="1"/>
            </c:dLbl>
            <c:dLbl>
              <c:idx val="4"/>
              <c:layout>
                <c:manualLayout>
                  <c:x val="-6.5587483808617952E-2"/>
                  <c:y val="-7.4413150509296255E-2"/>
                </c:manualLayout>
              </c:layout>
              <c:dLblPos val="r"/>
              <c:showVal val="1"/>
            </c:dLbl>
            <c:dLbl>
              <c:idx val="5"/>
              <c:layout>
                <c:manualLayout>
                  <c:x val="-6.0474066506337985E-2"/>
                  <c:y val="-7.3201005376720613E-2"/>
                </c:manualLayout>
              </c:layout>
              <c:dLblPos val="r"/>
              <c:showVal val="1"/>
            </c:dLbl>
            <c:dLbl>
              <c:idx val="6"/>
              <c:layout>
                <c:manualLayout>
                  <c:x val="-6.2072058600030622E-2"/>
                  <c:y val="-9.5769766646564822E-2"/>
                </c:manualLayout>
              </c:layout>
              <c:dLblPos val="r"/>
              <c:showVal val="1"/>
            </c:dLbl>
            <c:spPr>
              <a:noFill/>
              <a:ln w="25343">
                <a:noFill/>
              </a:ln>
            </c:spPr>
            <c:txPr>
              <a:bodyPr/>
              <a:lstStyle/>
              <a:p>
                <a:pPr>
                  <a:defRPr sz="1197" b="1" i="0" u="none" strike="noStrike" baseline="0">
                    <a:solidFill>
                      <a:srgbClr val="000000"/>
                    </a:solidFill>
                    <a:latin typeface="Calibri"/>
                    <a:ea typeface="Calibri"/>
                    <a:cs typeface="Calibri"/>
                  </a:defRPr>
                </a:pPr>
                <a:endParaRPr lang="en-US"/>
              </a:p>
            </c:txPr>
            <c:showVal val="1"/>
          </c:dLbls>
          <c:cat>
            <c:numRef>
              <c:f>Sheet1!$B$1:$H$1</c:f>
              <c:numCache>
                <c:formatCode>General</c:formatCode>
                <c:ptCount val="7"/>
                <c:pt idx="0">
                  <c:v>2009</c:v>
                </c:pt>
                <c:pt idx="1">
                  <c:v>2010</c:v>
                </c:pt>
                <c:pt idx="2">
                  <c:v>2011</c:v>
                </c:pt>
                <c:pt idx="3">
                  <c:v>2012</c:v>
                </c:pt>
                <c:pt idx="4">
                  <c:v>2013</c:v>
                </c:pt>
                <c:pt idx="5">
                  <c:v>2014</c:v>
                </c:pt>
                <c:pt idx="6">
                  <c:v>2015</c:v>
                </c:pt>
              </c:numCache>
            </c:numRef>
          </c:cat>
          <c:val>
            <c:numRef>
              <c:f>Sheet1!$B$2:$H$2</c:f>
              <c:numCache>
                <c:formatCode>0.00%</c:formatCode>
                <c:ptCount val="7"/>
                <c:pt idx="0">
                  <c:v>0.83580000000000054</c:v>
                </c:pt>
                <c:pt idx="1">
                  <c:v>0.77490000000000081</c:v>
                </c:pt>
                <c:pt idx="2">
                  <c:v>0.6905</c:v>
                </c:pt>
                <c:pt idx="3">
                  <c:v>0.65540000000000054</c:v>
                </c:pt>
                <c:pt idx="4">
                  <c:v>0.63010000000000055</c:v>
                </c:pt>
                <c:pt idx="5">
                  <c:v>0.58809999999999996</c:v>
                </c:pt>
                <c:pt idx="6">
                  <c:v>0.60590000000000055</c:v>
                </c:pt>
              </c:numCache>
            </c:numRef>
          </c:val>
        </c:ser>
        <c:ser>
          <c:idx val="1"/>
          <c:order val="1"/>
          <c:tx>
            <c:strRef>
              <c:f>Sheet1!$A$3</c:f>
              <c:strCache>
                <c:ptCount val="1"/>
                <c:pt idx="0">
                  <c:v>Алтернативни оператори</c:v>
                </c:pt>
              </c:strCache>
            </c:strRef>
          </c:tx>
          <c:spPr>
            <a:ln w="25343">
              <a:solidFill>
                <a:srgbClr val="DD2D32"/>
              </a:solidFill>
              <a:prstDash val="solid"/>
            </a:ln>
          </c:spPr>
          <c:marker>
            <c:symbol val="square"/>
            <c:size val="6"/>
            <c:spPr>
              <a:solidFill>
                <a:srgbClr val="DD2D32"/>
              </a:solidFill>
              <a:ln>
                <a:solidFill>
                  <a:srgbClr val="DD2D32"/>
                </a:solidFill>
                <a:prstDash val="solid"/>
              </a:ln>
            </c:spPr>
          </c:marker>
          <c:dLbls>
            <c:dLbl>
              <c:idx val="0"/>
              <c:layout>
                <c:manualLayout>
                  <c:x val="-8.156705883886653E-2"/>
                  <c:y val="6.4664979078572424E-2"/>
                </c:manualLayout>
              </c:layout>
              <c:dLblPos val="r"/>
              <c:showVal val="1"/>
            </c:dLbl>
            <c:dLbl>
              <c:idx val="1"/>
              <c:layout>
                <c:manualLayout>
                  <c:x val="-6.7505095675288701E-2"/>
                  <c:y val="4.6639354632960865E-2"/>
                </c:manualLayout>
              </c:layout>
              <c:dLblPos val="r"/>
              <c:showVal val="1"/>
            </c:dLbl>
            <c:dLbl>
              <c:idx val="2"/>
              <c:layout>
                <c:manualLayout>
                  <c:x val="-7.8051633630279629E-2"/>
                  <c:y val="1.1075411540748302E-2"/>
                </c:manualLayout>
              </c:layout>
              <c:dLblPos val="r"/>
              <c:showVal val="1"/>
            </c:dLbl>
            <c:dLbl>
              <c:idx val="3"/>
              <c:layout>
                <c:manualLayout>
                  <c:x val="-6.8463943397350499E-2"/>
                  <c:y val="6.5974984500826644E-2"/>
                </c:manualLayout>
              </c:layout>
              <c:dLblPos val="r"/>
              <c:showVal val="1"/>
            </c:dLbl>
            <c:dLbl>
              <c:idx val="4"/>
              <c:layout>
                <c:manualLayout>
                  <c:x val="-7.4536029669916071E-2"/>
                  <c:y val="1.1747526774463815E-2"/>
                </c:manualLayout>
              </c:layout>
              <c:dLblPos val="r"/>
              <c:showVal val="1"/>
            </c:dLbl>
            <c:dLbl>
              <c:idx val="5"/>
              <c:layout>
                <c:manualLayout>
                  <c:x val="-6.7185475902310929E-2"/>
                  <c:y val="2.9674137622749248E-2"/>
                </c:manualLayout>
              </c:layout>
              <c:dLblPos val="r"/>
              <c:showVal val="1"/>
            </c:dLbl>
            <c:dLbl>
              <c:idx val="6"/>
              <c:layout>
                <c:manualLayout>
                  <c:x val="-6.2072058600030622E-2"/>
                  <c:y val="6.6596965878240433E-2"/>
                </c:manualLayout>
              </c:layout>
              <c:dLblPos val="r"/>
              <c:showVal val="1"/>
            </c:dLbl>
            <c:spPr>
              <a:noFill/>
              <a:ln w="25343">
                <a:noFill/>
              </a:ln>
            </c:spPr>
            <c:txPr>
              <a:bodyPr/>
              <a:lstStyle/>
              <a:p>
                <a:pPr>
                  <a:defRPr sz="1197" b="1" i="0" u="none" strike="noStrike" baseline="0">
                    <a:solidFill>
                      <a:srgbClr val="000000"/>
                    </a:solidFill>
                    <a:latin typeface="Calibri"/>
                    <a:ea typeface="Calibri"/>
                    <a:cs typeface="Calibri"/>
                  </a:defRPr>
                </a:pPr>
                <a:endParaRPr lang="en-US"/>
              </a:p>
            </c:txPr>
            <c:showVal val="1"/>
          </c:dLbls>
          <c:cat>
            <c:numRef>
              <c:f>Sheet1!$B$1:$H$1</c:f>
              <c:numCache>
                <c:formatCode>General</c:formatCode>
                <c:ptCount val="7"/>
                <c:pt idx="0">
                  <c:v>2009</c:v>
                </c:pt>
                <c:pt idx="1">
                  <c:v>2010</c:v>
                </c:pt>
                <c:pt idx="2">
                  <c:v>2011</c:v>
                </c:pt>
                <c:pt idx="3">
                  <c:v>2012</c:v>
                </c:pt>
                <c:pt idx="4">
                  <c:v>2013</c:v>
                </c:pt>
                <c:pt idx="5">
                  <c:v>2014</c:v>
                </c:pt>
                <c:pt idx="6">
                  <c:v>2015</c:v>
                </c:pt>
              </c:numCache>
            </c:numRef>
          </c:cat>
          <c:val>
            <c:numRef>
              <c:f>Sheet1!$B$3:$H$3</c:f>
              <c:numCache>
                <c:formatCode>0.00%</c:formatCode>
                <c:ptCount val="7"/>
                <c:pt idx="0">
                  <c:v>0.16420000000000001</c:v>
                </c:pt>
                <c:pt idx="1">
                  <c:v>0.22509999999999999</c:v>
                </c:pt>
                <c:pt idx="2">
                  <c:v>0.30950000000000027</c:v>
                </c:pt>
                <c:pt idx="3">
                  <c:v>0.34460000000000002</c:v>
                </c:pt>
                <c:pt idx="4">
                  <c:v>0.36990000000000034</c:v>
                </c:pt>
                <c:pt idx="5">
                  <c:v>0.41190000000000027</c:v>
                </c:pt>
                <c:pt idx="6">
                  <c:v>0.39410000000000034</c:v>
                </c:pt>
              </c:numCache>
            </c:numRef>
          </c:val>
        </c:ser>
        <c:marker val="1"/>
        <c:axId val="72676096"/>
        <c:axId val="72677632"/>
      </c:lineChart>
      <c:catAx>
        <c:axId val="72676096"/>
        <c:scaling>
          <c:orientation val="minMax"/>
        </c:scaling>
        <c:axPos val="b"/>
        <c:numFmt formatCode="General" sourceLinked="1"/>
        <c:tickLblPos val="nextTo"/>
        <c:spPr>
          <a:ln w="3168">
            <a:solidFill>
              <a:srgbClr val="000000"/>
            </a:solidFill>
            <a:prstDash val="solid"/>
          </a:ln>
        </c:spPr>
        <c:txPr>
          <a:bodyPr rot="0" vert="horz"/>
          <a:lstStyle/>
          <a:p>
            <a:pPr>
              <a:defRPr sz="1197" b="1" i="0" u="none" strike="noStrike" baseline="0">
                <a:solidFill>
                  <a:srgbClr val="000000"/>
                </a:solidFill>
                <a:latin typeface="Calibri"/>
                <a:ea typeface="Calibri"/>
                <a:cs typeface="Calibri"/>
              </a:defRPr>
            </a:pPr>
            <a:endParaRPr lang="en-US"/>
          </a:p>
        </c:txPr>
        <c:crossAx val="72677632"/>
        <c:crosses val="autoZero"/>
        <c:auto val="1"/>
        <c:lblAlgn val="ctr"/>
        <c:lblOffset val="100"/>
        <c:tickLblSkip val="1"/>
        <c:tickMarkSkip val="1"/>
      </c:catAx>
      <c:valAx>
        <c:axId val="72677632"/>
        <c:scaling>
          <c:orientation val="minMax"/>
        </c:scaling>
        <c:delete val="1"/>
        <c:axPos val="l"/>
        <c:majorGridlines>
          <c:spPr>
            <a:ln w="3168">
              <a:solidFill>
                <a:srgbClr val="000000"/>
              </a:solidFill>
              <a:prstDash val="solid"/>
            </a:ln>
          </c:spPr>
        </c:majorGridlines>
        <c:numFmt formatCode="0.00%" sourceLinked="1"/>
        <c:tickLblPos val="none"/>
        <c:crossAx val="72676096"/>
        <c:crosses val="autoZero"/>
        <c:crossBetween val="between"/>
      </c:valAx>
      <c:spPr>
        <a:solidFill>
          <a:srgbClr val="C0C0C0"/>
        </a:solidFill>
        <a:ln w="12671">
          <a:solidFill>
            <a:srgbClr val="808080"/>
          </a:solidFill>
          <a:prstDash val="solid"/>
        </a:ln>
      </c:spPr>
    </c:plotArea>
    <c:legend>
      <c:legendPos val="r"/>
      <c:layout>
        <c:manualLayout>
          <c:xMode val="edge"/>
          <c:yMode val="edge"/>
          <c:x val="0.73154362416107455"/>
          <c:y val="0.196172248803828"/>
          <c:w val="0.26174496644295325"/>
          <c:h val="0.35406698564593342"/>
        </c:manualLayout>
      </c:layout>
      <c:spPr>
        <a:noFill/>
        <a:ln w="3168">
          <a:solidFill>
            <a:srgbClr val="000000"/>
          </a:solidFill>
          <a:prstDash val="solid"/>
        </a:ln>
      </c:spPr>
      <c:txPr>
        <a:bodyPr/>
        <a:lstStyle/>
        <a:p>
          <a:pPr>
            <a:defRPr sz="1098" b="1" i="0" u="none" strike="noStrike" baseline="0">
              <a:solidFill>
                <a:srgbClr val="000000"/>
              </a:solidFill>
              <a:latin typeface="Calibri"/>
              <a:ea typeface="Calibri"/>
              <a:cs typeface="Calibri"/>
            </a:defRPr>
          </a:pPr>
          <a:endParaRPr lang="en-US"/>
        </a:p>
      </c:txPr>
    </c:legend>
    <c:plotVisOnly val="1"/>
    <c:dispBlanksAs val="gap"/>
  </c:chart>
  <c:spPr>
    <a:noFill/>
    <a:ln w="12671">
      <a:solidFill>
        <a:srgbClr val="000000"/>
      </a:solidFill>
      <a:prstDash val="solid"/>
    </a:ln>
  </c:spPr>
  <c:txPr>
    <a:bodyPr/>
    <a:lstStyle/>
    <a:p>
      <a:pPr>
        <a:defRPr sz="1197" b="1" i="0" u="none" strike="noStrike" baseline="0">
          <a:solidFill>
            <a:srgbClr val="000000"/>
          </a:solidFill>
          <a:latin typeface="Calibri"/>
          <a:ea typeface="Calibri"/>
          <a:cs typeface="Calibri"/>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8"/>
  <c:chart>
    <c:title>
      <c:tx>
        <c:rich>
          <a:bodyPr/>
          <a:lstStyle/>
          <a:p>
            <a:pPr>
              <a:defRPr sz="1095" b="0" i="0" u="none" strike="noStrike" baseline="0">
                <a:solidFill>
                  <a:srgbClr val="000000"/>
                </a:solidFill>
                <a:latin typeface="Calibri"/>
                <a:ea typeface="Calibri"/>
                <a:cs typeface="Calibri"/>
              </a:defRPr>
            </a:pPr>
            <a:endParaRPr lang="en-US"/>
          </a:p>
        </c:rich>
      </c:tx>
      <c:layout/>
      <c:spPr>
        <a:noFill/>
        <a:ln w="25295">
          <a:noFill/>
        </a:ln>
      </c:spPr>
    </c:title>
    <c:plotArea>
      <c:layout/>
      <c:barChart>
        <c:barDir val="col"/>
        <c:grouping val="clustered"/>
        <c:ser>
          <c:idx val="0"/>
          <c:order val="0"/>
          <c:tx>
            <c:strRef>
              <c:f>Sheet1!$B$1</c:f>
              <c:strCache>
                <c:ptCount val="1"/>
                <c:pt idx="0">
                  <c:v>2015 година</c:v>
                </c:pt>
              </c:strCache>
            </c:strRef>
          </c:tx>
          <c:spPr>
            <a:gradFill rotWithShape="0">
              <a:gsLst>
                <a:gs pos="0">
                  <a:srgbClr val="6D1D1B"/>
                </a:gs>
                <a:gs pos="80000">
                  <a:srgbClr val="902926"/>
                </a:gs>
                <a:gs pos="100000">
                  <a:srgbClr val="932724"/>
                </a:gs>
              </a:gsLst>
              <a:lin ang="16200000"/>
            </a:gradFill>
            <a:ln w="25295">
              <a:noFill/>
            </a:ln>
            <a:effectLst>
              <a:outerShdw dist="35921" dir="2700000" algn="br">
                <a:srgbClr val="000000"/>
              </a:outerShdw>
            </a:effectLst>
          </c:spPr>
          <c:cat>
            <c:strRef>
              <c:f>Sheet1!$A$2:$A$8</c:f>
              <c:strCache>
                <c:ptCount val="7"/>
                <c:pt idx="0">
                  <c:v>бакар аналогни PSTN</c:v>
                </c:pt>
                <c:pt idx="1">
                  <c:v>бакар ISDN линии</c:v>
                </c:pt>
                <c:pt idx="2">
                  <c:v>бакар VoIP</c:v>
                </c:pt>
                <c:pt idx="3">
                  <c:v>линии преку безжични технологии</c:v>
                </c:pt>
                <c:pt idx="4">
                  <c:v>линии преку коаксијална мрежа (VoIP)</c:v>
                </c:pt>
                <c:pt idx="5">
                  <c:v>LAN (VoIP)</c:v>
                </c:pt>
                <c:pt idx="6">
                  <c:v>FTTH-линии</c:v>
                </c:pt>
              </c:strCache>
            </c:strRef>
          </c:cat>
          <c:val>
            <c:numRef>
              <c:f>Sheet1!$B$2:$B$8</c:f>
              <c:numCache>
                <c:formatCode>0.00%</c:formatCode>
                <c:ptCount val="7"/>
                <c:pt idx="0">
                  <c:v>2.2700000000000012E-2</c:v>
                </c:pt>
                <c:pt idx="1">
                  <c:v>1.6900000000000023E-2</c:v>
                </c:pt>
                <c:pt idx="2">
                  <c:v>0.59989999999999999</c:v>
                </c:pt>
                <c:pt idx="3">
                  <c:v>6.9300000000000056E-2</c:v>
                </c:pt>
                <c:pt idx="4">
                  <c:v>0.17340000000000014</c:v>
                </c:pt>
                <c:pt idx="5">
                  <c:v>7.1800000000000003E-2</c:v>
                </c:pt>
                <c:pt idx="6">
                  <c:v>4.6000000000000013E-2</c:v>
                </c:pt>
              </c:numCache>
            </c:numRef>
          </c:val>
        </c:ser>
        <c:ser>
          <c:idx val="1"/>
          <c:order val="1"/>
          <c:tx>
            <c:strRef>
              <c:f>Sheet1!$C$1</c:f>
              <c:strCache>
                <c:ptCount val="1"/>
                <c:pt idx="0">
                  <c:v>2014 година</c:v>
                </c:pt>
              </c:strCache>
            </c:strRef>
          </c:tx>
          <c:spPr>
            <a:gradFill rotWithShape="0">
              <a:gsLst>
                <a:gs pos="0">
                  <a:srgbClr val="7F2321"/>
                </a:gs>
                <a:gs pos="80000">
                  <a:srgbClr val="A7312E"/>
                </a:gs>
                <a:gs pos="100000">
                  <a:srgbClr val="AA2F2C"/>
                </a:gs>
              </a:gsLst>
              <a:lin ang="16200000"/>
            </a:gradFill>
            <a:ln w="25295">
              <a:noFill/>
            </a:ln>
            <a:effectLst>
              <a:outerShdw dist="35921" dir="2700000" algn="br">
                <a:srgbClr val="000000"/>
              </a:outerShdw>
            </a:effectLst>
          </c:spPr>
          <c:cat>
            <c:strRef>
              <c:f>Sheet1!$A$2:$A$8</c:f>
              <c:strCache>
                <c:ptCount val="7"/>
                <c:pt idx="0">
                  <c:v>бакар аналогни PSTN</c:v>
                </c:pt>
                <c:pt idx="1">
                  <c:v>бакар ISDN линии</c:v>
                </c:pt>
                <c:pt idx="2">
                  <c:v>бакар VoIP</c:v>
                </c:pt>
                <c:pt idx="3">
                  <c:v>линии преку безжични технологии</c:v>
                </c:pt>
                <c:pt idx="4">
                  <c:v>линии преку коаксијална мрежа (VoIP)</c:v>
                </c:pt>
                <c:pt idx="5">
                  <c:v>LAN (VoIP)</c:v>
                </c:pt>
                <c:pt idx="6">
                  <c:v>FTTH-линии</c:v>
                </c:pt>
              </c:strCache>
            </c:strRef>
          </c:cat>
          <c:val>
            <c:numRef>
              <c:f>Sheet1!$C$2:$C$8</c:f>
              <c:numCache>
                <c:formatCode>0.00%</c:formatCode>
                <c:ptCount val="7"/>
                <c:pt idx="0">
                  <c:v>3.32E-2</c:v>
                </c:pt>
                <c:pt idx="1">
                  <c:v>1.9700000000000016E-2</c:v>
                </c:pt>
                <c:pt idx="2">
                  <c:v>0.60980000000000056</c:v>
                </c:pt>
                <c:pt idx="3">
                  <c:v>7.690000000000001E-2</c:v>
                </c:pt>
                <c:pt idx="4">
                  <c:v>0.14510000000000001</c:v>
                </c:pt>
                <c:pt idx="5">
                  <c:v>8.0900000000000027E-2</c:v>
                </c:pt>
                <c:pt idx="6">
                  <c:v>3.44E-2</c:v>
                </c:pt>
              </c:numCache>
            </c:numRef>
          </c:val>
        </c:ser>
        <c:ser>
          <c:idx val="2"/>
          <c:order val="2"/>
          <c:tx>
            <c:strRef>
              <c:f>Sheet1!$D$1</c:f>
              <c:strCache>
                <c:ptCount val="1"/>
                <c:pt idx="0">
                  <c:v>2013 година</c:v>
                </c:pt>
              </c:strCache>
            </c:strRef>
          </c:tx>
          <c:spPr>
            <a:gradFill rotWithShape="0">
              <a:gsLst>
                <a:gs pos="0">
                  <a:srgbClr val="8D2825"/>
                </a:gs>
                <a:gs pos="80000">
                  <a:srgbClr val="B93734"/>
                </a:gs>
                <a:gs pos="100000">
                  <a:srgbClr val="BD3532"/>
                </a:gs>
              </a:gsLst>
              <a:lin ang="16200000"/>
            </a:gradFill>
            <a:ln w="25295">
              <a:noFill/>
            </a:ln>
            <a:effectLst>
              <a:outerShdw dist="35921" dir="2700000" algn="br">
                <a:srgbClr val="000000"/>
              </a:outerShdw>
            </a:effectLst>
          </c:spPr>
          <c:cat>
            <c:strRef>
              <c:f>Sheet1!$A$2:$A$8</c:f>
              <c:strCache>
                <c:ptCount val="7"/>
                <c:pt idx="0">
                  <c:v>бакар аналогни PSTN</c:v>
                </c:pt>
                <c:pt idx="1">
                  <c:v>бакар ISDN линии</c:v>
                </c:pt>
                <c:pt idx="2">
                  <c:v>бакар VoIP</c:v>
                </c:pt>
                <c:pt idx="3">
                  <c:v>линии преку безжични технологии</c:v>
                </c:pt>
                <c:pt idx="4">
                  <c:v>линии преку коаксијална мрежа (VoIP)</c:v>
                </c:pt>
                <c:pt idx="5">
                  <c:v>LAN (VoIP)</c:v>
                </c:pt>
                <c:pt idx="6">
                  <c:v>FTTH-линии</c:v>
                </c:pt>
              </c:strCache>
            </c:strRef>
          </c:cat>
          <c:val>
            <c:numRef>
              <c:f>Sheet1!$D$2:$D$8</c:f>
              <c:numCache>
                <c:formatCode>0.00%</c:formatCode>
                <c:ptCount val="7"/>
                <c:pt idx="0">
                  <c:v>0.15160000000000001</c:v>
                </c:pt>
                <c:pt idx="1">
                  <c:v>2.530000000000001E-2</c:v>
                </c:pt>
                <c:pt idx="2">
                  <c:v>0.52034999999999998</c:v>
                </c:pt>
                <c:pt idx="3">
                  <c:v>0.17190000000000014</c:v>
                </c:pt>
                <c:pt idx="4">
                  <c:v>0.12640000000000001</c:v>
                </c:pt>
                <c:pt idx="5">
                  <c:v>7.6500000000000012E-2</c:v>
                </c:pt>
                <c:pt idx="6">
                  <c:v>2.6300000000000011E-2</c:v>
                </c:pt>
              </c:numCache>
            </c:numRef>
          </c:val>
        </c:ser>
        <c:ser>
          <c:idx val="3"/>
          <c:order val="3"/>
          <c:tx>
            <c:strRef>
              <c:f>Sheet1!$E$1</c:f>
              <c:strCache>
                <c:ptCount val="1"/>
                <c:pt idx="0">
                  <c:v>2012 година</c:v>
                </c:pt>
              </c:strCache>
            </c:strRef>
          </c:tx>
          <c:spPr>
            <a:gradFill rotWithShape="0">
              <a:gsLst>
                <a:gs pos="0">
                  <a:srgbClr val="9B2D2A"/>
                </a:gs>
                <a:gs pos="80000">
                  <a:srgbClr val="CB3D3A"/>
                </a:gs>
                <a:gs pos="100000">
                  <a:srgbClr val="CE3B37"/>
                </a:gs>
              </a:gsLst>
              <a:lin ang="16200000"/>
            </a:gradFill>
            <a:ln w="25295">
              <a:noFill/>
            </a:ln>
            <a:effectLst>
              <a:outerShdw dist="35921" dir="2700000" algn="br">
                <a:srgbClr val="000000"/>
              </a:outerShdw>
            </a:effectLst>
          </c:spPr>
          <c:cat>
            <c:strRef>
              <c:f>Sheet1!$A$2:$A$8</c:f>
              <c:strCache>
                <c:ptCount val="7"/>
                <c:pt idx="0">
                  <c:v>бакар аналогни PSTN</c:v>
                </c:pt>
                <c:pt idx="1">
                  <c:v>бакар ISDN линии</c:v>
                </c:pt>
                <c:pt idx="2">
                  <c:v>бакар VoIP</c:v>
                </c:pt>
                <c:pt idx="3">
                  <c:v>линии преку безжични технологии</c:v>
                </c:pt>
                <c:pt idx="4">
                  <c:v>линии преку коаксијална мрежа (VoIP)</c:v>
                </c:pt>
                <c:pt idx="5">
                  <c:v>LAN (VoIP)</c:v>
                </c:pt>
                <c:pt idx="6">
                  <c:v>FTTH-линии</c:v>
                </c:pt>
              </c:strCache>
            </c:strRef>
          </c:cat>
          <c:val>
            <c:numRef>
              <c:f>Sheet1!$E$2:$E$8</c:f>
              <c:numCache>
                <c:formatCode>0.00%</c:formatCode>
                <c:ptCount val="7"/>
                <c:pt idx="0">
                  <c:v>0.38180000000000042</c:v>
                </c:pt>
                <c:pt idx="1">
                  <c:v>4.7700000000000034E-2</c:v>
                </c:pt>
                <c:pt idx="2">
                  <c:v>0.31530000000000041</c:v>
                </c:pt>
                <c:pt idx="3">
                  <c:v>0.18120000000000014</c:v>
                </c:pt>
                <c:pt idx="4">
                  <c:v>0.1103</c:v>
                </c:pt>
                <c:pt idx="5">
                  <c:v>6.3500000000000001E-2</c:v>
                </c:pt>
                <c:pt idx="6">
                  <c:v>1.4400000000000001E-2</c:v>
                </c:pt>
              </c:numCache>
            </c:numRef>
          </c:val>
        </c:ser>
        <c:ser>
          <c:idx val="4"/>
          <c:order val="4"/>
          <c:tx>
            <c:strRef>
              <c:f>Sheet1!$F$1</c:f>
              <c:strCache>
                <c:ptCount val="1"/>
                <c:pt idx="0">
                  <c:v>2011 година</c:v>
                </c:pt>
              </c:strCache>
            </c:strRef>
          </c:tx>
          <c:spPr>
            <a:gradFill rotWithShape="0">
              <a:gsLst>
                <a:gs pos="0">
                  <a:srgbClr val="9F5A58"/>
                </a:gs>
                <a:gs pos="80000">
                  <a:srgbClr val="D17775"/>
                </a:gs>
                <a:gs pos="100000">
                  <a:srgbClr val="D37674"/>
                </a:gs>
              </a:gsLst>
              <a:lin ang="16200000"/>
            </a:gradFill>
            <a:ln w="25295">
              <a:noFill/>
            </a:ln>
            <a:effectLst>
              <a:outerShdw dist="35921" dir="2700000" algn="br">
                <a:srgbClr val="000000"/>
              </a:outerShdw>
            </a:effectLst>
          </c:spPr>
          <c:cat>
            <c:strRef>
              <c:f>Sheet1!$A$2:$A$8</c:f>
              <c:strCache>
                <c:ptCount val="7"/>
                <c:pt idx="0">
                  <c:v>бакар аналогни PSTN</c:v>
                </c:pt>
                <c:pt idx="1">
                  <c:v>бакар ISDN линии</c:v>
                </c:pt>
                <c:pt idx="2">
                  <c:v>бакар VoIP</c:v>
                </c:pt>
                <c:pt idx="3">
                  <c:v>линии преку безжични технологии</c:v>
                </c:pt>
                <c:pt idx="4">
                  <c:v>линии преку коаксијална мрежа (VoIP)</c:v>
                </c:pt>
                <c:pt idx="5">
                  <c:v>LAN (VoIP)</c:v>
                </c:pt>
                <c:pt idx="6">
                  <c:v>FTTH-линии</c:v>
                </c:pt>
              </c:strCache>
            </c:strRef>
          </c:cat>
          <c:val>
            <c:numRef>
              <c:f>Sheet1!$F$2:$F$8</c:f>
              <c:numCache>
                <c:formatCode>0.00%</c:formatCode>
                <c:ptCount val="7"/>
                <c:pt idx="0">
                  <c:v>0.71980000000000055</c:v>
                </c:pt>
                <c:pt idx="1">
                  <c:v>5.2800000000000034E-2</c:v>
                </c:pt>
                <c:pt idx="2">
                  <c:v>0</c:v>
                </c:pt>
                <c:pt idx="3">
                  <c:v>0.2697</c:v>
                </c:pt>
                <c:pt idx="4">
                  <c:v>0.10940000000000007</c:v>
                </c:pt>
                <c:pt idx="5">
                  <c:v>0</c:v>
                </c:pt>
                <c:pt idx="6">
                  <c:v>9.4000000000000073E-3</c:v>
                </c:pt>
              </c:numCache>
            </c:numRef>
          </c:val>
        </c:ser>
        <c:ser>
          <c:idx val="5"/>
          <c:order val="5"/>
          <c:tx>
            <c:strRef>
              <c:f>Sheet1!$G$1</c:f>
              <c:strCache>
                <c:ptCount val="1"/>
                <c:pt idx="0">
                  <c:v>2010 година</c:v>
                </c:pt>
              </c:strCache>
            </c:strRef>
          </c:tx>
          <c:spPr>
            <a:gradFill rotWithShape="0">
              <a:gsLst>
                <a:gs pos="0">
                  <a:srgbClr val="A67877"/>
                </a:gs>
                <a:gs pos="80000">
                  <a:srgbClr val="D99E9D"/>
                </a:gs>
                <a:gs pos="100000">
                  <a:srgbClr val="DB9D9D"/>
                </a:gs>
              </a:gsLst>
              <a:lin ang="16200000"/>
            </a:gradFill>
            <a:ln w="25295">
              <a:noFill/>
            </a:ln>
            <a:effectLst>
              <a:outerShdw dist="35921" dir="2700000" algn="br">
                <a:srgbClr val="000000"/>
              </a:outerShdw>
            </a:effectLst>
          </c:spPr>
          <c:cat>
            <c:strRef>
              <c:f>Sheet1!$A$2:$A$8</c:f>
              <c:strCache>
                <c:ptCount val="7"/>
                <c:pt idx="0">
                  <c:v>бакар аналогни PSTN</c:v>
                </c:pt>
                <c:pt idx="1">
                  <c:v>бакар ISDN линии</c:v>
                </c:pt>
                <c:pt idx="2">
                  <c:v>бакар VoIP</c:v>
                </c:pt>
                <c:pt idx="3">
                  <c:v>линии преку безжични технологии</c:v>
                </c:pt>
                <c:pt idx="4">
                  <c:v>линии преку коаксијална мрежа (VoIP)</c:v>
                </c:pt>
                <c:pt idx="5">
                  <c:v>LAN (VoIP)</c:v>
                </c:pt>
                <c:pt idx="6">
                  <c:v>FTTH-линии</c:v>
                </c:pt>
              </c:strCache>
            </c:strRef>
          </c:cat>
          <c:val>
            <c:numRef>
              <c:f>Sheet1!$G$2:$G$8</c:f>
              <c:numCache>
                <c:formatCode>0.00%</c:formatCode>
                <c:ptCount val="7"/>
                <c:pt idx="0">
                  <c:v>0.78910000000000002</c:v>
                </c:pt>
                <c:pt idx="1">
                  <c:v>5.6800000000000003E-2</c:v>
                </c:pt>
                <c:pt idx="2">
                  <c:v>0</c:v>
                </c:pt>
                <c:pt idx="3">
                  <c:v>0.24146000000000017</c:v>
                </c:pt>
                <c:pt idx="4">
                  <c:v>5.6700000000000014E-2</c:v>
                </c:pt>
                <c:pt idx="5">
                  <c:v>0</c:v>
                </c:pt>
                <c:pt idx="6">
                  <c:v>4.9000000000000076E-3</c:v>
                </c:pt>
              </c:numCache>
            </c:numRef>
          </c:val>
        </c:ser>
        <c:ser>
          <c:idx val="6"/>
          <c:order val="6"/>
          <c:tx>
            <c:strRef>
              <c:f>Sheet1!$H$1</c:f>
              <c:strCache>
                <c:ptCount val="1"/>
                <c:pt idx="0">
                  <c:v>2009 година</c:v>
                </c:pt>
              </c:strCache>
            </c:strRef>
          </c:tx>
          <c:spPr>
            <a:gradFill rotWithShape="0">
              <a:gsLst>
                <a:gs pos="0">
                  <a:srgbClr val="AC8E8E"/>
                </a:gs>
                <a:gs pos="80000">
                  <a:srgbClr val="E1BABA"/>
                </a:gs>
                <a:gs pos="100000">
                  <a:srgbClr val="E3BBBA"/>
                </a:gs>
              </a:gsLst>
              <a:lin ang="16200000"/>
            </a:gradFill>
            <a:ln w="25295">
              <a:noFill/>
            </a:ln>
            <a:effectLst>
              <a:outerShdw dist="35921" dir="2700000" algn="br">
                <a:srgbClr val="000000"/>
              </a:outerShdw>
            </a:effectLst>
          </c:spPr>
          <c:cat>
            <c:strRef>
              <c:f>Sheet1!$A$2:$A$8</c:f>
              <c:strCache>
                <c:ptCount val="7"/>
                <c:pt idx="0">
                  <c:v>бакар аналогни PSTN</c:v>
                </c:pt>
                <c:pt idx="1">
                  <c:v>бакар ISDN линии</c:v>
                </c:pt>
                <c:pt idx="2">
                  <c:v>бакар VoIP</c:v>
                </c:pt>
                <c:pt idx="3">
                  <c:v>линии преку безжични технологии</c:v>
                </c:pt>
                <c:pt idx="4">
                  <c:v>линии преку коаксијална мрежа (VoIP)</c:v>
                </c:pt>
                <c:pt idx="5">
                  <c:v>LAN (VoIP)</c:v>
                </c:pt>
                <c:pt idx="6">
                  <c:v>FTTH-линии</c:v>
                </c:pt>
              </c:strCache>
            </c:strRef>
          </c:cat>
          <c:val>
            <c:numRef>
              <c:f>Sheet1!$H$2:$H$8</c:f>
              <c:numCache>
                <c:formatCode>0.00%</c:formatCode>
                <c:ptCount val="7"/>
                <c:pt idx="0">
                  <c:v>0.83680000000000054</c:v>
                </c:pt>
                <c:pt idx="1">
                  <c:v>6.0340000000000012E-2</c:v>
                </c:pt>
                <c:pt idx="2">
                  <c:v>0</c:v>
                </c:pt>
                <c:pt idx="3">
                  <c:v>0.10910000000000007</c:v>
                </c:pt>
                <c:pt idx="4">
                  <c:v>2.3699999999999999E-2</c:v>
                </c:pt>
                <c:pt idx="5">
                  <c:v>0</c:v>
                </c:pt>
                <c:pt idx="6">
                  <c:v>0</c:v>
                </c:pt>
              </c:numCache>
            </c:numRef>
          </c:val>
        </c:ser>
        <c:axId val="73423104"/>
        <c:axId val="73433088"/>
      </c:barChart>
      <c:catAx>
        <c:axId val="73423104"/>
        <c:scaling>
          <c:orientation val="minMax"/>
        </c:scaling>
        <c:axPos val="b"/>
        <c:numFmt formatCode="General" sourceLinked="1"/>
        <c:majorTickMark val="none"/>
        <c:tickLblPos val="nextTo"/>
        <c:spPr>
          <a:ln w="3162">
            <a:solidFill>
              <a:srgbClr val="808080"/>
            </a:solidFill>
            <a:prstDash val="solid"/>
          </a:ln>
        </c:spPr>
        <c:txPr>
          <a:bodyPr rot="-2700000" vert="horz"/>
          <a:lstStyle/>
          <a:p>
            <a:pPr>
              <a:defRPr sz="996" b="1" i="0" u="none" strike="noStrike" baseline="0">
                <a:solidFill>
                  <a:srgbClr val="000000"/>
                </a:solidFill>
                <a:latin typeface="StobiSerif Regular"/>
                <a:ea typeface="StobiSerif Regular"/>
                <a:cs typeface="StobiSerif Regular"/>
              </a:defRPr>
            </a:pPr>
            <a:endParaRPr lang="en-US"/>
          </a:p>
        </c:txPr>
        <c:crossAx val="73433088"/>
        <c:crosses val="autoZero"/>
        <c:auto val="1"/>
        <c:lblAlgn val="ctr"/>
        <c:lblOffset val="100"/>
      </c:catAx>
      <c:valAx>
        <c:axId val="73433088"/>
        <c:scaling>
          <c:orientation val="minMax"/>
        </c:scaling>
        <c:axPos val="l"/>
        <c:majorGridlines>
          <c:spPr>
            <a:ln w="3162">
              <a:solidFill>
                <a:srgbClr val="808080"/>
              </a:solidFill>
              <a:prstDash val="solid"/>
            </a:ln>
          </c:spPr>
        </c:majorGridlines>
        <c:numFmt formatCode="0%" sourceLinked="0"/>
        <c:majorTickMark val="none"/>
        <c:tickLblPos val="nextTo"/>
        <c:spPr>
          <a:ln w="3162">
            <a:solidFill>
              <a:srgbClr val="808080"/>
            </a:solidFill>
            <a:prstDash val="solid"/>
          </a:ln>
        </c:spPr>
        <c:txPr>
          <a:bodyPr rot="0" vert="horz"/>
          <a:lstStyle/>
          <a:p>
            <a:pPr>
              <a:defRPr sz="996" b="1" i="0" u="none" strike="noStrike" baseline="0">
                <a:solidFill>
                  <a:srgbClr val="000000"/>
                </a:solidFill>
                <a:latin typeface="StobiSerif Regular"/>
                <a:ea typeface="StobiSerif Regular"/>
                <a:cs typeface="StobiSerif Regular"/>
              </a:defRPr>
            </a:pPr>
            <a:endParaRPr lang="en-US"/>
          </a:p>
        </c:txPr>
        <c:crossAx val="73423104"/>
        <c:crosses val="autoZero"/>
        <c:crossBetween val="between"/>
      </c:valAx>
      <c:spPr>
        <a:solidFill>
          <a:srgbClr val="FFFFFF"/>
        </a:solidFill>
        <a:ln w="25295">
          <a:noFill/>
        </a:ln>
      </c:spPr>
    </c:plotArea>
    <c:legend>
      <c:legendPos val="r"/>
      <c:layout>
        <c:manualLayout>
          <c:xMode val="edge"/>
          <c:yMode val="edge"/>
          <c:x val="0.84645669291338654"/>
          <c:y val="0.12396694214876007"/>
          <c:w val="0.14173228346456723"/>
          <c:h val="0.54545454545454497"/>
        </c:manualLayout>
      </c:layout>
      <c:spPr>
        <a:noFill/>
        <a:ln w="25295">
          <a:noFill/>
        </a:ln>
      </c:spPr>
      <c:txPr>
        <a:bodyPr/>
        <a:lstStyle/>
        <a:p>
          <a:pPr>
            <a:defRPr sz="916" b="0" i="0" u="none" strike="noStrike" baseline="0">
              <a:solidFill>
                <a:srgbClr val="000000"/>
              </a:solidFill>
              <a:latin typeface="StobiSerif Regular"/>
              <a:ea typeface="StobiSerif Regular"/>
              <a:cs typeface="StobiSerif Regular"/>
            </a:defRPr>
          </a:pPr>
          <a:endParaRPr lang="en-US"/>
        </a:p>
      </c:txPr>
    </c:legend>
    <c:plotVisOnly val="1"/>
    <c:dispBlanksAs val="gap"/>
  </c:chart>
  <c:spPr>
    <a:solidFill>
      <a:srgbClr val="FFFFFF"/>
    </a:solidFill>
    <a:ln w="3162">
      <a:solidFill>
        <a:srgbClr val="808080"/>
      </a:solidFill>
      <a:prstDash val="solid"/>
    </a:ln>
  </c:spPr>
  <c:txPr>
    <a:bodyPr/>
    <a:lstStyle/>
    <a:p>
      <a:pPr>
        <a:defRPr sz="996" b="0" i="0" u="none" strike="noStrike" baseline="0">
          <a:solidFill>
            <a:srgbClr val="000000"/>
          </a:solidFill>
          <a:latin typeface="StobiSerif Regular"/>
          <a:ea typeface="StobiSerif Regular"/>
          <a:cs typeface="StobiSerif Regula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0CA35-683E-493D-8F37-88002F5A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59</Pages>
  <Words>21699</Words>
  <Characters>123688</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145097</CharactersWithSpaces>
  <SharedDoc>false</SharedDoc>
  <HLinks>
    <vt:vector size="378" baseType="variant">
      <vt:variant>
        <vt:i4>7012464</vt:i4>
      </vt:variant>
      <vt:variant>
        <vt:i4>402</vt:i4>
      </vt:variant>
      <vt:variant>
        <vt:i4>0</vt:i4>
      </vt:variant>
      <vt:variant>
        <vt:i4>5</vt:i4>
      </vt:variant>
      <vt:variant>
        <vt:lpwstr>http://www.aec.mk/</vt:lpwstr>
      </vt:variant>
      <vt:variant>
        <vt:lpwstr/>
      </vt:variant>
      <vt:variant>
        <vt:i4>1572919</vt:i4>
      </vt:variant>
      <vt:variant>
        <vt:i4>350</vt:i4>
      </vt:variant>
      <vt:variant>
        <vt:i4>0</vt:i4>
      </vt:variant>
      <vt:variant>
        <vt:i4>5</vt:i4>
      </vt:variant>
      <vt:variant>
        <vt:lpwstr/>
      </vt:variant>
      <vt:variant>
        <vt:lpwstr>_Toc399752834</vt:lpwstr>
      </vt:variant>
      <vt:variant>
        <vt:i4>1572919</vt:i4>
      </vt:variant>
      <vt:variant>
        <vt:i4>344</vt:i4>
      </vt:variant>
      <vt:variant>
        <vt:i4>0</vt:i4>
      </vt:variant>
      <vt:variant>
        <vt:i4>5</vt:i4>
      </vt:variant>
      <vt:variant>
        <vt:lpwstr/>
      </vt:variant>
      <vt:variant>
        <vt:lpwstr>_Toc399752833</vt:lpwstr>
      </vt:variant>
      <vt:variant>
        <vt:i4>1572919</vt:i4>
      </vt:variant>
      <vt:variant>
        <vt:i4>335</vt:i4>
      </vt:variant>
      <vt:variant>
        <vt:i4>0</vt:i4>
      </vt:variant>
      <vt:variant>
        <vt:i4>5</vt:i4>
      </vt:variant>
      <vt:variant>
        <vt:lpwstr/>
      </vt:variant>
      <vt:variant>
        <vt:lpwstr>_Toc399752832</vt:lpwstr>
      </vt:variant>
      <vt:variant>
        <vt:i4>1572919</vt:i4>
      </vt:variant>
      <vt:variant>
        <vt:i4>329</vt:i4>
      </vt:variant>
      <vt:variant>
        <vt:i4>0</vt:i4>
      </vt:variant>
      <vt:variant>
        <vt:i4>5</vt:i4>
      </vt:variant>
      <vt:variant>
        <vt:lpwstr/>
      </vt:variant>
      <vt:variant>
        <vt:lpwstr>_Toc399752831</vt:lpwstr>
      </vt:variant>
      <vt:variant>
        <vt:i4>1572919</vt:i4>
      </vt:variant>
      <vt:variant>
        <vt:i4>323</vt:i4>
      </vt:variant>
      <vt:variant>
        <vt:i4>0</vt:i4>
      </vt:variant>
      <vt:variant>
        <vt:i4>5</vt:i4>
      </vt:variant>
      <vt:variant>
        <vt:lpwstr/>
      </vt:variant>
      <vt:variant>
        <vt:lpwstr>_Toc399752830</vt:lpwstr>
      </vt:variant>
      <vt:variant>
        <vt:i4>1638455</vt:i4>
      </vt:variant>
      <vt:variant>
        <vt:i4>317</vt:i4>
      </vt:variant>
      <vt:variant>
        <vt:i4>0</vt:i4>
      </vt:variant>
      <vt:variant>
        <vt:i4>5</vt:i4>
      </vt:variant>
      <vt:variant>
        <vt:lpwstr/>
      </vt:variant>
      <vt:variant>
        <vt:lpwstr>_Toc399752829</vt:lpwstr>
      </vt:variant>
      <vt:variant>
        <vt:i4>1638455</vt:i4>
      </vt:variant>
      <vt:variant>
        <vt:i4>311</vt:i4>
      </vt:variant>
      <vt:variant>
        <vt:i4>0</vt:i4>
      </vt:variant>
      <vt:variant>
        <vt:i4>5</vt:i4>
      </vt:variant>
      <vt:variant>
        <vt:lpwstr/>
      </vt:variant>
      <vt:variant>
        <vt:lpwstr>_Toc399752828</vt:lpwstr>
      </vt:variant>
      <vt:variant>
        <vt:i4>1638455</vt:i4>
      </vt:variant>
      <vt:variant>
        <vt:i4>305</vt:i4>
      </vt:variant>
      <vt:variant>
        <vt:i4>0</vt:i4>
      </vt:variant>
      <vt:variant>
        <vt:i4>5</vt:i4>
      </vt:variant>
      <vt:variant>
        <vt:lpwstr/>
      </vt:variant>
      <vt:variant>
        <vt:lpwstr>_Toc399752827</vt:lpwstr>
      </vt:variant>
      <vt:variant>
        <vt:i4>1638455</vt:i4>
      </vt:variant>
      <vt:variant>
        <vt:i4>299</vt:i4>
      </vt:variant>
      <vt:variant>
        <vt:i4>0</vt:i4>
      </vt:variant>
      <vt:variant>
        <vt:i4>5</vt:i4>
      </vt:variant>
      <vt:variant>
        <vt:lpwstr/>
      </vt:variant>
      <vt:variant>
        <vt:lpwstr>_Toc399752826</vt:lpwstr>
      </vt:variant>
      <vt:variant>
        <vt:i4>1638455</vt:i4>
      </vt:variant>
      <vt:variant>
        <vt:i4>293</vt:i4>
      </vt:variant>
      <vt:variant>
        <vt:i4>0</vt:i4>
      </vt:variant>
      <vt:variant>
        <vt:i4>5</vt:i4>
      </vt:variant>
      <vt:variant>
        <vt:lpwstr/>
      </vt:variant>
      <vt:variant>
        <vt:lpwstr>_Toc399752825</vt:lpwstr>
      </vt:variant>
      <vt:variant>
        <vt:i4>1376310</vt:i4>
      </vt:variant>
      <vt:variant>
        <vt:i4>284</vt:i4>
      </vt:variant>
      <vt:variant>
        <vt:i4>0</vt:i4>
      </vt:variant>
      <vt:variant>
        <vt:i4>5</vt:i4>
      </vt:variant>
      <vt:variant>
        <vt:lpwstr/>
      </vt:variant>
      <vt:variant>
        <vt:lpwstr>_Toc399759958</vt:lpwstr>
      </vt:variant>
      <vt:variant>
        <vt:i4>1376310</vt:i4>
      </vt:variant>
      <vt:variant>
        <vt:i4>278</vt:i4>
      </vt:variant>
      <vt:variant>
        <vt:i4>0</vt:i4>
      </vt:variant>
      <vt:variant>
        <vt:i4>5</vt:i4>
      </vt:variant>
      <vt:variant>
        <vt:lpwstr/>
      </vt:variant>
      <vt:variant>
        <vt:lpwstr>_Toc399759957</vt:lpwstr>
      </vt:variant>
      <vt:variant>
        <vt:i4>1376310</vt:i4>
      </vt:variant>
      <vt:variant>
        <vt:i4>272</vt:i4>
      </vt:variant>
      <vt:variant>
        <vt:i4>0</vt:i4>
      </vt:variant>
      <vt:variant>
        <vt:i4>5</vt:i4>
      </vt:variant>
      <vt:variant>
        <vt:lpwstr/>
      </vt:variant>
      <vt:variant>
        <vt:lpwstr>_Toc399759956</vt:lpwstr>
      </vt:variant>
      <vt:variant>
        <vt:i4>1376310</vt:i4>
      </vt:variant>
      <vt:variant>
        <vt:i4>266</vt:i4>
      </vt:variant>
      <vt:variant>
        <vt:i4>0</vt:i4>
      </vt:variant>
      <vt:variant>
        <vt:i4>5</vt:i4>
      </vt:variant>
      <vt:variant>
        <vt:lpwstr/>
      </vt:variant>
      <vt:variant>
        <vt:lpwstr>_Toc399759955</vt:lpwstr>
      </vt:variant>
      <vt:variant>
        <vt:i4>1376310</vt:i4>
      </vt:variant>
      <vt:variant>
        <vt:i4>260</vt:i4>
      </vt:variant>
      <vt:variant>
        <vt:i4>0</vt:i4>
      </vt:variant>
      <vt:variant>
        <vt:i4>5</vt:i4>
      </vt:variant>
      <vt:variant>
        <vt:lpwstr/>
      </vt:variant>
      <vt:variant>
        <vt:lpwstr>_Toc399759954</vt:lpwstr>
      </vt:variant>
      <vt:variant>
        <vt:i4>1376310</vt:i4>
      </vt:variant>
      <vt:variant>
        <vt:i4>254</vt:i4>
      </vt:variant>
      <vt:variant>
        <vt:i4>0</vt:i4>
      </vt:variant>
      <vt:variant>
        <vt:i4>5</vt:i4>
      </vt:variant>
      <vt:variant>
        <vt:lpwstr/>
      </vt:variant>
      <vt:variant>
        <vt:lpwstr>_Toc399759953</vt:lpwstr>
      </vt:variant>
      <vt:variant>
        <vt:i4>1376310</vt:i4>
      </vt:variant>
      <vt:variant>
        <vt:i4>248</vt:i4>
      </vt:variant>
      <vt:variant>
        <vt:i4>0</vt:i4>
      </vt:variant>
      <vt:variant>
        <vt:i4>5</vt:i4>
      </vt:variant>
      <vt:variant>
        <vt:lpwstr/>
      </vt:variant>
      <vt:variant>
        <vt:lpwstr>_Toc399759952</vt:lpwstr>
      </vt:variant>
      <vt:variant>
        <vt:i4>1376310</vt:i4>
      </vt:variant>
      <vt:variant>
        <vt:i4>242</vt:i4>
      </vt:variant>
      <vt:variant>
        <vt:i4>0</vt:i4>
      </vt:variant>
      <vt:variant>
        <vt:i4>5</vt:i4>
      </vt:variant>
      <vt:variant>
        <vt:lpwstr/>
      </vt:variant>
      <vt:variant>
        <vt:lpwstr>_Toc399759951</vt:lpwstr>
      </vt:variant>
      <vt:variant>
        <vt:i4>1376310</vt:i4>
      </vt:variant>
      <vt:variant>
        <vt:i4>236</vt:i4>
      </vt:variant>
      <vt:variant>
        <vt:i4>0</vt:i4>
      </vt:variant>
      <vt:variant>
        <vt:i4>5</vt:i4>
      </vt:variant>
      <vt:variant>
        <vt:lpwstr/>
      </vt:variant>
      <vt:variant>
        <vt:lpwstr>_Toc399759950</vt:lpwstr>
      </vt:variant>
      <vt:variant>
        <vt:i4>1310774</vt:i4>
      </vt:variant>
      <vt:variant>
        <vt:i4>230</vt:i4>
      </vt:variant>
      <vt:variant>
        <vt:i4>0</vt:i4>
      </vt:variant>
      <vt:variant>
        <vt:i4>5</vt:i4>
      </vt:variant>
      <vt:variant>
        <vt:lpwstr/>
      </vt:variant>
      <vt:variant>
        <vt:lpwstr>_Toc399759949</vt:lpwstr>
      </vt:variant>
      <vt:variant>
        <vt:i4>1310774</vt:i4>
      </vt:variant>
      <vt:variant>
        <vt:i4>224</vt:i4>
      </vt:variant>
      <vt:variant>
        <vt:i4>0</vt:i4>
      </vt:variant>
      <vt:variant>
        <vt:i4>5</vt:i4>
      </vt:variant>
      <vt:variant>
        <vt:lpwstr/>
      </vt:variant>
      <vt:variant>
        <vt:lpwstr>_Toc399759948</vt:lpwstr>
      </vt:variant>
      <vt:variant>
        <vt:i4>1310774</vt:i4>
      </vt:variant>
      <vt:variant>
        <vt:i4>218</vt:i4>
      </vt:variant>
      <vt:variant>
        <vt:i4>0</vt:i4>
      </vt:variant>
      <vt:variant>
        <vt:i4>5</vt:i4>
      </vt:variant>
      <vt:variant>
        <vt:lpwstr/>
      </vt:variant>
      <vt:variant>
        <vt:lpwstr>_Toc399759947</vt:lpwstr>
      </vt:variant>
      <vt:variant>
        <vt:i4>1310774</vt:i4>
      </vt:variant>
      <vt:variant>
        <vt:i4>212</vt:i4>
      </vt:variant>
      <vt:variant>
        <vt:i4>0</vt:i4>
      </vt:variant>
      <vt:variant>
        <vt:i4>5</vt:i4>
      </vt:variant>
      <vt:variant>
        <vt:lpwstr/>
      </vt:variant>
      <vt:variant>
        <vt:lpwstr>_Toc399759946</vt:lpwstr>
      </vt:variant>
      <vt:variant>
        <vt:i4>1310774</vt:i4>
      </vt:variant>
      <vt:variant>
        <vt:i4>206</vt:i4>
      </vt:variant>
      <vt:variant>
        <vt:i4>0</vt:i4>
      </vt:variant>
      <vt:variant>
        <vt:i4>5</vt:i4>
      </vt:variant>
      <vt:variant>
        <vt:lpwstr/>
      </vt:variant>
      <vt:variant>
        <vt:lpwstr>_Toc399759945</vt:lpwstr>
      </vt:variant>
      <vt:variant>
        <vt:i4>1310774</vt:i4>
      </vt:variant>
      <vt:variant>
        <vt:i4>200</vt:i4>
      </vt:variant>
      <vt:variant>
        <vt:i4>0</vt:i4>
      </vt:variant>
      <vt:variant>
        <vt:i4>5</vt:i4>
      </vt:variant>
      <vt:variant>
        <vt:lpwstr/>
      </vt:variant>
      <vt:variant>
        <vt:lpwstr>_Toc399759944</vt:lpwstr>
      </vt:variant>
      <vt:variant>
        <vt:i4>1310774</vt:i4>
      </vt:variant>
      <vt:variant>
        <vt:i4>194</vt:i4>
      </vt:variant>
      <vt:variant>
        <vt:i4>0</vt:i4>
      </vt:variant>
      <vt:variant>
        <vt:i4>5</vt:i4>
      </vt:variant>
      <vt:variant>
        <vt:lpwstr/>
      </vt:variant>
      <vt:variant>
        <vt:lpwstr>_Toc399759943</vt:lpwstr>
      </vt:variant>
      <vt:variant>
        <vt:i4>1310774</vt:i4>
      </vt:variant>
      <vt:variant>
        <vt:i4>188</vt:i4>
      </vt:variant>
      <vt:variant>
        <vt:i4>0</vt:i4>
      </vt:variant>
      <vt:variant>
        <vt:i4>5</vt:i4>
      </vt:variant>
      <vt:variant>
        <vt:lpwstr/>
      </vt:variant>
      <vt:variant>
        <vt:lpwstr>_Toc399759942</vt:lpwstr>
      </vt:variant>
      <vt:variant>
        <vt:i4>1310774</vt:i4>
      </vt:variant>
      <vt:variant>
        <vt:i4>182</vt:i4>
      </vt:variant>
      <vt:variant>
        <vt:i4>0</vt:i4>
      </vt:variant>
      <vt:variant>
        <vt:i4>5</vt:i4>
      </vt:variant>
      <vt:variant>
        <vt:lpwstr/>
      </vt:variant>
      <vt:variant>
        <vt:lpwstr>_Toc399759941</vt:lpwstr>
      </vt:variant>
      <vt:variant>
        <vt:i4>1310774</vt:i4>
      </vt:variant>
      <vt:variant>
        <vt:i4>176</vt:i4>
      </vt:variant>
      <vt:variant>
        <vt:i4>0</vt:i4>
      </vt:variant>
      <vt:variant>
        <vt:i4>5</vt:i4>
      </vt:variant>
      <vt:variant>
        <vt:lpwstr/>
      </vt:variant>
      <vt:variant>
        <vt:lpwstr>_Toc399759940</vt:lpwstr>
      </vt:variant>
      <vt:variant>
        <vt:i4>1245238</vt:i4>
      </vt:variant>
      <vt:variant>
        <vt:i4>170</vt:i4>
      </vt:variant>
      <vt:variant>
        <vt:i4>0</vt:i4>
      </vt:variant>
      <vt:variant>
        <vt:i4>5</vt:i4>
      </vt:variant>
      <vt:variant>
        <vt:lpwstr/>
      </vt:variant>
      <vt:variant>
        <vt:lpwstr>_Toc399759939</vt:lpwstr>
      </vt:variant>
      <vt:variant>
        <vt:i4>1245238</vt:i4>
      </vt:variant>
      <vt:variant>
        <vt:i4>164</vt:i4>
      </vt:variant>
      <vt:variant>
        <vt:i4>0</vt:i4>
      </vt:variant>
      <vt:variant>
        <vt:i4>5</vt:i4>
      </vt:variant>
      <vt:variant>
        <vt:lpwstr/>
      </vt:variant>
      <vt:variant>
        <vt:lpwstr>_Toc399759938</vt:lpwstr>
      </vt:variant>
      <vt:variant>
        <vt:i4>1245238</vt:i4>
      </vt:variant>
      <vt:variant>
        <vt:i4>158</vt:i4>
      </vt:variant>
      <vt:variant>
        <vt:i4>0</vt:i4>
      </vt:variant>
      <vt:variant>
        <vt:i4>5</vt:i4>
      </vt:variant>
      <vt:variant>
        <vt:lpwstr/>
      </vt:variant>
      <vt:variant>
        <vt:lpwstr>_Toc399759937</vt:lpwstr>
      </vt:variant>
      <vt:variant>
        <vt:i4>1245238</vt:i4>
      </vt:variant>
      <vt:variant>
        <vt:i4>152</vt:i4>
      </vt:variant>
      <vt:variant>
        <vt:i4>0</vt:i4>
      </vt:variant>
      <vt:variant>
        <vt:i4>5</vt:i4>
      </vt:variant>
      <vt:variant>
        <vt:lpwstr/>
      </vt:variant>
      <vt:variant>
        <vt:lpwstr>_Toc399759936</vt:lpwstr>
      </vt:variant>
      <vt:variant>
        <vt:i4>1245238</vt:i4>
      </vt:variant>
      <vt:variant>
        <vt:i4>146</vt:i4>
      </vt:variant>
      <vt:variant>
        <vt:i4>0</vt:i4>
      </vt:variant>
      <vt:variant>
        <vt:i4>5</vt:i4>
      </vt:variant>
      <vt:variant>
        <vt:lpwstr/>
      </vt:variant>
      <vt:variant>
        <vt:lpwstr>_Toc399759935</vt:lpwstr>
      </vt:variant>
      <vt:variant>
        <vt:i4>1245238</vt:i4>
      </vt:variant>
      <vt:variant>
        <vt:i4>140</vt:i4>
      </vt:variant>
      <vt:variant>
        <vt:i4>0</vt:i4>
      </vt:variant>
      <vt:variant>
        <vt:i4>5</vt:i4>
      </vt:variant>
      <vt:variant>
        <vt:lpwstr/>
      </vt:variant>
      <vt:variant>
        <vt:lpwstr>_Toc399759934</vt:lpwstr>
      </vt:variant>
      <vt:variant>
        <vt:i4>1245238</vt:i4>
      </vt:variant>
      <vt:variant>
        <vt:i4>134</vt:i4>
      </vt:variant>
      <vt:variant>
        <vt:i4>0</vt:i4>
      </vt:variant>
      <vt:variant>
        <vt:i4>5</vt:i4>
      </vt:variant>
      <vt:variant>
        <vt:lpwstr/>
      </vt:variant>
      <vt:variant>
        <vt:lpwstr>_Toc399759933</vt:lpwstr>
      </vt:variant>
      <vt:variant>
        <vt:i4>1245238</vt:i4>
      </vt:variant>
      <vt:variant>
        <vt:i4>128</vt:i4>
      </vt:variant>
      <vt:variant>
        <vt:i4>0</vt:i4>
      </vt:variant>
      <vt:variant>
        <vt:i4>5</vt:i4>
      </vt:variant>
      <vt:variant>
        <vt:lpwstr/>
      </vt:variant>
      <vt:variant>
        <vt:lpwstr>_Toc399759932</vt:lpwstr>
      </vt:variant>
      <vt:variant>
        <vt:i4>1245238</vt:i4>
      </vt:variant>
      <vt:variant>
        <vt:i4>122</vt:i4>
      </vt:variant>
      <vt:variant>
        <vt:i4>0</vt:i4>
      </vt:variant>
      <vt:variant>
        <vt:i4>5</vt:i4>
      </vt:variant>
      <vt:variant>
        <vt:lpwstr/>
      </vt:variant>
      <vt:variant>
        <vt:lpwstr>_Toc399759931</vt:lpwstr>
      </vt:variant>
      <vt:variant>
        <vt:i4>1245238</vt:i4>
      </vt:variant>
      <vt:variant>
        <vt:i4>116</vt:i4>
      </vt:variant>
      <vt:variant>
        <vt:i4>0</vt:i4>
      </vt:variant>
      <vt:variant>
        <vt:i4>5</vt:i4>
      </vt:variant>
      <vt:variant>
        <vt:lpwstr/>
      </vt:variant>
      <vt:variant>
        <vt:lpwstr>_Toc399759930</vt:lpwstr>
      </vt:variant>
      <vt:variant>
        <vt:i4>1179702</vt:i4>
      </vt:variant>
      <vt:variant>
        <vt:i4>110</vt:i4>
      </vt:variant>
      <vt:variant>
        <vt:i4>0</vt:i4>
      </vt:variant>
      <vt:variant>
        <vt:i4>5</vt:i4>
      </vt:variant>
      <vt:variant>
        <vt:lpwstr/>
      </vt:variant>
      <vt:variant>
        <vt:lpwstr>_Toc399759929</vt:lpwstr>
      </vt:variant>
      <vt:variant>
        <vt:i4>1179702</vt:i4>
      </vt:variant>
      <vt:variant>
        <vt:i4>104</vt:i4>
      </vt:variant>
      <vt:variant>
        <vt:i4>0</vt:i4>
      </vt:variant>
      <vt:variant>
        <vt:i4>5</vt:i4>
      </vt:variant>
      <vt:variant>
        <vt:lpwstr/>
      </vt:variant>
      <vt:variant>
        <vt:lpwstr>_Toc399759928</vt:lpwstr>
      </vt:variant>
      <vt:variant>
        <vt:i4>1179702</vt:i4>
      </vt:variant>
      <vt:variant>
        <vt:i4>98</vt:i4>
      </vt:variant>
      <vt:variant>
        <vt:i4>0</vt:i4>
      </vt:variant>
      <vt:variant>
        <vt:i4>5</vt:i4>
      </vt:variant>
      <vt:variant>
        <vt:lpwstr/>
      </vt:variant>
      <vt:variant>
        <vt:lpwstr>_Toc399759927</vt:lpwstr>
      </vt:variant>
      <vt:variant>
        <vt:i4>1179702</vt:i4>
      </vt:variant>
      <vt:variant>
        <vt:i4>92</vt:i4>
      </vt:variant>
      <vt:variant>
        <vt:i4>0</vt:i4>
      </vt:variant>
      <vt:variant>
        <vt:i4>5</vt:i4>
      </vt:variant>
      <vt:variant>
        <vt:lpwstr/>
      </vt:variant>
      <vt:variant>
        <vt:lpwstr>_Toc399759926</vt:lpwstr>
      </vt:variant>
      <vt:variant>
        <vt:i4>1179702</vt:i4>
      </vt:variant>
      <vt:variant>
        <vt:i4>86</vt:i4>
      </vt:variant>
      <vt:variant>
        <vt:i4>0</vt:i4>
      </vt:variant>
      <vt:variant>
        <vt:i4>5</vt:i4>
      </vt:variant>
      <vt:variant>
        <vt:lpwstr/>
      </vt:variant>
      <vt:variant>
        <vt:lpwstr>_Toc399759925</vt:lpwstr>
      </vt:variant>
      <vt:variant>
        <vt:i4>1179702</vt:i4>
      </vt:variant>
      <vt:variant>
        <vt:i4>80</vt:i4>
      </vt:variant>
      <vt:variant>
        <vt:i4>0</vt:i4>
      </vt:variant>
      <vt:variant>
        <vt:i4>5</vt:i4>
      </vt:variant>
      <vt:variant>
        <vt:lpwstr/>
      </vt:variant>
      <vt:variant>
        <vt:lpwstr>_Toc399759924</vt:lpwstr>
      </vt:variant>
      <vt:variant>
        <vt:i4>1179702</vt:i4>
      </vt:variant>
      <vt:variant>
        <vt:i4>74</vt:i4>
      </vt:variant>
      <vt:variant>
        <vt:i4>0</vt:i4>
      </vt:variant>
      <vt:variant>
        <vt:i4>5</vt:i4>
      </vt:variant>
      <vt:variant>
        <vt:lpwstr/>
      </vt:variant>
      <vt:variant>
        <vt:lpwstr>_Toc399759923</vt:lpwstr>
      </vt:variant>
      <vt:variant>
        <vt:i4>1179702</vt:i4>
      </vt:variant>
      <vt:variant>
        <vt:i4>68</vt:i4>
      </vt:variant>
      <vt:variant>
        <vt:i4>0</vt:i4>
      </vt:variant>
      <vt:variant>
        <vt:i4>5</vt:i4>
      </vt:variant>
      <vt:variant>
        <vt:lpwstr/>
      </vt:variant>
      <vt:variant>
        <vt:lpwstr>_Toc399759922</vt:lpwstr>
      </vt:variant>
      <vt:variant>
        <vt:i4>1179702</vt:i4>
      </vt:variant>
      <vt:variant>
        <vt:i4>62</vt:i4>
      </vt:variant>
      <vt:variant>
        <vt:i4>0</vt:i4>
      </vt:variant>
      <vt:variant>
        <vt:i4>5</vt:i4>
      </vt:variant>
      <vt:variant>
        <vt:lpwstr/>
      </vt:variant>
      <vt:variant>
        <vt:lpwstr>_Toc399759921</vt:lpwstr>
      </vt:variant>
      <vt:variant>
        <vt:i4>1179702</vt:i4>
      </vt:variant>
      <vt:variant>
        <vt:i4>56</vt:i4>
      </vt:variant>
      <vt:variant>
        <vt:i4>0</vt:i4>
      </vt:variant>
      <vt:variant>
        <vt:i4>5</vt:i4>
      </vt:variant>
      <vt:variant>
        <vt:lpwstr/>
      </vt:variant>
      <vt:variant>
        <vt:lpwstr>_Toc399759920</vt:lpwstr>
      </vt:variant>
      <vt:variant>
        <vt:i4>1114166</vt:i4>
      </vt:variant>
      <vt:variant>
        <vt:i4>50</vt:i4>
      </vt:variant>
      <vt:variant>
        <vt:i4>0</vt:i4>
      </vt:variant>
      <vt:variant>
        <vt:i4>5</vt:i4>
      </vt:variant>
      <vt:variant>
        <vt:lpwstr/>
      </vt:variant>
      <vt:variant>
        <vt:lpwstr>_Toc399759919</vt:lpwstr>
      </vt:variant>
      <vt:variant>
        <vt:i4>1114166</vt:i4>
      </vt:variant>
      <vt:variant>
        <vt:i4>44</vt:i4>
      </vt:variant>
      <vt:variant>
        <vt:i4>0</vt:i4>
      </vt:variant>
      <vt:variant>
        <vt:i4>5</vt:i4>
      </vt:variant>
      <vt:variant>
        <vt:lpwstr/>
      </vt:variant>
      <vt:variant>
        <vt:lpwstr>_Toc399759918</vt:lpwstr>
      </vt:variant>
      <vt:variant>
        <vt:i4>1114166</vt:i4>
      </vt:variant>
      <vt:variant>
        <vt:i4>38</vt:i4>
      </vt:variant>
      <vt:variant>
        <vt:i4>0</vt:i4>
      </vt:variant>
      <vt:variant>
        <vt:i4>5</vt:i4>
      </vt:variant>
      <vt:variant>
        <vt:lpwstr/>
      </vt:variant>
      <vt:variant>
        <vt:lpwstr>_Toc399759917</vt:lpwstr>
      </vt:variant>
      <vt:variant>
        <vt:i4>1114166</vt:i4>
      </vt:variant>
      <vt:variant>
        <vt:i4>32</vt:i4>
      </vt:variant>
      <vt:variant>
        <vt:i4>0</vt:i4>
      </vt:variant>
      <vt:variant>
        <vt:i4>5</vt:i4>
      </vt:variant>
      <vt:variant>
        <vt:lpwstr/>
      </vt:variant>
      <vt:variant>
        <vt:lpwstr>_Toc399759916</vt:lpwstr>
      </vt:variant>
      <vt:variant>
        <vt:i4>1114166</vt:i4>
      </vt:variant>
      <vt:variant>
        <vt:i4>26</vt:i4>
      </vt:variant>
      <vt:variant>
        <vt:i4>0</vt:i4>
      </vt:variant>
      <vt:variant>
        <vt:i4>5</vt:i4>
      </vt:variant>
      <vt:variant>
        <vt:lpwstr/>
      </vt:variant>
      <vt:variant>
        <vt:lpwstr>_Toc399759915</vt:lpwstr>
      </vt:variant>
      <vt:variant>
        <vt:i4>1114166</vt:i4>
      </vt:variant>
      <vt:variant>
        <vt:i4>20</vt:i4>
      </vt:variant>
      <vt:variant>
        <vt:i4>0</vt:i4>
      </vt:variant>
      <vt:variant>
        <vt:i4>5</vt:i4>
      </vt:variant>
      <vt:variant>
        <vt:lpwstr/>
      </vt:variant>
      <vt:variant>
        <vt:lpwstr>_Toc399759914</vt:lpwstr>
      </vt:variant>
      <vt:variant>
        <vt:i4>1114166</vt:i4>
      </vt:variant>
      <vt:variant>
        <vt:i4>14</vt:i4>
      </vt:variant>
      <vt:variant>
        <vt:i4>0</vt:i4>
      </vt:variant>
      <vt:variant>
        <vt:i4>5</vt:i4>
      </vt:variant>
      <vt:variant>
        <vt:lpwstr/>
      </vt:variant>
      <vt:variant>
        <vt:lpwstr>_Toc399759913</vt:lpwstr>
      </vt:variant>
      <vt:variant>
        <vt:i4>1114166</vt:i4>
      </vt:variant>
      <vt:variant>
        <vt:i4>8</vt:i4>
      </vt:variant>
      <vt:variant>
        <vt:i4>0</vt:i4>
      </vt:variant>
      <vt:variant>
        <vt:i4>5</vt:i4>
      </vt:variant>
      <vt:variant>
        <vt:lpwstr/>
      </vt:variant>
      <vt:variant>
        <vt:lpwstr>_Toc399759912</vt:lpwstr>
      </vt:variant>
      <vt:variant>
        <vt:i4>1114166</vt:i4>
      </vt:variant>
      <vt:variant>
        <vt:i4>2</vt:i4>
      </vt:variant>
      <vt:variant>
        <vt:i4>0</vt:i4>
      </vt:variant>
      <vt:variant>
        <vt:i4>5</vt:i4>
      </vt:variant>
      <vt:variant>
        <vt:lpwstr/>
      </vt:variant>
      <vt:variant>
        <vt:lpwstr>_Toc399759911</vt:lpwstr>
      </vt:variant>
      <vt:variant>
        <vt:i4>7864321</vt:i4>
      </vt:variant>
      <vt:variant>
        <vt:i4>9</vt:i4>
      </vt:variant>
      <vt:variant>
        <vt:i4>0</vt:i4>
      </vt:variant>
      <vt:variant>
        <vt:i4>5</vt:i4>
      </vt:variant>
      <vt:variant>
        <vt:lpwstr>http://ec.europa.eu/information_society/policy/ecomm/doc/library/proposals/rec_markets_en.pdf</vt:lpwstr>
      </vt:variant>
      <vt:variant>
        <vt:lpwstr/>
      </vt:variant>
      <vt:variant>
        <vt:i4>6488165</vt:i4>
      </vt:variant>
      <vt:variant>
        <vt:i4>6</vt:i4>
      </vt:variant>
      <vt:variant>
        <vt:i4>0</vt:i4>
      </vt:variant>
      <vt:variant>
        <vt:i4>5</vt:i4>
      </vt:variant>
      <vt:variant>
        <vt:lpwstr>http://www.aek.mk/mk/dokumenti/izveshtai/ispituvanje-na-javno-mislenje</vt:lpwstr>
      </vt:variant>
      <vt:variant>
        <vt:lpwstr/>
      </vt:variant>
      <vt:variant>
        <vt:i4>851992</vt:i4>
      </vt:variant>
      <vt:variant>
        <vt:i4>3</vt:i4>
      </vt:variant>
      <vt:variant>
        <vt:i4>0</vt:i4>
      </vt:variant>
      <vt:variant>
        <vt:i4>5</vt:i4>
      </vt:variant>
      <vt:variant>
        <vt:lpwstr>http://www.aek.mk/mk/dokumenti/izveshtai/kvartalni-izveshtai-za-analiza-na-pazar</vt:lpwstr>
      </vt:variant>
      <vt:variant>
        <vt:lpwstr/>
      </vt:variant>
      <vt:variant>
        <vt:i4>7340050</vt:i4>
      </vt:variant>
      <vt:variant>
        <vt:i4>0</vt:i4>
      </vt:variant>
      <vt:variant>
        <vt:i4>0</vt:i4>
      </vt:variant>
      <vt:variant>
        <vt:i4>5</vt:i4>
      </vt:variant>
      <vt:variant>
        <vt:lpwstr>http://www.aec.mk/index.php?option=com_content&amp;view=article&amp;id=93&amp;Itemid=80&amp;lang=mk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Biserka</dc:creator>
  <cp:lastModifiedBy>Aleksandar.Kocevski</cp:lastModifiedBy>
  <cp:revision>6</cp:revision>
  <cp:lastPrinted>2016-09-14T12:24:00Z</cp:lastPrinted>
  <dcterms:created xsi:type="dcterms:W3CDTF">2016-10-28T08:54:00Z</dcterms:created>
  <dcterms:modified xsi:type="dcterms:W3CDTF">2016-11-09T09:45:00Z</dcterms:modified>
</cp:coreProperties>
</file>