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EE" w:rsidRPr="00FA3842" w:rsidRDefault="008E04EE" w:rsidP="008E04EE">
      <w:pPr>
        <w:pStyle w:val="Heading2"/>
        <w:jc w:val="center"/>
        <w:rPr>
          <w:rFonts w:ascii="Arial" w:hAnsi="Arial" w:cs="Arial"/>
          <w:sz w:val="20"/>
          <w:lang w:val="mk-MK"/>
        </w:rPr>
      </w:pPr>
    </w:p>
    <w:p w:rsidR="00AD1136" w:rsidRPr="00FA3842" w:rsidRDefault="00AD1136" w:rsidP="008E04EE">
      <w:pPr>
        <w:pStyle w:val="Heading2"/>
        <w:jc w:val="center"/>
        <w:rPr>
          <w:rFonts w:ascii="Arial" w:hAnsi="Arial" w:cs="Arial"/>
          <w:sz w:val="20"/>
          <w:lang w:val="mk-MK"/>
        </w:rPr>
      </w:pPr>
    </w:p>
    <w:p w:rsidR="005D239D" w:rsidRPr="00FA3842" w:rsidRDefault="00C567C8" w:rsidP="008E04EE">
      <w:pPr>
        <w:pStyle w:val="Heading2"/>
        <w:jc w:val="center"/>
        <w:rPr>
          <w:rFonts w:ascii="Arial" w:hAnsi="Arial" w:cs="Arial"/>
          <w:sz w:val="20"/>
          <w:lang w:val="en-US"/>
        </w:rPr>
      </w:pPr>
      <w:r w:rsidRPr="00FA3842">
        <w:rPr>
          <w:rFonts w:ascii="Arial" w:hAnsi="Arial" w:cs="Arial"/>
          <w:sz w:val="20"/>
          <w:lang w:val="mk-MK"/>
        </w:rPr>
        <w:t>Одговор на Пристигнати коментари по јавната расправа за Предлог План за намена на радиофреквенциските опсези во Република Македонија</w:t>
      </w:r>
    </w:p>
    <w:p w:rsidR="007B08E7" w:rsidRPr="00FA3842" w:rsidRDefault="007B08E7" w:rsidP="007B08E7">
      <w:pPr>
        <w:rPr>
          <w:rFonts w:ascii="Arial" w:hAnsi="Arial" w:cs="Arial"/>
          <w:sz w:val="20"/>
          <w:szCs w:val="20"/>
          <w:lang w:val="mk-MK"/>
        </w:rPr>
      </w:pPr>
    </w:p>
    <w:p w:rsidR="00AD1136" w:rsidRPr="00FA3842" w:rsidRDefault="00AD1136" w:rsidP="007B08E7">
      <w:pPr>
        <w:rPr>
          <w:rFonts w:ascii="Arial" w:hAnsi="Arial" w:cs="Arial"/>
          <w:sz w:val="20"/>
          <w:szCs w:val="20"/>
          <w:lang w:val="mk-MK"/>
        </w:rPr>
      </w:pPr>
    </w:p>
    <w:tbl>
      <w:tblPr>
        <w:tblW w:w="5277" w:type="pct"/>
        <w:jc w:val="center"/>
        <w:tblInd w:w="-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8"/>
        <w:gridCol w:w="2308"/>
      </w:tblGrid>
      <w:tr w:rsidR="004214A5" w:rsidRPr="00FA3842" w:rsidTr="004214A5">
        <w:trPr>
          <w:jc w:val="center"/>
        </w:trPr>
        <w:tc>
          <w:tcPr>
            <w:tcW w:w="3878" w:type="pct"/>
          </w:tcPr>
          <w:p w:rsidR="004214A5" w:rsidRPr="00FA3842" w:rsidRDefault="004214A5" w:rsidP="00794599">
            <w:pPr>
              <w:jc w:val="center"/>
              <w:rPr>
                <w:rFonts w:ascii="Arial" w:hAnsi="Arial" w:cs="Arial"/>
                <w:b/>
                <w:sz w:val="20"/>
                <w:szCs w:val="20"/>
                <w:lang w:val="mk-MK"/>
              </w:rPr>
            </w:pPr>
            <w:r w:rsidRPr="00FA3842">
              <w:rPr>
                <w:rFonts w:ascii="Arial" w:hAnsi="Arial" w:cs="Arial"/>
                <w:b/>
                <w:sz w:val="20"/>
                <w:szCs w:val="20"/>
                <w:lang w:val="mk-MK"/>
              </w:rPr>
              <w:t>Коментар</w:t>
            </w:r>
          </w:p>
        </w:tc>
        <w:tc>
          <w:tcPr>
            <w:tcW w:w="1122" w:type="pct"/>
          </w:tcPr>
          <w:p w:rsidR="004214A5" w:rsidRPr="00FA3842" w:rsidRDefault="004214A5" w:rsidP="00794599">
            <w:pPr>
              <w:jc w:val="center"/>
              <w:rPr>
                <w:rFonts w:ascii="Arial" w:hAnsi="Arial" w:cs="Arial"/>
                <w:b/>
                <w:sz w:val="20"/>
                <w:szCs w:val="20"/>
                <w:lang w:val="mk-MK"/>
              </w:rPr>
            </w:pPr>
            <w:r w:rsidRPr="00FA3842">
              <w:rPr>
                <w:rFonts w:ascii="Arial" w:hAnsi="Arial" w:cs="Arial"/>
                <w:b/>
                <w:sz w:val="20"/>
                <w:szCs w:val="20"/>
                <w:lang w:val="mk-MK"/>
              </w:rPr>
              <w:t>Одговор на АЕК</w:t>
            </w:r>
          </w:p>
        </w:tc>
      </w:tr>
      <w:tr w:rsidR="004214A5" w:rsidRPr="00FA3842" w:rsidTr="004214A5">
        <w:trPr>
          <w:jc w:val="center"/>
        </w:trPr>
        <w:tc>
          <w:tcPr>
            <w:tcW w:w="3878" w:type="pct"/>
          </w:tcPr>
          <w:p w:rsidR="004214A5" w:rsidRPr="00FA3842" w:rsidRDefault="004214A5" w:rsidP="004214A5">
            <w:pPr>
              <w:rPr>
                <w:rFonts w:ascii="Arial" w:hAnsi="Arial" w:cs="Arial"/>
                <w:b/>
                <w:sz w:val="20"/>
                <w:szCs w:val="20"/>
                <w:lang w:val="en-GB"/>
              </w:rPr>
            </w:pPr>
            <w:r w:rsidRPr="00FA3842">
              <w:rPr>
                <w:rFonts w:ascii="Arial" w:hAnsi="Arial" w:cs="Arial"/>
                <w:b/>
                <w:sz w:val="20"/>
                <w:szCs w:val="20"/>
                <w:lang w:val="mk-MK"/>
              </w:rPr>
              <w:t>Македонски Телеком</w:t>
            </w:r>
            <w:r w:rsidRPr="00FA3842">
              <w:rPr>
                <w:rFonts w:ascii="Arial" w:hAnsi="Arial" w:cs="Arial"/>
                <w:b/>
                <w:sz w:val="20"/>
                <w:szCs w:val="20"/>
                <w:lang w:val="en-GB"/>
              </w:rPr>
              <w:t>:</w:t>
            </w:r>
          </w:p>
          <w:p w:rsidR="004214A5" w:rsidRPr="00FA3842" w:rsidRDefault="004214A5" w:rsidP="00FA3842">
            <w:pPr>
              <w:pStyle w:val="ListParagraph"/>
              <w:ind w:left="0"/>
              <w:rPr>
                <w:rFonts w:ascii="Arial" w:hAnsi="Arial" w:cs="Arial"/>
                <w:sz w:val="20"/>
                <w:szCs w:val="20"/>
                <w:lang w:val="mk-MK"/>
              </w:rPr>
            </w:pPr>
            <w:r w:rsidRPr="00FA3842">
              <w:rPr>
                <w:rFonts w:ascii="Arial" w:hAnsi="Arial" w:cs="Arial"/>
                <w:sz w:val="20"/>
                <w:szCs w:val="20"/>
                <w:lang w:val="mk-MK"/>
              </w:rPr>
              <w:t xml:space="preserve"> Став на Македонски Телеком е дека пред објавување на тендерот за 5G радиофреквентни опсези, најавен за крајот на 2020,  сите радиофреквентни опсези под 1GHz - 700, 800, 900 MHz како и опсезите 1800, 2100 година, треба да бидат технолошки неутрални со можност за воведување на 5G технологија без никакви ограничувања. Покрај иницијално дефинираните опсези за воведување на 5G според ЕУ 5G агендата (700 MHz, 3.х GHz и 26 GHz), развојот на технологиите овозможува сите фреквентни опсези да се користат за 5G при што во почетниот период, кога за 5G услугите сеуште нема доволна побарувачка, ќе се овозможи користење на постојните мрежи и радиофреквентни опсези и распределување на инвестициите на подолг временски период.  </w:t>
            </w:r>
          </w:p>
          <w:p w:rsidR="00FA0A5D" w:rsidRDefault="00FA0A5D" w:rsidP="00FA3842">
            <w:pPr>
              <w:pStyle w:val="ListParagraph"/>
              <w:ind w:left="0"/>
              <w:rPr>
                <w:rFonts w:ascii="Arial" w:hAnsi="Arial" w:cs="Arial"/>
                <w:sz w:val="20"/>
                <w:szCs w:val="20"/>
                <w:lang w:val="mk-MK"/>
              </w:rPr>
            </w:pPr>
          </w:p>
          <w:p w:rsidR="004214A5" w:rsidRPr="00FA3842" w:rsidRDefault="004214A5" w:rsidP="00FA3842">
            <w:pPr>
              <w:pStyle w:val="ListParagraph"/>
              <w:ind w:left="0"/>
              <w:rPr>
                <w:rFonts w:ascii="Arial" w:hAnsi="Arial" w:cs="Arial"/>
                <w:sz w:val="20"/>
                <w:szCs w:val="20"/>
                <w:lang w:val="mk-MK"/>
              </w:rPr>
            </w:pPr>
            <w:r w:rsidRPr="00FA3842">
              <w:rPr>
                <w:rFonts w:ascii="Arial" w:hAnsi="Arial" w:cs="Arial"/>
                <w:sz w:val="20"/>
                <w:szCs w:val="20"/>
                <w:lang w:val="mk-MK"/>
              </w:rPr>
              <w:t xml:space="preserve">Во предложените измени на планот опсегот 700 MHz  се пренаменува за мобилен широкопојасен интернет, со што овој опсег станува технолошки неутрален односно наменет за MFCN (mobile/fixed communication networks и достапен за воведување на 5G). Исто така, опсегот 26 GHz се пренаменува за MFCN. </w:t>
            </w:r>
          </w:p>
          <w:p w:rsidR="004214A5" w:rsidRPr="00FA3842" w:rsidRDefault="004214A5" w:rsidP="00FA3842">
            <w:pPr>
              <w:pStyle w:val="ListParagraph"/>
              <w:ind w:left="0"/>
              <w:rPr>
                <w:rFonts w:ascii="Arial" w:hAnsi="Arial" w:cs="Arial"/>
                <w:sz w:val="20"/>
                <w:szCs w:val="20"/>
                <w:lang w:val="mk-MK"/>
              </w:rPr>
            </w:pPr>
            <w:r w:rsidRPr="00FA3842">
              <w:rPr>
                <w:rFonts w:ascii="Arial" w:hAnsi="Arial" w:cs="Arial"/>
                <w:sz w:val="20"/>
                <w:szCs w:val="20"/>
                <w:lang w:val="mk-MK"/>
              </w:rPr>
              <w:t>Опсезите 800 MHz, 2100 MHz, 2600 MHz се веќе наменети за MFCN, но не и опсезите  900 MHz и 1800 MHz што сметаме дека треба да се измени со што истите ќе бидат технолошки неутрални.</w:t>
            </w:r>
          </w:p>
          <w:p w:rsidR="00FA0A5D" w:rsidRDefault="00FA0A5D" w:rsidP="00FA3842">
            <w:pPr>
              <w:pStyle w:val="ListParagraph"/>
              <w:ind w:left="0"/>
              <w:rPr>
                <w:rFonts w:ascii="Arial" w:hAnsi="Arial" w:cs="Arial"/>
                <w:sz w:val="20"/>
                <w:szCs w:val="20"/>
                <w:lang w:val="mk-MK"/>
              </w:rPr>
            </w:pPr>
          </w:p>
          <w:p w:rsidR="00FA0A5D" w:rsidRDefault="004214A5" w:rsidP="00FA0A5D">
            <w:pPr>
              <w:pStyle w:val="ListParagraph"/>
              <w:ind w:left="0"/>
              <w:rPr>
                <w:rFonts w:ascii="Arial" w:hAnsi="Arial" w:cs="Arial"/>
                <w:sz w:val="20"/>
                <w:szCs w:val="20"/>
                <w:lang w:val="mk-MK"/>
              </w:rPr>
            </w:pPr>
            <w:r w:rsidRPr="00FA3842">
              <w:rPr>
                <w:rFonts w:ascii="Arial" w:hAnsi="Arial" w:cs="Arial"/>
                <w:sz w:val="20"/>
                <w:szCs w:val="20"/>
                <w:lang w:val="mk-MK"/>
              </w:rPr>
              <w:t>Нашето барање го поткрепуваме со  повеќе аргументи, а како прво го наведуваме мислењето на RSPG (Radio spectrum policy group) “RSPG Opinion on 5G implementation challenges (RSPG 3rd opinion on 5G)”од јануари 2019 година според кое надвор од примарните 700 MHz, 3,4-3,8 GHz и 26 GHz  опсези наменети за  5G  според мислењето на Европската комисија, потребно е да се направи  ажурирање на европските усогласени технички услови за 5G во краток временски рок и за опсезите 900/1800 MHz, 2,1 GHz и 2,6 GHz, а во согласност со побарувањата на пазарот.</w:t>
            </w:r>
          </w:p>
          <w:p w:rsidR="00FA0A5D" w:rsidRDefault="00FA0A5D" w:rsidP="00FA0A5D">
            <w:pPr>
              <w:pStyle w:val="ListParagraph"/>
              <w:ind w:left="0"/>
              <w:rPr>
                <w:rFonts w:ascii="Arial" w:hAnsi="Arial" w:cs="Arial"/>
                <w:sz w:val="20"/>
                <w:szCs w:val="20"/>
                <w:lang w:val="mk-MK"/>
              </w:rPr>
            </w:pPr>
          </w:p>
          <w:p w:rsidR="004214A5" w:rsidRPr="00FA0A5D" w:rsidRDefault="004214A5" w:rsidP="00FA0A5D">
            <w:pPr>
              <w:pStyle w:val="ListParagraph"/>
              <w:ind w:left="0"/>
              <w:rPr>
                <w:rFonts w:ascii="Arial" w:hAnsi="Arial" w:cs="Arial"/>
                <w:sz w:val="20"/>
                <w:szCs w:val="20"/>
                <w:lang w:val="mk-MK"/>
              </w:rPr>
            </w:pPr>
            <w:r w:rsidRPr="00FA3842">
              <w:rPr>
                <w:rFonts w:ascii="Arial" w:hAnsi="Arial" w:cs="Arial"/>
                <w:sz w:val="20"/>
                <w:szCs w:val="20"/>
                <w:lang w:val="mk-MK"/>
              </w:rPr>
              <w:t>Следствено на  мислењето на RSPG, во март 2019 година, Европската комисија го објавува извештајот ECC Report 297- “Analysis of the suitability and update of the regulatory technical conditions for 5G MFCN and AAS operation in the 900 MHz and 1800 MHz bands” кој ги проценува техничките услови за користење на 900 MHz и 1800 MHz фреквентните опсези и нивната соодветност за употреба на 5G.</w:t>
            </w:r>
          </w:p>
          <w:p w:rsidR="00FA0A5D" w:rsidRDefault="00FA0A5D" w:rsidP="00FA0A5D">
            <w:pPr>
              <w:pStyle w:val="ListParagraph"/>
              <w:ind w:left="0"/>
              <w:rPr>
                <w:rFonts w:ascii="Arial" w:hAnsi="Arial" w:cs="Arial"/>
                <w:sz w:val="20"/>
                <w:szCs w:val="20"/>
                <w:lang w:val="mk-MK"/>
              </w:rPr>
            </w:pPr>
          </w:p>
          <w:p w:rsidR="004214A5" w:rsidRPr="00FA0A5D" w:rsidRDefault="004214A5" w:rsidP="00FA0A5D">
            <w:pPr>
              <w:pStyle w:val="ListParagraph"/>
              <w:ind w:left="0"/>
              <w:rPr>
                <w:rFonts w:ascii="Arial" w:hAnsi="Arial" w:cs="Arial"/>
                <w:sz w:val="20"/>
                <w:szCs w:val="20"/>
                <w:lang w:val="mk-MK"/>
              </w:rPr>
            </w:pPr>
            <w:r w:rsidRPr="00FA3842">
              <w:rPr>
                <w:rFonts w:ascii="Arial" w:hAnsi="Arial" w:cs="Arial"/>
                <w:sz w:val="20"/>
                <w:szCs w:val="20"/>
                <w:lang w:val="mk-MK"/>
              </w:rPr>
              <w:t xml:space="preserve">Исто така, во март 2019 година беше објавено дополнување на одлуката ECC/DEC/(06)13 </w:t>
            </w:r>
            <w:r w:rsidRPr="00FA0A5D">
              <w:rPr>
                <w:rFonts w:ascii="Arial" w:hAnsi="Arial" w:cs="Arial"/>
                <w:sz w:val="20"/>
                <w:szCs w:val="20"/>
                <w:lang w:val="mk-MK"/>
              </w:rPr>
              <w:t>Designation of GSM-900/1800 bands for terrestrial UMTS, LTE and WiMAX systems.</w:t>
            </w:r>
            <w:r w:rsidRPr="00FA3842">
              <w:rPr>
                <w:rFonts w:ascii="Arial" w:hAnsi="Arial" w:cs="Arial"/>
                <w:sz w:val="20"/>
                <w:szCs w:val="20"/>
                <w:lang w:val="mk-MK"/>
              </w:rPr>
              <w:t xml:space="preserve"> Оваа одлука на ECC ги донесува неопходните одредби за дедицирање на опсезите 880-915 MHz, 925- 960 MHz, 1710-1785 MHz и 1805-1880 MHz за копнени UMTS, LTE, NR и WiMAX системи.</w:t>
            </w:r>
          </w:p>
          <w:p w:rsidR="00FA0A5D" w:rsidRDefault="00FA0A5D" w:rsidP="00FA0A5D">
            <w:pPr>
              <w:pStyle w:val="ListParagraph"/>
              <w:ind w:left="0"/>
              <w:rPr>
                <w:rFonts w:ascii="Arial" w:hAnsi="Arial" w:cs="Arial"/>
                <w:sz w:val="20"/>
                <w:szCs w:val="20"/>
                <w:lang w:val="mk-MK"/>
              </w:rPr>
            </w:pPr>
          </w:p>
          <w:p w:rsidR="004214A5" w:rsidRPr="00FA3842" w:rsidRDefault="004214A5" w:rsidP="00FA0A5D">
            <w:pPr>
              <w:pStyle w:val="ListParagraph"/>
              <w:ind w:left="0"/>
              <w:rPr>
                <w:rFonts w:ascii="Arial" w:hAnsi="Arial" w:cs="Arial"/>
                <w:sz w:val="20"/>
                <w:szCs w:val="20"/>
                <w:lang w:val="mk-MK"/>
              </w:rPr>
            </w:pPr>
            <w:r w:rsidRPr="00FA3842">
              <w:rPr>
                <w:rFonts w:ascii="Arial" w:hAnsi="Arial" w:cs="Arial"/>
                <w:sz w:val="20"/>
                <w:szCs w:val="20"/>
                <w:lang w:val="mk-MK"/>
              </w:rPr>
              <w:lastRenderedPageBreak/>
              <w:t xml:space="preserve">Треба да се земе предвид дека ITU-R во ноември 2020 ќе го  финализира долгогодишниот процес на изработка на IMT- 2020 стандардот  со објавување на  препорака на ITU-R “Detailed specifications of the radio interfaces of IMT-2020”. Иако радио интерфејсите не се сеуште прифатени во IMT-2020, дефиницијата за IMT-2020 карактеристиките се финално прифатени  во препораката ITU-R M.2083-0,  а исто така дефиницијата за тоа што се подразбира под поимот IMT е финално прифатена со препораката  ITU-R 56-2.  </w:t>
            </w:r>
          </w:p>
          <w:p w:rsidR="00FA0A5D" w:rsidRDefault="00FA0A5D" w:rsidP="00FA0A5D">
            <w:pPr>
              <w:pStyle w:val="ListParagraph"/>
              <w:ind w:left="0"/>
              <w:rPr>
                <w:rFonts w:ascii="Arial" w:hAnsi="Arial" w:cs="Arial"/>
                <w:b/>
                <w:sz w:val="20"/>
                <w:szCs w:val="20"/>
                <w:lang w:val="mk-MK"/>
              </w:rPr>
            </w:pPr>
          </w:p>
          <w:p w:rsidR="004214A5" w:rsidRPr="00FA0A5D" w:rsidRDefault="004214A5" w:rsidP="00FA0A5D">
            <w:pPr>
              <w:pStyle w:val="ListParagraph"/>
              <w:ind w:left="0"/>
              <w:rPr>
                <w:rFonts w:ascii="Arial" w:hAnsi="Arial" w:cs="Arial"/>
                <w:b/>
                <w:sz w:val="20"/>
                <w:szCs w:val="20"/>
                <w:lang w:val="mk-MK"/>
              </w:rPr>
            </w:pPr>
            <w:r w:rsidRPr="00FA0A5D">
              <w:rPr>
                <w:rFonts w:ascii="Arial" w:hAnsi="Arial" w:cs="Arial"/>
                <w:b/>
                <w:sz w:val="20"/>
                <w:szCs w:val="20"/>
                <w:lang w:val="mk-MK"/>
              </w:rPr>
              <w:t>Дефиницијата на IMT-2020 ги вклучува следните технологии: IMT-2000 (UMTS), IMT-Advanced (LTE) и IMT- 2020 (5G) со што намената на опсезите 900 MHz  и 1800 MHz  за IMT значи и можност за примена на горе наведените технологии, вклучувајќи ја  5G технологијата.</w:t>
            </w:r>
          </w:p>
          <w:p w:rsidR="00FA0A5D" w:rsidRDefault="00FA0A5D" w:rsidP="00FA0A5D">
            <w:pPr>
              <w:pStyle w:val="ListParagraph"/>
              <w:ind w:left="0"/>
              <w:rPr>
                <w:rFonts w:ascii="Arial" w:hAnsi="Arial" w:cs="Arial"/>
                <w:sz w:val="20"/>
                <w:szCs w:val="20"/>
                <w:lang w:val="mk-MK"/>
              </w:rPr>
            </w:pPr>
          </w:p>
          <w:p w:rsidR="004214A5" w:rsidRPr="00FA0A5D" w:rsidRDefault="004214A5" w:rsidP="00FA0A5D">
            <w:pPr>
              <w:pStyle w:val="ListParagraph"/>
              <w:ind w:left="0"/>
              <w:rPr>
                <w:rFonts w:ascii="Arial" w:hAnsi="Arial" w:cs="Arial"/>
                <w:sz w:val="20"/>
                <w:szCs w:val="20"/>
                <w:lang w:val="mk-MK"/>
              </w:rPr>
            </w:pPr>
            <w:r w:rsidRPr="00FA3842">
              <w:rPr>
                <w:rFonts w:ascii="Arial" w:hAnsi="Arial" w:cs="Arial"/>
                <w:sz w:val="20"/>
                <w:szCs w:val="20"/>
                <w:lang w:val="mk-MK"/>
              </w:rPr>
              <w:t xml:space="preserve">Дополнителен аргумент дека сите радиофреквентни опсези треба да бидат технолошки неутрални е наведен во важечкиот Закон за електронски комуникации во член 126, кој се однесуваат на неутралност на фреквенциите во однос на технологиите и дава можност сите видови технологии со кои се обезбедуваат јавни електронски комуникациски услуги и кои ги задоволуваат минималните технички барања утврдени во Планот за доделување и користење на радиофреквенциите, да може да се користат во радиофреквенциските опсези согласно со Планот за намена на радиофреквенциските  опсези. </w:t>
            </w:r>
          </w:p>
          <w:p w:rsidR="00FA0A5D" w:rsidRDefault="00FA0A5D" w:rsidP="00FA0A5D">
            <w:pPr>
              <w:pStyle w:val="ListParagraph"/>
              <w:ind w:left="0"/>
              <w:rPr>
                <w:rFonts w:ascii="Arial" w:hAnsi="Arial" w:cs="Arial"/>
                <w:sz w:val="20"/>
                <w:szCs w:val="20"/>
                <w:lang w:val="mk-MK"/>
              </w:rPr>
            </w:pPr>
          </w:p>
          <w:p w:rsidR="004214A5" w:rsidRDefault="004214A5" w:rsidP="00FA0A5D">
            <w:pPr>
              <w:pStyle w:val="ListParagraph"/>
              <w:ind w:left="0"/>
              <w:rPr>
                <w:rFonts w:ascii="Arial" w:hAnsi="Arial" w:cs="Arial"/>
                <w:sz w:val="20"/>
                <w:szCs w:val="20"/>
                <w:lang w:val="mk-MK"/>
              </w:rPr>
            </w:pPr>
            <w:r w:rsidRPr="00FA3842">
              <w:rPr>
                <w:rFonts w:ascii="Arial" w:hAnsi="Arial" w:cs="Arial"/>
                <w:sz w:val="20"/>
                <w:szCs w:val="20"/>
                <w:lang w:val="mk-MK"/>
              </w:rPr>
              <w:t xml:space="preserve">Намената на сите фреквентни опсези за 5G е особено важно со воведувањето на технологијата DSS (Dynamic Spectrum Sharing) што овозможува брзо и економично воведување на 5G во така наречените </w:t>
            </w:r>
            <w:r w:rsidRPr="00FA0A5D">
              <w:rPr>
                <w:rFonts w:ascii="Arial" w:hAnsi="Arial" w:cs="Arial"/>
                <w:sz w:val="20"/>
                <w:szCs w:val="20"/>
                <w:lang w:val="mk-MK"/>
              </w:rPr>
              <w:t>“legacy bands”</w:t>
            </w:r>
            <w:r w:rsidRPr="00FA3842">
              <w:rPr>
                <w:rFonts w:ascii="Arial" w:hAnsi="Arial" w:cs="Arial"/>
                <w:sz w:val="20"/>
                <w:szCs w:val="20"/>
                <w:lang w:val="mk-MK"/>
              </w:rPr>
              <w:t>. Со DSS фреквенцискиот опсег повеќе не се користи само од еден стандард за мобилни комуникации, туку може да се користи во реално време помеѓу LTE и 5G во зависност од потребата. Тоа овозможува, ограничените радиофреквентни ресурси да можат  подобро се искористат при што мрежата како целина станува многу поефикасна.</w:t>
            </w:r>
          </w:p>
          <w:p w:rsidR="00FA0A5D" w:rsidRPr="00FA0A5D" w:rsidRDefault="00FA0A5D" w:rsidP="00FA0A5D">
            <w:pPr>
              <w:pStyle w:val="ListParagraph"/>
              <w:ind w:left="0"/>
              <w:rPr>
                <w:rFonts w:ascii="Arial" w:hAnsi="Arial" w:cs="Arial"/>
                <w:sz w:val="20"/>
                <w:szCs w:val="20"/>
                <w:lang w:val="mk-MK"/>
              </w:rPr>
            </w:pPr>
          </w:p>
          <w:p w:rsidR="004214A5" w:rsidRPr="00FA3842" w:rsidRDefault="004214A5" w:rsidP="004214A5">
            <w:pPr>
              <w:autoSpaceDE w:val="0"/>
              <w:autoSpaceDN w:val="0"/>
              <w:jc w:val="both"/>
              <w:rPr>
                <w:rFonts w:ascii="Arial" w:hAnsi="Arial" w:cs="Arial"/>
                <w:b/>
                <w:sz w:val="20"/>
                <w:szCs w:val="20"/>
                <w:u w:val="single"/>
              </w:rPr>
            </w:pPr>
            <w:r w:rsidRPr="00FA3842">
              <w:rPr>
                <w:rFonts w:ascii="Arial" w:hAnsi="Arial" w:cs="Arial"/>
                <w:b/>
                <w:sz w:val="20"/>
                <w:szCs w:val="20"/>
                <w:u w:val="single"/>
                <w:lang w:val="mk-MK"/>
              </w:rPr>
              <w:t>Имајќи ги во предвид горе наведените аргументи предлагаме</w:t>
            </w:r>
            <w:r w:rsidRPr="00FA3842">
              <w:rPr>
                <w:rFonts w:ascii="Arial" w:hAnsi="Arial" w:cs="Arial"/>
                <w:b/>
                <w:sz w:val="20"/>
                <w:szCs w:val="20"/>
                <w:u w:val="single"/>
              </w:rPr>
              <w:t>:</w:t>
            </w:r>
          </w:p>
          <w:p w:rsidR="004214A5" w:rsidRDefault="004214A5" w:rsidP="00FA0A5D">
            <w:pPr>
              <w:pStyle w:val="ListParagraph"/>
              <w:ind w:left="0"/>
              <w:rPr>
                <w:rFonts w:ascii="Arial" w:hAnsi="Arial" w:cs="Arial"/>
                <w:b/>
                <w:sz w:val="20"/>
                <w:szCs w:val="20"/>
                <w:lang w:val="mk-MK"/>
              </w:rPr>
            </w:pPr>
            <w:r w:rsidRPr="00FA0A5D">
              <w:rPr>
                <w:rFonts w:ascii="Arial" w:hAnsi="Arial" w:cs="Arial"/>
                <w:b/>
                <w:sz w:val="20"/>
                <w:szCs w:val="20"/>
                <w:lang w:val="mk-MK"/>
              </w:rPr>
              <w:t>Фуснотата М37 што се однесува на опсезите 880-915 / 925-960 MHz и 1710-1785 / 1805-1880 MHz да бидат пренаменети за MFCN и дополнително текстот „IMT (UMTS\LTE\WiMAX)“ да се измени во „IMT (UMTS\LTE\WiMAX)\5G) ”врз основа на измените и дополнувањата на ECC/DEC/(06)13 од март 2019 година како и дефиницијата за IMT- 2020.</w:t>
            </w:r>
          </w:p>
          <w:p w:rsidR="00FA0A5D" w:rsidRPr="00FA0A5D" w:rsidRDefault="00FA0A5D" w:rsidP="00FA0A5D">
            <w:pPr>
              <w:pStyle w:val="ListParagraph"/>
              <w:ind w:left="0"/>
              <w:rPr>
                <w:rFonts w:ascii="Arial" w:hAnsi="Arial" w:cs="Arial"/>
                <w:b/>
                <w:sz w:val="20"/>
                <w:szCs w:val="20"/>
                <w:lang w:val="en-GB"/>
              </w:rPr>
            </w:pPr>
          </w:p>
        </w:tc>
        <w:tc>
          <w:tcPr>
            <w:tcW w:w="1122" w:type="pct"/>
          </w:tcPr>
          <w:p w:rsidR="000315DC" w:rsidRDefault="004214A5" w:rsidP="00FA0A5D">
            <w:pPr>
              <w:pStyle w:val="ListParagraph"/>
              <w:ind w:left="0"/>
              <w:rPr>
                <w:rFonts w:ascii="Arial" w:hAnsi="Arial" w:cs="Arial"/>
                <w:sz w:val="20"/>
                <w:szCs w:val="20"/>
              </w:rPr>
            </w:pPr>
            <w:r w:rsidRPr="00FA3842">
              <w:rPr>
                <w:rFonts w:ascii="Arial" w:hAnsi="Arial" w:cs="Arial"/>
                <w:sz w:val="20"/>
                <w:szCs w:val="20"/>
                <w:lang w:val="mk-MK"/>
              </w:rPr>
              <w:lastRenderedPageBreak/>
              <w:t xml:space="preserve">Коментарот </w:t>
            </w:r>
            <w:r w:rsidR="004C4B9C" w:rsidRPr="00FA3842">
              <w:rPr>
                <w:rFonts w:ascii="Arial" w:hAnsi="Arial" w:cs="Arial"/>
                <w:sz w:val="20"/>
                <w:szCs w:val="20"/>
                <w:lang w:val="mk-MK"/>
              </w:rPr>
              <w:t xml:space="preserve">делумно </w:t>
            </w:r>
            <w:r w:rsidRPr="00FA3842">
              <w:rPr>
                <w:rFonts w:ascii="Arial" w:hAnsi="Arial" w:cs="Arial"/>
                <w:sz w:val="20"/>
                <w:szCs w:val="20"/>
                <w:lang w:val="mk-MK"/>
              </w:rPr>
              <w:t xml:space="preserve">се прифаќа. </w:t>
            </w:r>
          </w:p>
          <w:p w:rsidR="000315DC" w:rsidRDefault="000315DC" w:rsidP="00FA0A5D">
            <w:pPr>
              <w:pStyle w:val="ListParagraph"/>
              <w:ind w:left="0"/>
              <w:rPr>
                <w:rFonts w:ascii="Arial" w:hAnsi="Arial" w:cs="Arial"/>
                <w:sz w:val="20"/>
                <w:szCs w:val="20"/>
              </w:rPr>
            </w:pPr>
          </w:p>
          <w:p w:rsidR="004C4B9C" w:rsidRPr="00FA0A5D" w:rsidRDefault="004C4B9C" w:rsidP="00FA0A5D">
            <w:pPr>
              <w:pStyle w:val="ListParagraph"/>
              <w:ind w:left="0"/>
              <w:rPr>
                <w:rFonts w:ascii="Arial" w:hAnsi="Arial" w:cs="Arial"/>
                <w:sz w:val="20"/>
                <w:szCs w:val="20"/>
                <w:lang w:val="mk-MK"/>
              </w:rPr>
            </w:pPr>
            <w:bookmarkStart w:id="0" w:name="_GoBack"/>
            <w:bookmarkEnd w:id="0"/>
            <w:r w:rsidRPr="00FA3842">
              <w:rPr>
                <w:rFonts w:ascii="Arial" w:hAnsi="Arial" w:cs="Arial"/>
                <w:sz w:val="20"/>
                <w:szCs w:val="20"/>
                <w:lang w:val="mk-MK"/>
              </w:rPr>
              <w:t xml:space="preserve">Во </w:t>
            </w:r>
            <w:r w:rsidR="000315DC">
              <w:rPr>
                <w:rFonts w:ascii="Arial" w:hAnsi="Arial" w:cs="Arial"/>
                <w:sz w:val="20"/>
                <w:szCs w:val="20"/>
                <w:lang w:val="mk-MK"/>
              </w:rPr>
              <w:t xml:space="preserve">табелата за намена и во </w:t>
            </w:r>
            <w:r w:rsidRPr="00FA3842">
              <w:rPr>
                <w:rFonts w:ascii="Arial" w:hAnsi="Arial" w:cs="Arial"/>
                <w:sz w:val="20"/>
                <w:szCs w:val="20"/>
                <w:lang w:val="mk-MK"/>
              </w:rPr>
              <w:t xml:space="preserve">фуснотата М37 текстот </w:t>
            </w:r>
            <w:r w:rsidR="000315DC">
              <w:rPr>
                <w:rFonts w:ascii="Arial" w:hAnsi="Arial" w:cs="Arial"/>
                <w:sz w:val="20"/>
                <w:szCs w:val="20"/>
                <w:lang w:val="mk-MK"/>
              </w:rPr>
              <w:t>„IMT (UMTS\LTE</w:t>
            </w:r>
            <w:r w:rsidR="000315DC">
              <w:rPr>
                <w:rFonts w:ascii="Arial" w:hAnsi="Arial" w:cs="Arial"/>
                <w:sz w:val="20"/>
                <w:szCs w:val="20"/>
              </w:rPr>
              <w:t>\</w:t>
            </w:r>
            <w:r w:rsidRPr="00FA0A5D">
              <w:rPr>
                <w:rFonts w:ascii="Arial" w:hAnsi="Arial" w:cs="Arial"/>
                <w:sz w:val="20"/>
                <w:szCs w:val="20"/>
                <w:lang w:val="mk-MK"/>
              </w:rPr>
              <w:t xml:space="preserve">WiMAX)“ </w:t>
            </w:r>
            <w:r w:rsidRPr="00FA3842">
              <w:rPr>
                <w:rFonts w:ascii="Arial" w:hAnsi="Arial" w:cs="Arial"/>
                <w:sz w:val="20"/>
                <w:szCs w:val="20"/>
                <w:lang w:val="mk-MK"/>
              </w:rPr>
              <w:t>ќе се замени со текстот</w:t>
            </w:r>
            <w:r w:rsidRPr="00FA0A5D">
              <w:rPr>
                <w:rFonts w:ascii="Arial" w:hAnsi="Arial" w:cs="Arial"/>
                <w:sz w:val="20"/>
                <w:szCs w:val="20"/>
                <w:lang w:val="mk-MK"/>
              </w:rPr>
              <w:t xml:space="preserve"> </w:t>
            </w:r>
          </w:p>
          <w:p w:rsidR="004C4B9C" w:rsidRPr="00FA0A5D" w:rsidRDefault="004C4B9C" w:rsidP="00FA0A5D">
            <w:pPr>
              <w:pStyle w:val="ListParagraph"/>
              <w:ind w:left="0"/>
              <w:rPr>
                <w:rFonts w:ascii="Arial" w:hAnsi="Arial" w:cs="Arial"/>
                <w:sz w:val="20"/>
                <w:szCs w:val="20"/>
                <w:lang w:val="mk-MK"/>
              </w:rPr>
            </w:pPr>
            <w:r w:rsidRPr="00FA0A5D">
              <w:rPr>
                <w:rFonts w:ascii="Arial" w:hAnsi="Arial" w:cs="Arial"/>
                <w:sz w:val="20"/>
                <w:szCs w:val="20"/>
                <w:lang w:val="mk-MK"/>
              </w:rPr>
              <w:t>„IMT (UMTS\</w:t>
            </w:r>
          </w:p>
          <w:p w:rsidR="004214A5" w:rsidRPr="00FA0A5D" w:rsidRDefault="004C4B9C" w:rsidP="00FA0A5D">
            <w:pPr>
              <w:pStyle w:val="ListParagraph"/>
              <w:ind w:left="0"/>
              <w:rPr>
                <w:rFonts w:ascii="Arial" w:hAnsi="Arial" w:cs="Arial"/>
                <w:sz w:val="20"/>
                <w:szCs w:val="20"/>
                <w:lang w:val="mk-MK"/>
              </w:rPr>
            </w:pPr>
            <w:r w:rsidRPr="00FA0A5D">
              <w:rPr>
                <w:rFonts w:ascii="Arial" w:hAnsi="Arial" w:cs="Arial"/>
                <w:sz w:val="20"/>
                <w:szCs w:val="20"/>
                <w:lang w:val="mk-MK"/>
              </w:rPr>
              <w:t>LTE\</w:t>
            </w:r>
            <w:r w:rsidR="000315DC">
              <w:rPr>
                <w:rFonts w:ascii="Arial" w:hAnsi="Arial" w:cs="Arial"/>
                <w:sz w:val="20"/>
                <w:szCs w:val="20"/>
              </w:rPr>
              <w:t>NR\</w:t>
            </w:r>
            <w:r w:rsidRPr="00FA0A5D">
              <w:rPr>
                <w:rFonts w:ascii="Arial" w:hAnsi="Arial" w:cs="Arial"/>
                <w:sz w:val="20"/>
                <w:szCs w:val="20"/>
                <w:lang w:val="mk-MK"/>
              </w:rPr>
              <w:t>WiMAX)“.</w:t>
            </w:r>
          </w:p>
          <w:p w:rsidR="00FA0A5D" w:rsidRDefault="00FA0A5D" w:rsidP="00FA0A5D">
            <w:pPr>
              <w:pStyle w:val="ListParagraph"/>
              <w:ind w:left="0"/>
              <w:rPr>
                <w:rFonts w:ascii="Arial" w:hAnsi="Arial" w:cs="Arial"/>
                <w:sz w:val="20"/>
                <w:szCs w:val="20"/>
                <w:lang w:val="mk-MK"/>
              </w:rPr>
            </w:pPr>
          </w:p>
          <w:p w:rsidR="004C4B9C" w:rsidRPr="00FA3842" w:rsidRDefault="004C4B9C" w:rsidP="00FA0A5D">
            <w:pPr>
              <w:pStyle w:val="ListParagraph"/>
              <w:ind w:left="0"/>
              <w:rPr>
                <w:rFonts w:ascii="Arial" w:hAnsi="Arial" w:cs="Arial"/>
                <w:sz w:val="20"/>
                <w:szCs w:val="20"/>
                <w:lang w:val="mk-MK"/>
              </w:rPr>
            </w:pPr>
            <w:r w:rsidRPr="00FA3842">
              <w:rPr>
                <w:rFonts w:ascii="Arial" w:hAnsi="Arial" w:cs="Arial"/>
                <w:sz w:val="20"/>
                <w:szCs w:val="20"/>
                <w:lang w:val="mk-MK"/>
              </w:rPr>
              <w:t xml:space="preserve">Во моментот на изработка на Планот сеуште не постои соодветна </w:t>
            </w:r>
            <w:r w:rsidRPr="00FA0A5D">
              <w:rPr>
                <w:rFonts w:ascii="Arial" w:hAnsi="Arial" w:cs="Arial"/>
                <w:sz w:val="20"/>
                <w:szCs w:val="20"/>
                <w:lang w:val="mk-MK"/>
              </w:rPr>
              <w:t xml:space="preserve">CEPT ECC </w:t>
            </w:r>
            <w:r w:rsidRPr="00FA3842">
              <w:rPr>
                <w:rFonts w:ascii="Arial" w:hAnsi="Arial" w:cs="Arial"/>
                <w:sz w:val="20"/>
                <w:szCs w:val="20"/>
                <w:lang w:val="mk-MK"/>
              </w:rPr>
              <w:t>Одлука за MFCN во овој опсег.</w:t>
            </w:r>
          </w:p>
        </w:tc>
      </w:tr>
      <w:tr w:rsidR="004214A5" w:rsidRPr="00FA3842" w:rsidTr="004214A5">
        <w:trPr>
          <w:jc w:val="center"/>
        </w:trPr>
        <w:tc>
          <w:tcPr>
            <w:tcW w:w="3878" w:type="pct"/>
          </w:tcPr>
          <w:p w:rsidR="004C4B9C" w:rsidRPr="00FA3842" w:rsidRDefault="004C4B9C" w:rsidP="004C4B9C">
            <w:pPr>
              <w:rPr>
                <w:rFonts w:ascii="Arial" w:hAnsi="Arial" w:cs="Arial"/>
                <w:b/>
                <w:sz w:val="20"/>
                <w:szCs w:val="20"/>
                <w:lang w:val="mk-MK"/>
              </w:rPr>
            </w:pPr>
            <w:r w:rsidRPr="00FA3842">
              <w:rPr>
                <w:rFonts w:ascii="Arial" w:hAnsi="Arial" w:cs="Arial"/>
                <w:b/>
                <w:sz w:val="20"/>
                <w:szCs w:val="20"/>
                <w:lang w:val="mk-MK"/>
              </w:rPr>
              <w:lastRenderedPageBreak/>
              <w:t>Македонски Телеком</w:t>
            </w:r>
            <w:r w:rsidRPr="00FA3842">
              <w:rPr>
                <w:rFonts w:ascii="Arial" w:hAnsi="Arial" w:cs="Arial"/>
                <w:b/>
                <w:sz w:val="20"/>
                <w:szCs w:val="20"/>
                <w:lang w:val="en-GB"/>
              </w:rPr>
              <w:t>:</w:t>
            </w:r>
          </w:p>
          <w:p w:rsidR="004214A5" w:rsidRPr="00FA3842" w:rsidRDefault="004214A5" w:rsidP="004214A5">
            <w:pPr>
              <w:autoSpaceDE w:val="0"/>
              <w:autoSpaceDN w:val="0"/>
              <w:jc w:val="both"/>
              <w:rPr>
                <w:rFonts w:ascii="Arial" w:hAnsi="Arial" w:cs="Arial"/>
                <w:sz w:val="20"/>
                <w:szCs w:val="20"/>
                <w:lang w:val="mk-MK"/>
              </w:rPr>
            </w:pPr>
            <w:r w:rsidRPr="00FA3842">
              <w:rPr>
                <w:rFonts w:ascii="Arial" w:hAnsi="Arial" w:cs="Arial"/>
                <w:sz w:val="20"/>
                <w:szCs w:val="20"/>
                <w:lang w:val="mk-MK"/>
              </w:rPr>
              <w:t>Во предлог измените на Планот исто така е  предложено опсегот 26 GHz (24,25-27,5 GHz) да се намени за мобилни/фиксни комуникациски мрежи (MFCN) и за воведување на 5G технологијата. Во Планот за намена на РФ не е пропишан начинот на доделување на  одобренијата или други услови за доделување, но она што го знаеме од објавените резултати од јавната расправа за 5G, АЕК има намера во тендерската постапка да додели четири национални лиценци, секоја од 200 MHz. Во овој опсег треба да бидат достапни вкупно 3,25 GHz кога фиксните линкови ќе бидат  преместени во другите фреквентни опсези и делот од опсегот користен од владини институции ќе се ослободи.</w:t>
            </w:r>
          </w:p>
          <w:p w:rsidR="004214A5" w:rsidRPr="00FA3842" w:rsidRDefault="004214A5" w:rsidP="004214A5">
            <w:pPr>
              <w:autoSpaceDE w:val="0"/>
              <w:autoSpaceDN w:val="0"/>
              <w:jc w:val="both"/>
              <w:rPr>
                <w:rFonts w:ascii="Arial" w:hAnsi="Arial" w:cs="Arial"/>
                <w:sz w:val="20"/>
                <w:szCs w:val="20"/>
                <w:lang w:val="en-GB"/>
              </w:rPr>
            </w:pPr>
            <w:r w:rsidRPr="00FA3842">
              <w:rPr>
                <w:rFonts w:ascii="Arial" w:hAnsi="Arial" w:cs="Arial"/>
                <w:sz w:val="20"/>
                <w:szCs w:val="20"/>
                <w:lang w:val="mk-MK"/>
              </w:rPr>
              <w:lastRenderedPageBreak/>
              <w:t xml:space="preserve">Покрај тоа што </w:t>
            </w:r>
            <w:r w:rsidRPr="00FA3842">
              <w:rPr>
                <w:rFonts w:ascii="Arial" w:hAnsi="Arial" w:cs="Arial"/>
                <w:sz w:val="20"/>
                <w:szCs w:val="20"/>
              </w:rPr>
              <w:t xml:space="preserve">26 GHz </w:t>
            </w:r>
            <w:r w:rsidRPr="00FA3842">
              <w:rPr>
                <w:rFonts w:ascii="Arial" w:hAnsi="Arial" w:cs="Arial"/>
                <w:sz w:val="20"/>
                <w:szCs w:val="20"/>
                <w:lang w:val="mk-MK"/>
              </w:rPr>
              <w:t xml:space="preserve">е еден од првите опсези што се препорачани во Европската Унија како дел од опсезите над </w:t>
            </w:r>
            <w:r w:rsidRPr="00FA3842">
              <w:rPr>
                <w:rFonts w:ascii="Arial" w:hAnsi="Arial" w:cs="Arial"/>
                <w:sz w:val="20"/>
                <w:szCs w:val="20"/>
              </w:rPr>
              <w:t xml:space="preserve">24 GHz </w:t>
            </w:r>
            <w:r w:rsidRPr="00FA3842">
              <w:rPr>
                <w:rFonts w:ascii="Arial" w:hAnsi="Arial" w:cs="Arial"/>
                <w:sz w:val="20"/>
                <w:szCs w:val="20"/>
                <w:lang w:val="mk-MK"/>
              </w:rPr>
              <w:t>кои ќе овозможат  ултра висок капацитет, нови иновативни услуги и нови бизнис модели,  во моментот телеком индустријата сè уште не е подготвена за воведување од 5G на овој опсег. Во повеќето земји опсегот е делумно зафатен со фиксни услуги или други услуги и не е целосно достапен за 5G. Режимот на лиценцирање во повеќето земји на ЕУ сè уште не дефиниран или постои отворена дебата, што покажува дека потребата за овој опсег е предвидена во подоцнежната фаза на обезбедување на 5G услугите за да се понуди капацитет и брзина во Gbps. Фрекценции во опсегот од 26 GHz за технологијата 5G во моментот се доделени само во Италија и Финска од европските земји.</w:t>
            </w:r>
          </w:p>
          <w:p w:rsidR="004214A5" w:rsidRPr="00FA3842" w:rsidRDefault="004214A5" w:rsidP="004214A5">
            <w:pPr>
              <w:autoSpaceDE w:val="0"/>
              <w:autoSpaceDN w:val="0"/>
              <w:jc w:val="both"/>
              <w:rPr>
                <w:rFonts w:ascii="Arial" w:hAnsi="Arial" w:cs="Arial"/>
                <w:sz w:val="20"/>
                <w:szCs w:val="20"/>
                <w:lang w:val="en-GB"/>
              </w:rPr>
            </w:pPr>
            <w:r w:rsidRPr="00FA3842">
              <w:rPr>
                <w:rFonts w:ascii="Arial" w:hAnsi="Arial" w:cs="Arial"/>
                <w:sz w:val="20"/>
                <w:szCs w:val="20"/>
                <w:lang w:val="mk-MK"/>
              </w:rPr>
              <w:t>Ставот на Македонски Телеком е дека намената и доделувањето на 5G лиценци во овој момент или каква било резервација од 26 GHz не треба да се прави сè додека целиот опсег не е достапен (ослободен од постојните корисници) со цел да се постигне континуиран спектар од 800 MHz по оператор и да не се дојде до ситуација на вештачки недостиг на спектар. Со ширина на опсег од 200 MHz или 400 MHz во опсег од 26 GHz, на сегашното ниво на развој на технологијата, нема да биде можно да се добијат видливо подобри перформанси во споредба со можните перформанси што би се добиле со носач од  100 MHz во опсег од 3x GHz. Ширината на опсег од  800 MHz е единствена опција за да се овозможат големи брзини  и капацитети кои  ќе бидат потребни на подолг рок. Според тоа доделувањето национални лиценци во 26 GHz во претстојната тендерска постапка би било предвремено бидејќи тоа ќе доведе до фрагментација на опсегот што ја намалува флексибилноста и ефикасноста употреба на фреквенциите во иднина.</w:t>
            </w:r>
          </w:p>
          <w:p w:rsidR="004214A5" w:rsidRPr="00FA3842" w:rsidRDefault="004214A5" w:rsidP="004214A5">
            <w:pPr>
              <w:autoSpaceDE w:val="0"/>
              <w:autoSpaceDN w:val="0"/>
              <w:jc w:val="both"/>
              <w:rPr>
                <w:rFonts w:ascii="Arial" w:hAnsi="Arial" w:cs="Arial"/>
                <w:bCs/>
                <w:i/>
                <w:iCs/>
                <w:sz w:val="20"/>
                <w:szCs w:val="20"/>
                <w:lang w:val="en-GB"/>
              </w:rPr>
            </w:pPr>
            <w:r w:rsidRPr="00FA3842">
              <w:rPr>
                <w:rFonts w:ascii="Arial" w:hAnsi="Arial" w:cs="Arial"/>
                <w:sz w:val="20"/>
                <w:szCs w:val="20"/>
                <w:lang w:val="mk-MK"/>
              </w:rPr>
              <w:t xml:space="preserve">Како поткрепа на нашите ставови ви презентираме дел од мислењето и ставовите на </w:t>
            </w:r>
            <w:r w:rsidRPr="00FA3842">
              <w:rPr>
                <w:rFonts w:ascii="Arial" w:hAnsi="Arial" w:cs="Arial"/>
                <w:bCs/>
                <w:iCs/>
                <w:sz w:val="20"/>
                <w:szCs w:val="20"/>
              </w:rPr>
              <w:t>GSMA</w:t>
            </w:r>
            <w:r w:rsidRPr="00FA3842">
              <w:rPr>
                <w:rFonts w:ascii="Arial" w:hAnsi="Arial" w:cs="Arial"/>
                <w:bCs/>
                <w:iCs/>
                <w:sz w:val="20"/>
                <w:szCs w:val="20"/>
                <w:lang w:val="mk-MK"/>
              </w:rPr>
              <w:t xml:space="preserve"> на оваа тема содржани во документот </w:t>
            </w:r>
            <w:r w:rsidRPr="00FA3842">
              <w:rPr>
                <w:rFonts w:ascii="Arial" w:hAnsi="Arial" w:cs="Arial"/>
                <w:b/>
                <w:bCs/>
                <w:i/>
                <w:iCs/>
                <w:sz w:val="20"/>
                <w:szCs w:val="20"/>
              </w:rPr>
              <w:t xml:space="preserve"> </w:t>
            </w:r>
            <w:r w:rsidRPr="00FA3842">
              <w:rPr>
                <w:rFonts w:ascii="Arial" w:hAnsi="Arial" w:cs="Arial"/>
                <w:bCs/>
                <w:iCs/>
                <w:sz w:val="20"/>
                <w:szCs w:val="20"/>
              </w:rPr>
              <w:t>“GSMA Europe 26 GHz Spectrum Policy Paper”</w:t>
            </w:r>
            <w:r w:rsidRPr="00FA3842">
              <w:rPr>
                <w:rFonts w:ascii="Arial" w:hAnsi="Arial" w:cs="Arial"/>
                <w:bCs/>
                <w:iCs/>
                <w:sz w:val="20"/>
                <w:szCs w:val="20"/>
                <w:lang w:val="mk-MK"/>
              </w:rPr>
              <w:t xml:space="preserve"> од септември 2020,  во кој се вели</w:t>
            </w:r>
            <w:r w:rsidRPr="00FA3842">
              <w:rPr>
                <w:rFonts w:ascii="Arial" w:hAnsi="Arial" w:cs="Arial"/>
                <w:bCs/>
                <w:iCs/>
                <w:sz w:val="20"/>
                <w:szCs w:val="20"/>
              </w:rPr>
              <w:t xml:space="preserve">: </w:t>
            </w:r>
            <w:r w:rsidRPr="00FA3842">
              <w:rPr>
                <w:rFonts w:ascii="Arial" w:hAnsi="Arial" w:cs="Arial"/>
                <w:bCs/>
                <w:i/>
                <w:iCs/>
                <w:sz w:val="20"/>
                <w:szCs w:val="20"/>
                <w:lang w:val="mk-MK"/>
              </w:rPr>
              <w:t>„Во време на доделувањето на радиофреквенциите треба да има јасен план за ставање на располагање на сите 3,2 GHz од опсегот, со цел да се овозможи значајно 5G искуство во конкурентно опкружување.“</w:t>
            </w:r>
          </w:p>
          <w:p w:rsidR="004214A5" w:rsidRPr="00FA3842" w:rsidRDefault="004214A5" w:rsidP="004214A5">
            <w:pPr>
              <w:autoSpaceDE w:val="0"/>
              <w:autoSpaceDN w:val="0"/>
              <w:jc w:val="both"/>
              <w:rPr>
                <w:rFonts w:ascii="Arial" w:hAnsi="Arial" w:cs="Arial"/>
                <w:i/>
                <w:sz w:val="20"/>
                <w:szCs w:val="20"/>
              </w:rPr>
            </w:pPr>
            <w:r w:rsidRPr="00FA3842">
              <w:rPr>
                <w:rFonts w:ascii="Arial" w:hAnsi="Arial" w:cs="Arial"/>
                <w:sz w:val="20"/>
                <w:szCs w:val="20"/>
                <w:lang w:val="mk-MK"/>
              </w:rPr>
              <w:t xml:space="preserve">Исто така значајно упатство  во начинот на доделување на одобренијата во опсегот е и мислењето на  RSPG  содржано во  документот </w:t>
            </w:r>
            <w:r w:rsidRPr="00FA3842">
              <w:rPr>
                <w:rFonts w:ascii="Arial" w:hAnsi="Arial" w:cs="Arial"/>
                <w:b/>
                <w:sz w:val="20"/>
                <w:szCs w:val="20"/>
                <w:lang w:val="mk-MK"/>
              </w:rPr>
              <w:t>“RSPG Opinion on 5G implementation challenges (RSPG 2nd opinion on 5G)”</w:t>
            </w:r>
            <w:r w:rsidRPr="00FA3842">
              <w:rPr>
                <w:rFonts w:ascii="Arial" w:hAnsi="Arial" w:cs="Arial"/>
                <w:sz w:val="20"/>
                <w:szCs w:val="20"/>
                <w:lang w:val="mk-MK"/>
              </w:rPr>
              <w:t xml:space="preserve">  каде се вели</w:t>
            </w:r>
            <w:r w:rsidRPr="00FA3842">
              <w:rPr>
                <w:rFonts w:ascii="Arial" w:hAnsi="Arial" w:cs="Arial"/>
                <w:sz w:val="20"/>
                <w:szCs w:val="20"/>
              </w:rPr>
              <w:t>:</w:t>
            </w:r>
            <w:r w:rsidRPr="00FA3842">
              <w:rPr>
                <w:rFonts w:ascii="Arial" w:hAnsi="Arial" w:cs="Arial"/>
                <w:i/>
                <w:sz w:val="20"/>
                <w:szCs w:val="20"/>
              </w:rPr>
              <w:t xml:space="preserve"> </w:t>
            </w:r>
            <w:r w:rsidRPr="00FA3842">
              <w:rPr>
                <w:rFonts w:ascii="Arial" w:hAnsi="Arial" w:cs="Arial"/>
                <w:i/>
                <w:sz w:val="20"/>
                <w:szCs w:val="20"/>
                <w:lang w:val="mk-MK"/>
              </w:rPr>
              <w:t xml:space="preserve">„Употребата на опсези со повисоките фреквенција (над 24,25 GHz), што овозможува нови услуги и апликации, веројатно ќе бара различни пристапи кон доделување на одобренија, за да може да се одговори на разновидниот сет на нови играчи на пазарот покрај постојните мрежни оператори. Понатаму, за 5G се потребни многу пошироки радиофреквентни канали  за </w:t>
            </w:r>
            <w:proofErr w:type="spellStart"/>
            <w:r w:rsidRPr="00FA3842">
              <w:rPr>
                <w:rFonts w:ascii="Arial" w:hAnsi="Arial" w:cs="Arial"/>
                <w:i/>
                <w:sz w:val="20"/>
                <w:szCs w:val="20"/>
              </w:rPr>
              <w:t>eMBB</w:t>
            </w:r>
            <w:proofErr w:type="spellEnd"/>
            <w:r w:rsidRPr="00FA3842">
              <w:rPr>
                <w:rFonts w:ascii="Arial" w:hAnsi="Arial" w:cs="Arial"/>
                <w:i/>
                <w:sz w:val="20"/>
                <w:szCs w:val="20"/>
              </w:rPr>
              <w:t xml:space="preserve"> </w:t>
            </w:r>
            <w:r w:rsidRPr="00FA3842">
              <w:rPr>
                <w:rFonts w:ascii="Arial" w:hAnsi="Arial" w:cs="Arial"/>
                <w:i/>
                <w:sz w:val="20"/>
                <w:szCs w:val="20"/>
                <w:lang w:val="mk-MK"/>
              </w:rPr>
              <w:t>за постигнување на посакуваните брзини и може да се појави недостиг на спектар доколку му  се даде на секој оператор ексклузивитет во користењето на фреквенциите.</w:t>
            </w:r>
            <w:r w:rsidRPr="00FA3842">
              <w:rPr>
                <w:rFonts w:ascii="Arial" w:hAnsi="Arial" w:cs="Arial"/>
                <w:i/>
                <w:sz w:val="20"/>
                <w:szCs w:val="20"/>
              </w:rPr>
              <w:t>”</w:t>
            </w:r>
          </w:p>
          <w:p w:rsidR="004214A5" w:rsidRPr="00FA3842" w:rsidRDefault="004214A5" w:rsidP="00FA3842">
            <w:pPr>
              <w:pStyle w:val="ListParagraph"/>
              <w:ind w:left="0"/>
              <w:rPr>
                <w:rFonts w:ascii="Arial" w:hAnsi="Arial" w:cs="Arial"/>
                <w:b/>
                <w:sz w:val="20"/>
                <w:szCs w:val="20"/>
                <w:lang w:val="mk-MK"/>
              </w:rPr>
            </w:pPr>
            <w:r w:rsidRPr="00FA3842">
              <w:rPr>
                <w:rFonts w:ascii="Arial" w:hAnsi="Arial" w:cs="Arial"/>
                <w:b/>
                <w:sz w:val="20"/>
                <w:szCs w:val="20"/>
                <w:lang w:val="mk-MK"/>
              </w:rPr>
              <w:lastRenderedPageBreak/>
              <w:t>Врз основа на препораката од RSPG за флексибилен пристап за лиценцирање врз основа на локалните услови во секоја земја, нашиот став е дека доделувањето на овој опсег во очекуваната тендерска постапка не треба да се разгледува и лиценцирањето треба да се заснова на реалното барање за капацитет или други бизнис решенија на одредени географски локации.</w:t>
            </w:r>
          </w:p>
          <w:p w:rsidR="004214A5" w:rsidRDefault="004214A5" w:rsidP="00FA3842">
            <w:pPr>
              <w:pStyle w:val="ListParagraph"/>
              <w:ind w:left="0"/>
              <w:rPr>
                <w:rFonts w:ascii="Arial" w:hAnsi="Arial" w:cs="Arial"/>
                <w:b/>
                <w:sz w:val="20"/>
                <w:szCs w:val="20"/>
                <w:lang w:val="mk-MK"/>
              </w:rPr>
            </w:pPr>
            <w:r w:rsidRPr="00FA3842">
              <w:rPr>
                <w:rFonts w:ascii="Arial" w:hAnsi="Arial" w:cs="Arial"/>
                <w:b/>
                <w:sz w:val="20"/>
                <w:szCs w:val="20"/>
                <w:lang w:val="mk-MK"/>
              </w:rPr>
              <w:t>Опсегот од 26 GHz ќе служи за услуги за кои е потребен висок капацитет во ограничени географски области претежно урбани средини, и затоа МКТ предлага локално лиценцирање /по локација според поднесено  барање. Доколку лиценците се доделуваат според реалната потреба за услуги во географски области, ќе се избегне предвремено доделување на овој опсег како и вештачки недостаток и неефикасно користење на радиофреквенциите.</w:t>
            </w:r>
          </w:p>
          <w:p w:rsidR="00FA3842" w:rsidRPr="00FA3842" w:rsidRDefault="00FA3842" w:rsidP="00FA3842">
            <w:pPr>
              <w:pStyle w:val="ListParagraph"/>
              <w:ind w:left="0"/>
              <w:rPr>
                <w:rFonts w:ascii="Arial" w:hAnsi="Arial" w:cs="Arial"/>
                <w:b/>
                <w:sz w:val="20"/>
                <w:szCs w:val="20"/>
                <w:lang w:val="en-GB"/>
              </w:rPr>
            </w:pPr>
          </w:p>
        </w:tc>
        <w:tc>
          <w:tcPr>
            <w:tcW w:w="1122" w:type="pct"/>
          </w:tcPr>
          <w:p w:rsidR="00FA0A5D" w:rsidRDefault="00FA0A5D" w:rsidP="00FA0A5D">
            <w:pPr>
              <w:autoSpaceDE w:val="0"/>
              <w:autoSpaceDN w:val="0"/>
              <w:jc w:val="both"/>
              <w:rPr>
                <w:rFonts w:ascii="Arial" w:hAnsi="Arial" w:cs="Arial"/>
                <w:sz w:val="20"/>
                <w:szCs w:val="20"/>
                <w:lang w:val="mk-MK"/>
              </w:rPr>
            </w:pPr>
          </w:p>
          <w:p w:rsidR="004214A5" w:rsidRPr="00FA3842" w:rsidRDefault="00C538C2" w:rsidP="00FA0A5D">
            <w:pPr>
              <w:autoSpaceDE w:val="0"/>
              <w:autoSpaceDN w:val="0"/>
              <w:jc w:val="both"/>
              <w:rPr>
                <w:rFonts w:ascii="Arial" w:hAnsi="Arial" w:cs="Arial"/>
                <w:sz w:val="20"/>
                <w:szCs w:val="20"/>
                <w:lang w:val="en-GB"/>
              </w:rPr>
            </w:pPr>
            <w:r w:rsidRPr="00FA3842">
              <w:rPr>
                <w:rFonts w:ascii="Arial" w:hAnsi="Arial" w:cs="Arial"/>
                <w:sz w:val="20"/>
                <w:szCs w:val="20"/>
                <w:lang w:val="mk-MK"/>
              </w:rPr>
              <w:t>Коментарот не се однесува на Планот за намена, бидејќи во Планот не се дефинира начинот на доделување на овие одоренија.</w:t>
            </w:r>
          </w:p>
        </w:tc>
      </w:tr>
      <w:tr w:rsidR="004214A5" w:rsidRPr="00FA3842" w:rsidTr="004214A5">
        <w:trPr>
          <w:jc w:val="center"/>
        </w:trPr>
        <w:tc>
          <w:tcPr>
            <w:tcW w:w="3878" w:type="pct"/>
          </w:tcPr>
          <w:p w:rsidR="004214A5" w:rsidRPr="00FA3842" w:rsidRDefault="00981089" w:rsidP="00981089">
            <w:pPr>
              <w:rPr>
                <w:rFonts w:ascii="Arial" w:hAnsi="Arial" w:cs="Arial"/>
                <w:b/>
                <w:sz w:val="20"/>
                <w:szCs w:val="20"/>
                <w:lang w:val="mk-MK"/>
              </w:rPr>
            </w:pPr>
            <w:r w:rsidRPr="00FA3842">
              <w:rPr>
                <w:rFonts w:ascii="Arial" w:hAnsi="Arial" w:cs="Arial"/>
                <w:b/>
                <w:sz w:val="20"/>
                <w:szCs w:val="20"/>
                <w:lang w:val="mk-MK"/>
              </w:rPr>
              <w:lastRenderedPageBreak/>
              <w:t>Министерство за внатрешни работи:</w:t>
            </w:r>
          </w:p>
          <w:p w:rsidR="00981089" w:rsidRPr="00FA3842" w:rsidRDefault="00981089" w:rsidP="00FA3842">
            <w:pPr>
              <w:pStyle w:val="ListParagraph"/>
              <w:ind w:left="0"/>
              <w:rPr>
                <w:rFonts w:ascii="Arial" w:hAnsi="Arial" w:cs="Arial"/>
                <w:sz w:val="20"/>
                <w:szCs w:val="20"/>
                <w:lang w:val="mk-MK"/>
              </w:rPr>
            </w:pPr>
            <w:r w:rsidRPr="00FA3842">
              <w:rPr>
                <w:rFonts w:ascii="Arial" w:hAnsi="Arial" w:cs="Arial"/>
                <w:sz w:val="20"/>
                <w:szCs w:val="20"/>
                <w:lang w:val="mk-MK"/>
              </w:rPr>
              <w:t>Во табелата е внесена одлуката ECC/DEC/(19)02, но не и ECC/DEC/(16)02 во колоната „Ме</w:t>
            </w:r>
            <w:r w:rsidR="00962478" w:rsidRPr="00FA3842">
              <w:rPr>
                <w:rFonts w:ascii="Arial" w:hAnsi="Arial" w:cs="Arial"/>
                <w:sz w:val="20"/>
                <w:szCs w:val="20"/>
                <w:lang w:val="mk-MK"/>
              </w:rPr>
              <w:t>ѓ</w:t>
            </w:r>
            <w:r w:rsidRPr="00FA3842">
              <w:rPr>
                <w:rFonts w:ascii="Arial" w:hAnsi="Arial" w:cs="Arial"/>
                <w:sz w:val="20"/>
                <w:szCs w:val="20"/>
                <w:lang w:val="mk-MK"/>
              </w:rPr>
              <w:t>ународни одлуки и препораки“</w:t>
            </w:r>
            <w:r w:rsidR="00962478" w:rsidRPr="00FA3842">
              <w:rPr>
                <w:rFonts w:ascii="Arial" w:hAnsi="Arial" w:cs="Arial"/>
                <w:sz w:val="20"/>
                <w:szCs w:val="20"/>
                <w:lang w:val="mk-MK"/>
              </w:rPr>
              <w:t xml:space="preserve"> (страна 52-65). Распределбата на фреквентните опсези не е променета соодветно на одлуките. LTE 400 (Band 31) и LTE 700 (Band 28) за PPDR не се вметнати во табелата во полињата за корисници „Цивилни“ и „Владини“, к</w:t>
            </w:r>
            <w:r w:rsidR="00F51694" w:rsidRPr="00FA3842">
              <w:rPr>
                <w:rFonts w:ascii="Arial" w:hAnsi="Arial" w:cs="Arial"/>
                <w:sz w:val="20"/>
                <w:szCs w:val="20"/>
                <w:lang w:val="mk-MK"/>
              </w:rPr>
              <w:t>а</w:t>
            </w:r>
            <w:r w:rsidR="00962478" w:rsidRPr="00FA3842">
              <w:rPr>
                <w:rFonts w:ascii="Arial" w:hAnsi="Arial" w:cs="Arial"/>
                <w:sz w:val="20"/>
                <w:szCs w:val="20"/>
                <w:lang w:val="mk-MK"/>
              </w:rPr>
              <w:t>ко и намената односно полето „Апликации“.</w:t>
            </w:r>
          </w:p>
          <w:p w:rsidR="00FA3842" w:rsidRDefault="00FA3842" w:rsidP="00FA3842">
            <w:pPr>
              <w:pStyle w:val="ListParagraph"/>
              <w:ind w:left="0"/>
              <w:rPr>
                <w:rFonts w:ascii="Arial" w:hAnsi="Arial" w:cs="Arial"/>
                <w:sz w:val="20"/>
                <w:szCs w:val="20"/>
                <w:lang w:val="mk-MK"/>
              </w:rPr>
            </w:pPr>
          </w:p>
          <w:p w:rsidR="00962478" w:rsidRPr="00FA3842" w:rsidRDefault="00962478" w:rsidP="00FA3842">
            <w:pPr>
              <w:pStyle w:val="ListParagraph"/>
              <w:ind w:left="0"/>
              <w:rPr>
                <w:rFonts w:ascii="Arial" w:hAnsi="Arial" w:cs="Arial"/>
                <w:sz w:val="20"/>
                <w:szCs w:val="20"/>
                <w:lang w:val="mk-MK"/>
              </w:rPr>
            </w:pPr>
            <w:r w:rsidRPr="00FA3842">
              <w:rPr>
                <w:rFonts w:ascii="Arial" w:hAnsi="Arial" w:cs="Arial"/>
                <w:sz w:val="20"/>
                <w:szCs w:val="20"/>
                <w:lang w:val="mk-MK"/>
              </w:rPr>
              <w:t xml:space="preserve">Во описниот дел на страна 126 и 127 не се наведени </w:t>
            </w:r>
            <w:r w:rsidRPr="00FA3842">
              <w:rPr>
                <w:rFonts w:ascii="Arial" w:hAnsi="Arial" w:cs="Arial"/>
                <w:sz w:val="20"/>
                <w:szCs w:val="20"/>
                <w:lang w:val="mk-MK"/>
              </w:rPr>
              <w:t>ECC/DEC/(16)02</w:t>
            </w:r>
            <w:r w:rsidRPr="00FA3842">
              <w:rPr>
                <w:rFonts w:ascii="Arial" w:hAnsi="Arial" w:cs="Arial"/>
                <w:sz w:val="20"/>
                <w:szCs w:val="20"/>
                <w:lang w:val="mk-MK"/>
              </w:rPr>
              <w:t xml:space="preserve"> и </w:t>
            </w:r>
            <w:r w:rsidRPr="00FA3842">
              <w:rPr>
                <w:rFonts w:ascii="Arial" w:hAnsi="Arial" w:cs="Arial"/>
                <w:sz w:val="20"/>
                <w:szCs w:val="20"/>
                <w:lang w:val="mk-MK"/>
              </w:rPr>
              <w:t>ECC/DEC/(19)02</w:t>
            </w:r>
            <w:r w:rsidRPr="00FA3842">
              <w:rPr>
                <w:rFonts w:ascii="Arial" w:hAnsi="Arial" w:cs="Arial"/>
                <w:sz w:val="20"/>
                <w:szCs w:val="20"/>
                <w:lang w:val="mk-MK"/>
              </w:rPr>
              <w:t xml:space="preserve">, ниту се наведени </w:t>
            </w:r>
            <w:r w:rsidRPr="00FA3842">
              <w:rPr>
                <w:rFonts w:ascii="Arial" w:hAnsi="Arial" w:cs="Arial"/>
                <w:sz w:val="20"/>
                <w:szCs w:val="20"/>
                <w:lang w:val="mk-MK"/>
              </w:rPr>
              <w:t>LTE 400 (Band 31) и LTE 700 (Band 28) за PPDR</w:t>
            </w:r>
            <w:r w:rsidRPr="00FA3842">
              <w:rPr>
                <w:rFonts w:ascii="Arial" w:hAnsi="Arial" w:cs="Arial"/>
                <w:sz w:val="20"/>
                <w:szCs w:val="20"/>
                <w:lang w:val="mk-MK"/>
              </w:rPr>
              <w:t xml:space="preserve"> (М33 до М36А), иако претходно на страна 126 (М32) е наведено дека делови од опсезите 380-385 и 390-470 MHz се наменети за </w:t>
            </w:r>
            <w:r w:rsidRPr="00FA3842">
              <w:rPr>
                <w:rFonts w:ascii="Arial" w:hAnsi="Arial" w:cs="Arial"/>
                <w:sz w:val="20"/>
                <w:szCs w:val="20"/>
                <w:lang w:val="mk-MK"/>
              </w:rPr>
              <w:t>PPDR</w:t>
            </w:r>
            <w:r w:rsidRPr="00FA3842">
              <w:rPr>
                <w:rFonts w:ascii="Arial" w:hAnsi="Arial" w:cs="Arial"/>
                <w:sz w:val="20"/>
                <w:szCs w:val="20"/>
                <w:lang w:val="mk-MK"/>
              </w:rPr>
              <w:t>.</w:t>
            </w:r>
          </w:p>
          <w:p w:rsidR="00FA3842" w:rsidRDefault="00FA3842" w:rsidP="00FA3842">
            <w:pPr>
              <w:pStyle w:val="ListParagraph"/>
              <w:ind w:left="0"/>
              <w:rPr>
                <w:rFonts w:ascii="Arial" w:hAnsi="Arial" w:cs="Arial"/>
                <w:sz w:val="20"/>
                <w:szCs w:val="20"/>
                <w:lang w:val="mk-MK"/>
              </w:rPr>
            </w:pPr>
          </w:p>
          <w:p w:rsidR="00962478" w:rsidRPr="00FA3842" w:rsidRDefault="00962478" w:rsidP="00FA3842">
            <w:pPr>
              <w:pStyle w:val="ListParagraph"/>
              <w:ind w:left="0"/>
              <w:rPr>
                <w:rFonts w:ascii="Arial" w:hAnsi="Arial" w:cs="Arial"/>
                <w:sz w:val="20"/>
                <w:szCs w:val="20"/>
                <w:lang w:val="mk-MK"/>
              </w:rPr>
            </w:pPr>
            <w:r w:rsidRPr="00FA3842">
              <w:rPr>
                <w:rFonts w:ascii="Arial" w:hAnsi="Arial" w:cs="Arial"/>
                <w:sz w:val="20"/>
                <w:szCs w:val="20"/>
                <w:lang w:val="mk-MK"/>
              </w:rPr>
              <w:t xml:space="preserve">Во Прилог 3 (страна 166 и 167) се наведени </w:t>
            </w:r>
            <w:r w:rsidRPr="00FA3842">
              <w:rPr>
                <w:rFonts w:ascii="Arial" w:hAnsi="Arial" w:cs="Arial"/>
                <w:sz w:val="20"/>
                <w:szCs w:val="20"/>
                <w:lang w:val="mk-MK"/>
              </w:rPr>
              <w:t>ECC/DEC/(16)02 и ECC/DEC/(19)02</w:t>
            </w:r>
            <w:r w:rsidRPr="00FA3842">
              <w:rPr>
                <w:rFonts w:ascii="Arial" w:hAnsi="Arial" w:cs="Arial"/>
                <w:sz w:val="20"/>
                <w:szCs w:val="20"/>
                <w:lang w:val="mk-MK"/>
              </w:rPr>
              <w:t xml:space="preserve"> меѓутоа истите не се имплементирани во претходно наведените делови од табелата</w:t>
            </w:r>
          </w:p>
        </w:tc>
        <w:tc>
          <w:tcPr>
            <w:tcW w:w="1122" w:type="pct"/>
          </w:tcPr>
          <w:p w:rsidR="004214A5" w:rsidRPr="00FA3842" w:rsidRDefault="00F51694" w:rsidP="00FA3842">
            <w:pPr>
              <w:pStyle w:val="ListParagraph"/>
              <w:ind w:left="0"/>
              <w:rPr>
                <w:rFonts w:ascii="Arial" w:hAnsi="Arial" w:cs="Arial"/>
                <w:sz w:val="20"/>
                <w:szCs w:val="20"/>
                <w:lang w:val="mk-MK"/>
              </w:rPr>
            </w:pPr>
            <w:r w:rsidRPr="00FA3842">
              <w:rPr>
                <w:rFonts w:ascii="Arial" w:hAnsi="Arial" w:cs="Arial"/>
                <w:sz w:val="20"/>
                <w:szCs w:val="20"/>
                <w:lang w:val="mk-MK"/>
              </w:rPr>
              <w:t>При изработка на Планот се земени во предвид потребите за национална безбедност и заштита од природни и други елементарни непогоди (</w:t>
            </w:r>
            <w:r w:rsidRPr="00FA3842">
              <w:rPr>
                <w:rFonts w:ascii="Arial" w:hAnsi="Arial" w:cs="Arial"/>
                <w:sz w:val="20"/>
                <w:szCs w:val="20"/>
                <w:lang w:val="mk-MK"/>
              </w:rPr>
              <w:t>PPDR</w:t>
            </w:r>
            <w:r w:rsidRPr="00FA3842">
              <w:rPr>
                <w:rFonts w:ascii="Arial" w:hAnsi="Arial" w:cs="Arial"/>
                <w:sz w:val="20"/>
                <w:szCs w:val="20"/>
                <w:lang w:val="mk-MK"/>
              </w:rPr>
              <w:t xml:space="preserve">), односно </w:t>
            </w:r>
            <w:r w:rsidR="00E14DEA" w:rsidRPr="00FA3842">
              <w:rPr>
                <w:rFonts w:ascii="Arial" w:hAnsi="Arial" w:cs="Arial"/>
                <w:sz w:val="20"/>
                <w:szCs w:val="20"/>
                <w:lang w:val="mk-MK"/>
              </w:rPr>
              <w:t>ECC/DEC/(16)02</w:t>
            </w:r>
            <w:r w:rsidR="00E14DEA" w:rsidRPr="00FA3842">
              <w:rPr>
                <w:rFonts w:ascii="Arial" w:hAnsi="Arial" w:cs="Arial"/>
                <w:sz w:val="20"/>
                <w:szCs w:val="20"/>
                <w:lang w:val="mk-MK"/>
              </w:rPr>
              <w:t xml:space="preserve"> е имплементирана во опсе</w:t>
            </w:r>
            <w:r w:rsidR="00F8253E" w:rsidRPr="00FA3842">
              <w:rPr>
                <w:rFonts w:ascii="Arial" w:hAnsi="Arial" w:cs="Arial"/>
                <w:sz w:val="20"/>
                <w:szCs w:val="20"/>
                <w:lang w:val="mk-MK"/>
              </w:rPr>
              <w:t xml:space="preserve">зите 410-430 </w:t>
            </w:r>
            <w:r w:rsidR="00F8253E" w:rsidRPr="00FA3842">
              <w:rPr>
                <w:rFonts w:ascii="Arial" w:hAnsi="Arial" w:cs="Arial"/>
                <w:sz w:val="20"/>
                <w:szCs w:val="20"/>
                <w:lang w:val="mk-MK"/>
              </w:rPr>
              <w:t>MHz</w:t>
            </w:r>
            <w:r w:rsidR="00F8253E" w:rsidRPr="00FA3842">
              <w:rPr>
                <w:rFonts w:ascii="Arial" w:hAnsi="Arial" w:cs="Arial"/>
                <w:sz w:val="20"/>
                <w:szCs w:val="20"/>
                <w:lang w:val="mk-MK"/>
              </w:rPr>
              <w:t xml:space="preserve">, 450-470 </w:t>
            </w:r>
            <w:r w:rsidR="00F8253E" w:rsidRPr="00FA3842">
              <w:rPr>
                <w:rFonts w:ascii="Arial" w:hAnsi="Arial" w:cs="Arial"/>
                <w:sz w:val="20"/>
                <w:szCs w:val="20"/>
                <w:lang w:val="mk-MK"/>
              </w:rPr>
              <w:t>MHz</w:t>
            </w:r>
            <w:r w:rsidR="00F8253E" w:rsidRPr="00FA3842">
              <w:rPr>
                <w:rFonts w:ascii="Arial" w:hAnsi="Arial" w:cs="Arial"/>
                <w:sz w:val="20"/>
                <w:szCs w:val="20"/>
                <w:lang w:val="mk-MK"/>
              </w:rPr>
              <w:t xml:space="preserve"> и</w:t>
            </w:r>
            <w:r w:rsidR="00E14DEA" w:rsidRPr="00FA3842">
              <w:rPr>
                <w:rFonts w:ascii="Arial" w:hAnsi="Arial" w:cs="Arial"/>
                <w:sz w:val="20"/>
                <w:szCs w:val="20"/>
                <w:lang w:val="mk-MK"/>
              </w:rPr>
              <w:t xml:space="preserve"> 698-791</w:t>
            </w:r>
            <w:r w:rsidR="00F8253E" w:rsidRPr="00FA3842">
              <w:rPr>
                <w:rFonts w:ascii="Arial" w:hAnsi="Arial" w:cs="Arial"/>
                <w:sz w:val="20"/>
                <w:szCs w:val="20"/>
                <w:lang w:val="mk-MK"/>
              </w:rPr>
              <w:t xml:space="preserve"> </w:t>
            </w:r>
            <w:r w:rsidR="00F8253E" w:rsidRPr="00FA3842">
              <w:rPr>
                <w:rFonts w:ascii="Arial" w:hAnsi="Arial" w:cs="Arial"/>
                <w:sz w:val="20"/>
                <w:szCs w:val="20"/>
                <w:lang w:val="mk-MK"/>
              </w:rPr>
              <w:t>MHz</w:t>
            </w:r>
            <w:r w:rsidR="00F8253E" w:rsidRPr="00FA3842">
              <w:rPr>
                <w:rFonts w:ascii="Arial" w:hAnsi="Arial" w:cs="Arial"/>
                <w:sz w:val="20"/>
                <w:szCs w:val="20"/>
                <w:lang w:val="mk-MK"/>
              </w:rPr>
              <w:t>.</w:t>
            </w:r>
          </w:p>
        </w:tc>
      </w:tr>
      <w:tr w:rsidR="00FA3842" w:rsidRPr="00FA3842" w:rsidTr="004214A5">
        <w:trPr>
          <w:jc w:val="center"/>
        </w:trPr>
        <w:tc>
          <w:tcPr>
            <w:tcW w:w="3878" w:type="pct"/>
          </w:tcPr>
          <w:p w:rsidR="00FA3842" w:rsidRPr="00FA3842" w:rsidRDefault="00FA3842" w:rsidP="00981089">
            <w:pPr>
              <w:rPr>
                <w:rFonts w:ascii="Arial" w:hAnsi="Arial" w:cs="Arial"/>
                <w:b/>
                <w:sz w:val="20"/>
                <w:szCs w:val="20"/>
                <w:lang w:val="mk-MK"/>
              </w:rPr>
            </w:pPr>
            <w:r w:rsidRPr="00FA3842">
              <w:rPr>
                <w:rFonts w:ascii="Arial" w:hAnsi="Arial" w:cs="Arial"/>
                <w:b/>
                <w:sz w:val="20"/>
                <w:szCs w:val="20"/>
                <w:lang w:val="mk-MK"/>
              </w:rPr>
              <w:t>Министерство за одбрана</w:t>
            </w:r>
            <w:r w:rsidRPr="00FA3842">
              <w:rPr>
                <w:rFonts w:ascii="Arial" w:hAnsi="Arial" w:cs="Arial"/>
                <w:b/>
                <w:sz w:val="20"/>
                <w:szCs w:val="20"/>
                <w:lang w:val="en-GB"/>
              </w:rPr>
              <w:t xml:space="preserve"> (</w:t>
            </w:r>
            <w:r w:rsidRPr="00FA3842">
              <w:rPr>
                <w:rFonts w:ascii="Arial" w:hAnsi="Arial" w:cs="Arial"/>
                <w:b/>
                <w:sz w:val="20"/>
                <w:szCs w:val="20"/>
                <w:lang w:val="mk-MK"/>
              </w:rPr>
              <w:t>ГШ на Армија):</w:t>
            </w:r>
          </w:p>
          <w:p w:rsidR="00FA3842" w:rsidRDefault="00FA3842" w:rsidP="00FA3842">
            <w:pPr>
              <w:pStyle w:val="ListParagraph"/>
              <w:ind w:left="0"/>
              <w:rPr>
                <w:rFonts w:ascii="Arial" w:hAnsi="Arial" w:cs="Arial"/>
                <w:sz w:val="20"/>
                <w:szCs w:val="20"/>
                <w:lang w:val="mk-MK"/>
              </w:rPr>
            </w:pPr>
            <w:r w:rsidRPr="00FA3842">
              <w:rPr>
                <w:rFonts w:ascii="Arial" w:hAnsi="Arial" w:cs="Arial"/>
                <w:sz w:val="20"/>
                <w:szCs w:val="20"/>
                <w:lang w:val="mk-MK"/>
              </w:rPr>
              <w:t>Согласно наведените правилници, одлуки, препораки, регулативи и директиви радиофреквенциските опсези: 2558</w:t>
            </w:r>
            <w:r w:rsidRPr="00FA3842">
              <w:rPr>
                <w:rFonts w:ascii="Arial" w:hAnsi="Arial" w:cs="Arial"/>
                <w:sz w:val="20"/>
                <w:szCs w:val="20"/>
              </w:rPr>
              <w:t xml:space="preserve">MHz-2593MHz </w:t>
            </w:r>
            <w:r w:rsidRPr="00FA3842">
              <w:rPr>
                <w:rFonts w:ascii="Arial" w:hAnsi="Arial" w:cs="Arial"/>
                <w:sz w:val="20"/>
                <w:szCs w:val="20"/>
                <w:lang w:val="mk-MK"/>
              </w:rPr>
              <w:t xml:space="preserve">и </w:t>
            </w:r>
            <w:r w:rsidRPr="00FA3842">
              <w:rPr>
                <w:rFonts w:ascii="Arial" w:hAnsi="Arial" w:cs="Arial"/>
                <w:sz w:val="20"/>
                <w:szCs w:val="20"/>
              </w:rPr>
              <w:t xml:space="preserve">2632MHz-2670MHz </w:t>
            </w:r>
            <w:r w:rsidRPr="00FA3842">
              <w:rPr>
                <w:rFonts w:ascii="Arial" w:hAnsi="Arial" w:cs="Arial"/>
                <w:sz w:val="20"/>
                <w:szCs w:val="20"/>
                <w:lang w:val="mk-MK"/>
              </w:rPr>
              <w:t xml:space="preserve">кои досега беа дадени на користење на Министерство за одбрана односно ГШ на Армијата сега со Нацрт Планот истите се доделуваат на користење за потребите на јавни мобилни/фиксни комуникациски мрежи </w:t>
            </w:r>
            <w:r w:rsidRPr="00FA3842">
              <w:rPr>
                <w:rFonts w:ascii="Arial" w:hAnsi="Arial" w:cs="Arial"/>
                <w:sz w:val="20"/>
                <w:szCs w:val="20"/>
              </w:rPr>
              <w:t>MFCN</w:t>
            </w:r>
            <w:r w:rsidRPr="00FA3842">
              <w:rPr>
                <w:rFonts w:ascii="Arial" w:hAnsi="Arial" w:cs="Arial"/>
                <w:sz w:val="20"/>
                <w:szCs w:val="20"/>
                <w:lang w:val="mk-MK"/>
              </w:rPr>
              <w:t xml:space="preserve"> (М48). Од наша страна НЕ СЕ СЛОЖУВАМЕ со овие измени односно потребно е овие радиофреквенциски опсези да останат на користење на МО/ГШ на Армијата поради тоа што имаме поставени уреди кои што работат во наведените фреквенциски опсези и истите се во функција (уредите имаат фиксни фреквенции без можност за промена на истите). ГШ на Армијата има потреба од користење на овие радиофреквенциски опсези се до моментот на набавка и замена на постоечките уреди со нови уреди кои би работеле во други фреквенциски опсези и кои би имале помала ширина на каналите. ГШ на Армијата побарува доколку нема можности овие фреквенциски опсези да останат за користење на МО/ГШ на Армијата истите да бидат дадени на користење уште најмалку 5 години.</w:t>
            </w:r>
          </w:p>
          <w:p w:rsidR="00FA0A5D" w:rsidRPr="00FA3842" w:rsidRDefault="00FA0A5D" w:rsidP="00FA3842">
            <w:pPr>
              <w:pStyle w:val="ListParagraph"/>
              <w:ind w:left="0"/>
              <w:rPr>
                <w:rFonts w:ascii="Arial" w:hAnsi="Arial" w:cs="Arial"/>
                <w:sz w:val="20"/>
                <w:szCs w:val="20"/>
                <w:lang w:val="mk-MK"/>
              </w:rPr>
            </w:pPr>
          </w:p>
          <w:p w:rsidR="00FA3842" w:rsidRPr="00FA3842" w:rsidRDefault="00FA3842" w:rsidP="00FA0A5D">
            <w:pPr>
              <w:pStyle w:val="ListParagraph"/>
              <w:ind w:left="0"/>
              <w:rPr>
                <w:rFonts w:ascii="Arial" w:hAnsi="Arial" w:cs="Arial"/>
                <w:sz w:val="20"/>
                <w:szCs w:val="20"/>
                <w:lang w:val="mk-MK"/>
              </w:rPr>
            </w:pPr>
            <w:r w:rsidRPr="00FA3842">
              <w:rPr>
                <w:rFonts w:ascii="Arial" w:hAnsi="Arial" w:cs="Arial"/>
                <w:sz w:val="20"/>
                <w:szCs w:val="20"/>
                <w:lang w:val="mk-MK"/>
              </w:rPr>
              <w:t xml:space="preserve">Согласно наведените правилници, одлуки, препораки, регулативи и директиви радиофреквенцискиот опсег: 26.5 </w:t>
            </w:r>
            <w:r w:rsidRPr="00FA3842">
              <w:rPr>
                <w:rFonts w:ascii="Arial" w:hAnsi="Arial" w:cs="Arial"/>
                <w:sz w:val="20"/>
                <w:szCs w:val="20"/>
              </w:rPr>
              <w:t xml:space="preserve">GHz-27.5GHz </w:t>
            </w:r>
            <w:r w:rsidRPr="00FA3842">
              <w:rPr>
                <w:rFonts w:ascii="Arial" w:hAnsi="Arial" w:cs="Arial"/>
                <w:sz w:val="20"/>
                <w:szCs w:val="20"/>
                <w:lang w:val="mk-MK"/>
              </w:rPr>
              <w:t xml:space="preserve">што досега беше даден на користење на Министерство за одбрана односно ГШ на Армијата сега со Нацрт Планот истиот се доделува на користење на цивилни структури за </w:t>
            </w:r>
            <w:r w:rsidRPr="00FA3842">
              <w:rPr>
                <w:rFonts w:ascii="Arial" w:hAnsi="Arial" w:cs="Arial"/>
                <w:sz w:val="20"/>
                <w:szCs w:val="20"/>
                <w:lang w:val="mk-MK"/>
              </w:rPr>
              <w:lastRenderedPageBreak/>
              <w:t xml:space="preserve">фиксна/мобилна употреба за потребите за имплеменатација на </w:t>
            </w:r>
            <w:r w:rsidRPr="00FA3842">
              <w:rPr>
                <w:rFonts w:ascii="Arial" w:hAnsi="Arial" w:cs="Arial"/>
                <w:sz w:val="20"/>
                <w:szCs w:val="20"/>
              </w:rPr>
              <w:t>5G</w:t>
            </w:r>
            <w:r w:rsidRPr="00FA3842">
              <w:rPr>
                <w:rFonts w:ascii="Arial" w:hAnsi="Arial" w:cs="Arial"/>
                <w:sz w:val="20"/>
                <w:szCs w:val="20"/>
                <w:lang w:val="mk-MK"/>
              </w:rPr>
              <w:t>. Од наша страна НЕ СЕ СЛОЖУВАМЕ со овие измени односно потребно е наведениот радиофреквенциски опсег да се остави на користење на МО/ГШ на Армијата заради можна имплеменатација и користење на овој опсег за воведување на приватна воена 5</w:t>
            </w:r>
            <w:r w:rsidRPr="00FA3842">
              <w:rPr>
                <w:rFonts w:ascii="Arial" w:hAnsi="Arial" w:cs="Arial"/>
                <w:sz w:val="20"/>
                <w:szCs w:val="20"/>
              </w:rPr>
              <w:t xml:space="preserve">G </w:t>
            </w:r>
            <w:r w:rsidRPr="00FA3842">
              <w:rPr>
                <w:rFonts w:ascii="Arial" w:hAnsi="Arial" w:cs="Arial"/>
                <w:sz w:val="20"/>
                <w:szCs w:val="20"/>
                <w:lang w:val="mk-MK"/>
              </w:rPr>
              <w:t>систем/мрежа или користење на јавна 5</w:t>
            </w:r>
            <w:r w:rsidRPr="00FA3842">
              <w:rPr>
                <w:rFonts w:ascii="Arial" w:hAnsi="Arial" w:cs="Arial"/>
                <w:sz w:val="20"/>
                <w:szCs w:val="20"/>
              </w:rPr>
              <w:t>G</w:t>
            </w:r>
            <w:r w:rsidRPr="00FA3842">
              <w:rPr>
                <w:rFonts w:ascii="Arial" w:hAnsi="Arial" w:cs="Arial"/>
                <w:sz w:val="20"/>
                <w:szCs w:val="20"/>
                <w:lang w:val="mk-MK"/>
              </w:rPr>
              <w:t xml:space="preserve"> мрежа од страна на Армијата или користење на одредена 5</w:t>
            </w:r>
            <w:r w:rsidRPr="00FA3842">
              <w:rPr>
                <w:rFonts w:ascii="Arial" w:hAnsi="Arial" w:cs="Arial"/>
                <w:sz w:val="20"/>
                <w:szCs w:val="20"/>
              </w:rPr>
              <w:t xml:space="preserve">G </w:t>
            </w:r>
            <w:r w:rsidRPr="00FA3842">
              <w:rPr>
                <w:rFonts w:ascii="Arial" w:hAnsi="Arial" w:cs="Arial"/>
                <w:sz w:val="20"/>
                <w:szCs w:val="20"/>
                <w:lang w:val="mk-MK"/>
              </w:rPr>
              <w:t>технологија во приватни воени системи/мрежи.   </w:t>
            </w:r>
          </w:p>
          <w:p w:rsidR="00FA3842" w:rsidRPr="00FA3842" w:rsidRDefault="00FA3842" w:rsidP="00981089">
            <w:pPr>
              <w:rPr>
                <w:rFonts w:ascii="Arial" w:hAnsi="Arial" w:cs="Arial"/>
                <w:b/>
                <w:sz w:val="20"/>
                <w:szCs w:val="20"/>
                <w:lang w:val="mk-MK"/>
              </w:rPr>
            </w:pPr>
          </w:p>
          <w:p w:rsidR="00FA3842" w:rsidRPr="00FA3842" w:rsidRDefault="00FA3842" w:rsidP="00981089">
            <w:pPr>
              <w:rPr>
                <w:rFonts w:ascii="Arial" w:hAnsi="Arial" w:cs="Arial"/>
                <w:b/>
                <w:sz w:val="20"/>
                <w:szCs w:val="20"/>
                <w:lang w:val="en-GB"/>
              </w:rPr>
            </w:pPr>
          </w:p>
        </w:tc>
        <w:tc>
          <w:tcPr>
            <w:tcW w:w="1122" w:type="pct"/>
          </w:tcPr>
          <w:p w:rsidR="00FA0A5D" w:rsidRDefault="00FA0A5D" w:rsidP="00FA0A5D">
            <w:pPr>
              <w:spacing w:before="120"/>
              <w:rPr>
                <w:rFonts w:ascii="Arial" w:hAnsi="Arial" w:cs="Arial"/>
                <w:sz w:val="20"/>
                <w:szCs w:val="20"/>
                <w:lang w:val="mk-MK"/>
              </w:rPr>
            </w:pPr>
          </w:p>
          <w:p w:rsidR="00FA3842" w:rsidRDefault="00FA0A5D" w:rsidP="00FA0A5D">
            <w:pPr>
              <w:pStyle w:val="ListParagraph"/>
              <w:ind w:left="0"/>
              <w:rPr>
                <w:rFonts w:ascii="Arial" w:hAnsi="Arial" w:cs="Arial"/>
                <w:sz w:val="20"/>
                <w:szCs w:val="20"/>
                <w:lang w:val="mk-MK"/>
              </w:rPr>
            </w:pPr>
            <w:r>
              <w:rPr>
                <w:rFonts w:ascii="Arial" w:hAnsi="Arial" w:cs="Arial"/>
                <w:sz w:val="20"/>
                <w:szCs w:val="20"/>
                <w:lang w:val="mk-MK"/>
              </w:rPr>
              <w:t xml:space="preserve">Фреквенциските опсези </w:t>
            </w:r>
            <w:r w:rsidRPr="00FA3842">
              <w:rPr>
                <w:rFonts w:ascii="Arial" w:hAnsi="Arial" w:cs="Arial"/>
                <w:sz w:val="20"/>
                <w:szCs w:val="20"/>
                <w:lang w:val="mk-MK"/>
              </w:rPr>
              <w:t>2558</w:t>
            </w:r>
            <w:r w:rsidRPr="00FA0A5D">
              <w:rPr>
                <w:rFonts w:ascii="Arial" w:hAnsi="Arial" w:cs="Arial"/>
                <w:sz w:val="20"/>
                <w:szCs w:val="20"/>
                <w:lang w:val="mk-MK"/>
              </w:rPr>
              <w:t xml:space="preserve">MHz-2593MHz </w:t>
            </w:r>
            <w:r w:rsidRPr="00FA3842">
              <w:rPr>
                <w:rFonts w:ascii="Arial" w:hAnsi="Arial" w:cs="Arial"/>
                <w:sz w:val="20"/>
                <w:szCs w:val="20"/>
                <w:lang w:val="mk-MK"/>
              </w:rPr>
              <w:t xml:space="preserve">и </w:t>
            </w:r>
            <w:r w:rsidRPr="00FA0A5D">
              <w:rPr>
                <w:rFonts w:ascii="Arial" w:hAnsi="Arial" w:cs="Arial"/>
                <w:sz w:val="20"/>
                <w:szCs w:val="20"/>
                <w:lang w:val="mk-MK"/>
              </w:rPr>
              <w:t>2632MHz-2670MHz</w:t>
            </w:r>
            <w:r>
              <w:rPr>
                <w:rFonts w:ascii="Arial" w:hAnsi="Arial" w:cs="Arial"/>
                <w:sz w:val="20"/>
                <w:szCs w:val="20"/>
                <w:lang w:val="mk-MK"/>
              </w:rPr>
              <w:t xml:space="preserve"> ќе бидат наменети за владино користење до крајот на 2025 година. </w:t>
            </w:r>
          </w:p>
          <w:p w:rsidR="00FA0A5D" w:rsidRDefault="00FA0A5D" w:rsidP="00FA0A5D">
            <w:pPr>
              <w:pStyle w:val="ListParagraph"/>
              <w:ind w:left="0"/>
              <w:rPr>
                <w:rFonts w:ascii="Arial" w:hAnsi="Arial" w:cs="Arial"/>
                <w:sz w:val="20"/>
                <w:szCs w:val="20"/>
                <w:lang w:val="mk-MK"/>
              </w:rPr>
            </w:pPr>
          </w:p>
          <w:p w:rsidR="00FA0A5D" w:rsidRDefault="00FA0A5D" w:rsidP="00FA0A5D">
            <w:pPr>
              <w:pStyle w:val="ListParagraph"/>
              <w:ind w:left="0"/>
              <w:rPr>
                <w:rFonts w:ascii="Arial" w:hAnsi="Arial" w:cs="Arial"/>
                <w:sz w:val="20"/>
                <w:szCs w:val="20"/>
                <w:lang w:val="mk-MK"/>
              </w:rPr>
            </w:pPr>
          </w:p>
          <w:p w:rsidR="00FA0A5D" w:rsidRDefault="00FA0A5D" w:rsidP="00FA0A5D">
            <w:pPr>
              <w:pStyle w:val="ListParagraph"/>
              <w:ind w:left="0"/>
              <w:rPr>
                <w:rFonts w:ascii="Arial" w:hAnsi="Arial" w:cs="Arial"/>
                <w:sz w:val="20"/>
                <w:szCs w:val="20"/>
                <w:lang w:val="mk-MK"/>
              </w:rPr>
            </w:pPr>
          </w:p>
          <w:p w:rsidR="00FA0A5D" w:rsidRDefault="00FA0A5D" w:rsidP="00FA0A5D">
            <w:pPr>
              <w:pStyle w:val="ListParagraph"/>
              <w:ind w:left="0"/>
              <w:rPr>
                <w:rFonts w:ascii="Arial" w:hAnsi="Arial" w:cs="Arial"/>
                <w:sz w:val="20"/>
                <w:szCs w:val="20"/>
                <w:lang w:val="mk-MK"/>
              </w:rPr>
            </w:pPr>
          </w:p>
          <w:p w:rsidR="00FA0A5D" w:rsidRDefault="00FA0A5D" w:rsidP="00FA0A5D">
            <w:pPr>
              <w:pStyle w:val="ListParagraph"/>
              <w:ind w:left="0"/>
              <w:rPr>
                <w:rFonts w:ascii="Arial" w:hAnsi="Arial" w:cs="Arial"/>
                <w:sz w:val="20"/>
                <w:szCs w:val="20"/>
                <w:lang w:val="mk-MK"/>
              </w:rPr>
            </w:pPr>
          </w:p>
          <w:p w:rsidR="00FA0A5D" w:rsidRDefault="00FA0A5D" w:rsidP="00FA0A5D">
            <w:pPr>
              <w:pStyle w:val="ListParagraph"/>
              <w:ind w:left="0"/>
              <w:rPr>
                <w:rFonts w:ascii="Arial" w:hAnsi="Arial" w:cs="Arial"/>
                <w:sz w:val="20"/>
                <w:szCs w:val="20"/>
                <w:lang w:val="mk-MK"/>
              </w:rPr>
            </w:pPr>
          </w:p>
          <w:p w:rsidR="00FA0A5D" w:rsidRDefault="00FA0A5D" w:rsidP="00FA0A5D">
            <w:pPr>
              <w:pStyle w:val="ListParagraph"/>
              <w:ind w:left="0"/>
              <w:rPr>
                <w:rFonts w:ascii="Arial" w:hAnsi="Arial" w:cs="Arial"/>
                <w:sz w:val="20"/>
                <w:szCs w:val="20"/>
                <w:lang w:val="mk-MK"/>
              </w:rPr>
            </w:pPr>
          </w:p>
          <w:p w:rsidR="00FA0A5D" w:rsidRDefault="00FA0A5D" w:rsidP="00FA0A5D">
            <w:pPr>
              <w:pStyle w:val="ListParagraph"/>
              <w:ind w:left="0"/>
              <w:rPr>
                <w:rFonts w:ascii="Arial" w:hAnsi="Arial" w:cs="Arial"/>
                <w:sz w:val="20"/>
                <w:szCs w:val="20"/>
                <w:lang w:val="mk-MK"/>
              </w:rPr>
            </w:pPr>
          </w:p>
          <w:p w:rsidR="00FA0A5D" w:rsidRDefault="00FA0A5D" w:rsidP="00FA0A5D">
            <w:pPr>
              <w:pStyle w:val="ListParagraph"/>
              <w:ind w:left="0"/>
              <w:rPr>
                <w:rFonts w:ascii="Arial" w:hAnsi="Arial" w:cs="Arial"/>
                <w:sz w:val="20"/>
                <w:szCs w:val="20"/>
                <w:lang w:val="mk-MK"/>
              </w:rPr>
            </w:pPr>
          </w:p>
          <w:p w:rsidR="00FA0A5D" w:rsidRPr="002F34C0" w:rsidRDefault="00FA0A5D" w:rsidP="00FA0A5D">
            <w:pPr>
              <w:pStyle w:val="ListParagraph"/>
              <w:ind w:left="0"/>
              <w:rPr>
                <w:rFonts w:ascii="Arial" w:hAnsi="Arial" w:cs="Arial"/>
                <w:sz w:val="20"/>
                <w:szCs w:val="20"/>
                <w:lang w:val="mk-MK"/>
              </w:rPr>
            </w:pPr>
            <w:r>
              <w:rPr>
                <w:rFonts w:ascii="Arial" w:hAnsi="Arial" w:cs="Arial"/>
                <w:sz w:val="20"/>
                <w:szCs w:val="20"/>
                <w:lang w:val="mk-MK"/>
              </w:rPr>
              <w:t xml:space="preserve">По одржаниот состанок со претставници на Армијата е заклучено </w:t>
            </w:r>
            <w:r>
              <w:rPr>
                <w:rFonts w:ascii="Arial" w:hAnsi="Arial" w:cs="Arial"/>
                <w:sz w:val="20"/>
                <w:szCs w:val="20"/>
                <w:lang w:val="mk-MK"/>
              </w:rPr>
              <w:lastRenderedPageBreak/>
              <w:t xml:space="preserve">опсегот </w:t>
            </w:r>
            <w:r w:rsidR="002F34C0">
              <w:rPr>
                <w:rFonts w:ascii="Arial" w:hAnsi="Arial" w:cs="Arial"/>
                <w:sz w:val="20"/>
                <w:szCs w:val="20"/>
                <w:lang w:val="mk-MK"/>
              </w:rPr>
              <w:t xml:space="preserve">26.5 </w:t>
            </w:r>
            <w:r w:rsidRPr="00FA3842">
              <w:rPr>
                <w:rFonts w:ascii="Arial" w:hAnsi="Arial" w:cs="Arial"/>
                <w:sz w:val="20"/>
                <w:szCs w:val="20"/>
              </w:rPr>
              <w:t>GHz</w:t>
            </w:r>
            <w:r w:rsidR="002F34C0">
              <w:rPr>
                <w:rFonts w:ascii="Arial" w:hAnsi="Arial" w:cs="Arial"/>
                <w:sz w:val="20"/>
                <w:szCs w:val="20"/>
                <w:lang w:val="mk-MK"/>
              </w:rPr>
              <w:t xml:space="preserve"> </w:t>
            </w:r>
            <w:r w:rsidR="002F34C0">
              <w:rPr>
                <w:rFonts w:ascii="Arial" w:hAnsi="Arial" w:cs="Arial"/>
                <w:sz w:val="20"/>
                <w:szCs w:val="20"/>
              </w:rPr>
              <w:t>–</w:t>
            </w:r>
            <w:r w:rsidR="002F34C0">
              <w:rPr>
                <w:rFonts w:ascii="Arial" w:hAnsi="Arial" w:cs="Arial"/>
                <w:sz w:val="20"/>
                <w:szCs w:val="20"/>
                <w:lang w:val="mk-MK"/>
              </w:rPr>
              <w:t xml:space="preserve"> </w:t>
            </w:r>
            <w:r w:rsidRPr="00FA3842">
              <w:rPr>
                <w:rFonts w:ascii="Arial" w:hAnsi="Arial" w:cs="Arial"/>
                <w:sz w:val="20"/>
                <w:szCs w:val="20"/>
              </w:rPr>
              <w:t>27</w:t>
            </w:r>
            <w:r w:rsidR="002F34C0">
              <w:rPr>
                <w:rFonts w:ascii="Arial" w:hAnsi="Arial" w:cs="Arial"/>
                <w:sz w:val="20"/>
                <w:szCs w:val="20"/>
                <w:lang w:val="mk-MK"/>
              </w:rPr>
              <w:t xml:space="preserve"> </w:t>
            </w:r>
            <w:r w:rsidRPr="00FA3842">
              <w:rPr>
                <w:rFonts w:ascii="Arial" w:hAnsi="Arial" w:cs="Arial"/>
                <w:sz w:val="20"/>
                <w:szCs w:val="20"/>
              </w:rPr>
              <w:t>GHz</w:t>
            </w:r>
            <w:r w:rsidR="002F34C0">
              <w:rPr>
                <w:rFonts w:ascii="Arial" w:hAnsi="Arial" w:cs="Arial"/>
                <w:sz w:val="20"/>
                <w:szCs w:val="20"/>
                <w:lang w:val="mk-MK"/>
              </w:rPr>
              <w:t xml:space="preserve"> да се пренамени за цивилни корисници, а опсегот</w:t>
            </w:r>
          </w:p>
          <w:p w:rsidR="00FA0A5D" w:rsidRPr="002F34C0" w:rsidRDefault="00FA0A5D" w:rsidP="002F34C0">
            <w:pPr>
              <w:pStyle w:val="ListParagraph"/>
              <w:ind w:left="0"/>
              <w:rPr>
                <w:rFonts w:ascii="Arial" w:hAnsi="Arial" w:cs="Arial"/>
                <w:sz w:val="20"/>
                <w:szCs w:val="20"/>
                <w:lang w:val="mk-MK"/>
              </w:rPr>
            </w:pPr>
            <w:r w:rsidRPr="00FA3842">
              <w:rPr>
                <w:rFonts w:ascii="Arial" w:hAnsi="Arial" w:cs="Arial"/>
                <w:sz w:val="20"/>
                <w:szCs w:val="20"/>
                <w:lang w:val="mk-MK"/>
              </w:rPr>
              <w:t>2</w:t>
            </w:r>
            <w:r w:rsidR="002F34C0">
              <w:rPr>
                <w:rFonts w:ascii="Arial" w:hAnsi="Arial" w:cs="Arial"/>
                <w:sz w:val="20"/>
                <w:szCs w:val="20"/>
                <w:lang w:val="mk-MK"/>
              </w:rPr>
              <w:t>7</w:t>
            </w:r>
            <w:r w:rsidRPr="00FA3842">
              <w:rPr>
                <w:rFonts w:ascii="Arial" w:hAnsi="Arial" w:cs="Arial"/>
                <w:sz w:val="20"/>
                <w:szCs w:val="20"/>
                <w:lang w:val="mk-MK"/>
              </w:rPr>
              <w:t xml:space="preserve"> </w:t>
            </w:r>
            <w:r w:rsidRPr="00FA3842">
              <w:rPr>
                <w:rFonts w:ascii="Arial" w:hAnsi="Arial" w:cs="Arial"/>
                <w:sz w:val="20"/>
                <w:szCs w:val="20"/>
              </w:rPr>
              <w:t>GHz</w:t>
            </w:r>
            <w:r w:rsidR="002F34C0">
              <w:rPr>
                <w:rFonts w:ascii="Arial" w:hAnsi="Arial" w:cs="Arial"/>
                <w:sz w:val="20"/>
                <w:szCs w:val="20"/>
                <w:lang w:val="mk-MK"/>
              </w:rPr>
              <w:t xml:space="preserve"> </w:t>
            </w:r>
            <w:r w:rsidRPr="00FA3842">
              <w:rPr>
                <w:rFonts w:ascii="Arial" w:hAnsi="Arial" w:cs="Arial"/>
                <w:sz w:val="20"/>
                <w:szCs w:val="20"/>
              </w:rPr>
              <w:t>-</w:t>
            </w:r>
            <w:r w:rsidR="002F34C0">
              <w:rPr>
                <w:rFonts w:ascii="Arial" w:hAnsi="Arial" w:cs="Arial"/>
                <w:sz w:val="20"/>
                <w:szCs w:val="20"/>
                <w:lang w:val="mk-MK"/>
              </w:rPr>
              <w:t xml:space="preserve"> </w:t>
            </w:r>
            <w:r w:rsidRPr="00FA3842">
              <w:rPr>
                <w:rFonts w:ascii="Arial" w:hAnsi="Arial" w:cs="Arial"/>
                <w:sz w:val="20"/>
                <w:szCs w:val="20"/>
              </w:rPr>
              <w:t>27.5</w:t>
            </w:r>
            <w:r w:rsidR="002F34C0">
              <w:rPr>
                <w:rFonts w:ascii="Arial" w:hAnsi="Arial" w:cs="Arial"/>
                <w:sz w:val="20"/>
                <w:szCs w:val="20"/>
                <w:lang w:val="mk-MK"/>
              </w:rPr>
              <w:t xml:space="preserve"> </w:t>
            </w:r>
            <w:r w:rsidRPr="00FA3842">
              <w:rPr>
                <w:rFonts w:ascii="Arial" w:hAnsi="Arial" w:cs="Arial"/>
                <w:sz w:val="20"/>
                <w:szCs w:val="20"/>
              </w:rPr>
              <w:t>GHz</w:t>
            </w:r>
            <w:r w:rsidR="002F34C0">
              <w:rPr>
                <w:rFonts w:ascii="Arial" w:hAnsi="Arial" w:cs="Arial"/>
                <w:sz w:val="20"/>
                <w:szCs w:val="20"/>
                <w:lang w:val="mk-MK"/>
              </w:rPr>
              <w:t xml:space="preserve"> да остане наменет за Владини корисници.</w:t>
            </w:r>
          </w:p>
        </w:tc>
      </w:tr>
    </w:tbl>
    <w:p w:rsidR="007B08E7" w:rsidRPr="00FA3842" w:rsidRDefault="007B08E7" w:rsidP="007B08E7">
      <w:pPr>
        <w:rPr>
          <w:rFonts w:ascii="Arial" w:hAnsi="Arial" w:cs="Arial"/>
          <w:sz w:val="20"/>
          <w:szCs w:val="20"/>
        </w:rPr>
      </w:pPr>
    </w:p>
    <w:p w:rsidR="005D239D" w:rsidRPr="00FA3842" w:rsidRDefault="005D239D" w:rsidP="005D239D">
      <w:pPr>
        <w:jc w:val="both"/>
        <w:rPr>
          <w:rFonts w:ascii="Arial" w:hAnsi="Arial" w:cs="Arial"/>
          <w:sz w:val="20"/>
          <w:szCs w:val="20"/>
        </w:rPr>
      </w:pPr>
      <w:r w:rsidRPr="00FA3842">
        <w:rPr>
          <w:rFonts w:ascii="Arial" w:hAnsi="Arial" w:cs="Arial"/>
          <w:sz w:val="20"/>
          <w:szCs w:val="20"/>
        </w:rPr>
        <w:t>С</w:t>
      </w:r>
      <w:r w:rsidR="002F34C0">
        <w:rPr>
          <w:rFonts w:ascii="Arial" w:hAnsi="Arial" w:cs="Arial"/>
          <w:sz w:val="20"/>
          <w:szCs w:val="20"/>
          <w:lang w:val="mk-MK"/>
        </w:rPr>
        <w:t>копје, 30.11.2020 година</w:t>
      </w:r>
    </w:p>
    <w:p w:rsidR="005D239D" w:rsidRPr="00FA3842" w:rsidRDefault="005D239D" w:rsidP="005D239D">
      <w:pPr>
        <w:rPr>
          <w:rFonts w:ascii="Arial" w:hAnsi="Arial" w:cs="Arial"/>
          <w:sz w:val="20"/>
          <w:szCs w:val="20"/>
        </w:rPr>
      </w:pPr>
    </w:p>
    <w:p w:rsidR="005D239D" w:rsidRPr="002F34C0" w:rsidRDefault="005D239D" w:rsidP="002F34C0">
      <w:pPr>
        <w:pStyle w:val="ListParagraph"/>
        <w:ind w:left="0"/>
        <w:rPr>
          <w:rFonts w:ascii="Arial" w:hAnsi="Arial" w:cs="Arial"/>
          <w:sz w:val="20"/>
          <w:szCs w:val="20"/>
          <w:lang w:val="mk-MK"/>
        </w:rPr>
      </w:pPr>
      <w:proofErr w:type="spellStart"/>
      <w:r w:rsidRPr="002F34C0">
        <w:rPr>
          <w:rFonts w:ascii="Arial" w:hAnsi="Arial" w:cs="Arial"/>
          <w:sz w:val="20"/>
          <w:szCs w:val="20"/>
          <w:lang w:val="mk-MK"/>
        </w:rPr>
        <w:t>Раководител</w:t>
      </w:r>
      <w:proofErr w:type="spellEnd"/>
      <w:r w:rsidRPr="002F34C0">
        <w:rPr>
          <w:rFonts w:ascii="Arial" w:hAnsi="Arial" w:cs="Arial"/>
          <w:sz w:val="20"/>
          <w:szCs w:val="20"/>
          <w:lang w:val="mk-MK"/>
        </w:rPr>
        <w:t xml:space="preserve"> </w:t>
      </w:r>
      <w:proofErr w:type="spellStart"/>
      <w:r w:rsidRPr="002F34C0">
        <w:rPr>
          <w:rFonts w:ascii="Arial" w:hAnsi="Arial" w:cs="Arial"/>
          <w:sz w:val="20"/>
          <w:szCs w:val="20"/>
          <w:lang w:val="mk-MK"/>
        </w:rPr>
        <w:t>на</w:t>
      </w:r>
      <w:proofErr w:type="spellEnd"/>
      <w:r w:rsidRPr="002F34C0">
        <w:rPr>
          <w:rFonts w:ascii="Arial" w:hAnsi="Arial" w:cs="Arial"/>
          <w:sz w:val="20"/>
          <w:szCs w:val="20"/>
          <w:lang w:val="mk-MK"/>
        </w:rPr>
        <w:t xml:space="preserve"> </w:t>
      </w:r>
      <w:proofErr w:type="spellStart"/>
      <w:r w:rsidRPr="002F34C0">
        <w:rPr>
          <w:rFonts w:ascii="Arial" w:hAnsi="Arial" w:cs="Arial"/>
          <w:sz w:val="20"/>
          <w:szCs w:val="20"/>
          <w:lang w:val="mk-MK"/>
        </w:rPr>
        <w:t>сектор</w:t>
      </w:r>
      <w:proofErr w:type="spellEnd"/>
      <w:r w:rsidRPr="002F34C0">
        <w:rPr>
          <w:rFonts w:ascii="Arial" w:hAnsi="Arial" w:cs="Arial"/>
          <w:sz w:val="20"/>
          <w:szCs w:val="20"/>
          <w:lang w:val="mk-MK"/>
        </w:rPr>
        <w:t xml:space="preserve"> </w:t>
      </w:r>
      <w:proofErr w:type="spellStart"/>
      <w:r w:rsidRPr="002F34C0">
        <w:rPr>
          <w:rFonts w:ascii="Arial" w:hAnsi="Arial" w:cs="Arial"/>
          <w:sz w:val="20"/>
          <w:szCs w:val="20"/>
          <w:lang w:val="mk-MK"/>
        </w:rPr>
        <w:t>за</w:t>
      </w:r>
      <w:proofErr w:type="spellEnd"/>
      <w:r w:rsidRPr="002F34C0">
        <w:rPr>
          <w:rFonts w:ascii="Arial" w:hAnsi="Arial" w:cs="Arial"/>
          <w:sz w:val="20"/>
          <w:szCs w:val="20"/>
          <w:lang w:val="mk-MK"/>
        </w:rPr>
        <w:t xml:space="preserve"> </w:t>
      </w:r>
      <w:proofErr w:type="spellStart"/>
      <w:r w:rsidRPr="002F34C0">
        <w:rPr>
          <w:rFonts w:ascii="Arial" w:hAnsi="Arial" w:cs="Arial"/>
          <w:sz w:val="20"/>
          <w:szCs w:val="20"/>
          <w:lang w:val="mk-MK"/>
        </w:rPr>
        <w:t>радиокомуникации</w:t>
      </w:r>
      <w:proofErr w:type="spellEnd"/>
    </w:p>
    <w:p w:rsidR="005D239D" w:rsidRPr="002F34C0" w:rsidRDefault="005D239D" w:rsidP="002F34C0">
      <w:pPr>
        <w:pStyle w:val="ListParagraph"/>
        <w:ind w:left="0"/>
        <w:rPr>
          <w:rFonts w:ascii="Arial" w:hAnsi="Arial" w:cs="Arial"/>
          <w:sz w:val="20"/>
          <w:szCs w:val="20"/>
          <w:lang w:val="mk-MK"/>
        </w:rPr>
      </w:pPr>
      <w:r w:rsidRPr="002F34C0">
        <w:rPr>
          <w:rFonts w:ascii="Arial" w:hAnsi="Arial" w:cs="Arial"/>
          <w:sz w:val="20"/>
          <w:szCs w:val="20"/>
          <w:lang w:val="mk-MK"/>
        </w:rPr>
        <w:t xml:space="preserve">    </w:t>
      </w:r>
      <w:r w:rsidRPr="002F34C0">
        <w:rPr>
          <w:rFonts w:ascii="Arial" w:hAnsi="Arial" w:cs="Arial"/>
          <w:sz w:val="20"/>
          <w:szCs w:val="20"/>
          <w:lang w:val="mk-MK"/>
        </w:rPr>
        <w:tab/>
      </w:r>
      <w:r w:rsidRPr="002F34C0">
        <w:rPr>
          <w:rFonts w:ascii="Arial" w:hAnsi="Arial" w:cs="Arial"/>
          <w:sz w:val="20"/>
          <w:szCs w:val="20"/>
          <w:lang w:val="mk-MK"/>
        </w:rPr>
        <w:tab/>
      </w:r>
      <w:proofErr w:type="spellStart"/>
      <w:r w:rsidRPr="002F34C0">
        <w:rPr>
          <w:rFonts w:ascii="Arial" w:hAnsi="Arial" w:cs="Arial"/>
          <w:sz w:val="20"/>
          <w:szCs w:val="20"/>
          <w:lang w:val="mk-MK"/>
        </w:rPr>
        <w:t>Јане</w:t>
      </w:r>
      <w:proofErr w:type="spellEnd"/>
      <w:r w:rsidRPr="002F34C0">
        <w:rPr>
          <w:rFonts w:ascii="Arial" w:hAnsi="Arial" w:cs="Arial"/>
          <w:sz w:val="20"/>
          <w:szCs w:val="20"/>
          <w:lang w:val="mk-MK"/>
        </w:rPr>
        <w:t xml:space="preserve"> </w:t>
      </w:r>
      <w:proofErr w:type="spellStart"/>
      <w:r w:rsidRPr="002F34C0">
        <w:rPr>
          <w:rFonts w:ascii="Arial" w:hAnsi="Arial" w:cs="Arial"/>
          <w:sz w:val="20"/>
          <w:szCs w:val="20"/>
          <w:lang w:val="mk-MK"/>
        </w:rPr>
        <w:t>Јакимовски</w:t>
      </w:r>
      <w:proofErr w:type="spellEnd"/>
    </w:p>
    <w:p w:rsidR="00086372" w:rsidRPr="002F34C0" w:rsidRDefault="00086372" w:rsidP="002F34C0">
      <w:pPr>
        <w:pStyle w:val="ListParagraph"/>
        <w:ind w:left="0"/>
        <w:rPr>
          <w:rFonts w:ascii="Arial" w:hAnsi="Arial" w:cs="Arial"/>
          <w:sz w:val="20"/>
          <w:szCs w:val="20"/>
          <w:lang w:val="mk-MK"/>
        </w:rPr>
      </w:pPr>
    </w:p>
    <w:p w:rsidR="00086372" w:rsidRPr="002F34C0" w:rsidRDefault="00086372" w:rsidP="002F34C0">
      <w:pPr>
        <w:pStyle w:val="ListParagraph"/>
        <w:ind w:left="0"/>
        <w:rPr>
          <w:rFonts w:ascii="Arial" w:hAnsi="Arial" w:cs="Arial"/>
          <w:sz w:val="20"/>
          <w:szCs w:val="20"/>
          <w:lang w:val="mk-MK"/>
        </w:rPr>
      </w:pPr>
    </w:p>
    <w:p w:rsidR="005D239D" w:rsidRPr="002F34C0" w:rsidRDefault="005D239D" w:rsidP="002F34C0">
      <w:pPr>
        <w:pStyle w:val="ListParagraph"/>
        <w:ind w:left="0"/>
        <w:rPr>
          <w:rFonts w:ascii="Arial" w:hAnsi="Arial" w:cs="Arial"/>
          <w:sz w:val="20"/>
          <w:szCs w:val="20"/>
          <w:lang w:val="mk-MK"/>
        </w:rPr>
      </w:pPr>
      <w:r w:rsidRPr="002F34C0">
        <w:rPr>
          <w:rFonts w:ascii="Arial" w:hAnsi="Arial" w:cs="Arial"/>
          <w:sz w:val="20"/>
          <w:szCs w:val="20"/>
          <w:lang w:val="mk-MK"/>
        </w:rPr>
        <w:t>Советник на Директорот за радиокомуникации,</w:t>
      </w:r>
    </w:p>
    <w:p w:rsidR="005D239D" w:rsidRPr="002F34C0" w:rsidRDefault="005D239D" w:rsidP="002F34C0">
      <w:pPr>
        <w:pStyle w:val="ListParagraph"/>
        <w:ind w:left="0"/>
        <w:rPr>
          <w:rFonts w:ascii="Arial" w:hAnsi="Arial" w:cs="Arial"/>
          <w:sz w:val="20"/>
          <w:szCs w:val="20"/>
          <w:lang w:val="mk-MK"/>
        </w:rPr>
      </w:pPr>
      <w:r w:rsidRPr="002F34C0">
        <w:rPr>
          <w:rFonts w:ascii="Arial" w:hAnsi="Arial" w:cs="Arial"/>
          <w:sz w:val="20"/>
          <w:szCs w:val="20"/>
          <w:lang w:val="mk-MK"/>
        </w:rPr>
        <w:t>контрола и мониторинг на радиофреквенции</w:t>
      </w:r>
    </w:p>
    <w:p w:rsidR="005D239D" w:rsidRPr="00FA3842" w:rsidRDefault="005D239D" w:rsidP="002F34C0">
      <w:pPr>
        <w:pStyle w:val="ListParagraph"/>
        <w:ind w:left="0"/>
        <w:rPr>
          <w:rFonts w:ascii="Arial" w:hAnsi="Arial" w:cs="Arial"/>
          <w:sz w:val="20"/>
          <w:szCs w:val="20"/>
          <w:lang w:val="mk-MK"/>
        </w:rPr>
      </w:pPr>
      <w:r w:rsidRPr="002F34C0">
        <w:rPr>
          <w:rFonts w:ascii="Arial" w:hAnsi="Arial" w:cs="Arial"/>
          <w:sz w:val="20"/>
          <w:szCs w:val="20"/>
          <w:lang w:val="mk-MK"/>
        </w:rPr>
        <w:tab/>
      </w:r>
      <w:r w:rsidRPr="002F34C0">
        <w:rPr>
          <w:rFonts w:ascii="Arial" w:hAnsi="Arial" w:cs="Arial"/>
          <w:sz w:val="20"/>
          <w:szCs w:val="20"/>
          <w:lang w:val="mk-MK"/>
        </w:rPr>
        <w:tab/>
        <w:t>Игор Бојаџиев</w:t>
      </w:r>
    </w:p>
    <w:sectPr w:rsidR="005D239D" w:rsidRPr="00FA3842" w:rsidSect="004214A5">
      <w:footerReference w:type="even" r:id="rId9"/>
      <w:footerReference w:type="default" r:id="rId10"/>
      <w:headerReference w:type="first" r:id="rId11"/>
      <w:pgSz w:w="11906" w:h="16838" w:code="9"/>
      <w:pgMar w:top="2491" w:right="850" w:bottom="2218" w:left="152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6A" w:rsidRDefault="004F0C6A" w:rsidP="000445D5">
      <w:r>
        <w:separator/>
      </w:r>
    </w:p>
  </w:endnote>
  <w:endnote w:type="continuationSeparator" w:id="0">
    <w:p w:rsidR="004F0C6A" w:rsidRDefault="004F0C6A" w:rsidP="0004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erif Regular">
    <w:altName w:val="Times New Roman"/>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DINPro-Medium">
    <w:altName w:val="Corbel"/>
    <w:charset w:val="CC"/>
    <w:family w:val="auto"/>
    <w:pitch w:val="variable"/>
    <w:sig w:usb0="00000001" w:usb1="4000206A"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1A" w:rsidRDefault="002E7082" w:rsidP="00131C1A">
    <w:pPr>
      <w:pStyle w:val="Footer"/>
      <w:framePr w:wrap="around" w:vAnchor="text" w:hAnchor="margin" w:xAlign="right" w:y="1"/>
      <w:rPr>
        <w:rStyle w:val="PageNumber"/>
      </w:rPr>
    </w:pPr>
    <w:r>
      <w:rPr>
        <w:rStyle w:val="PageNumber"/>
      </w:rPr>
      <w:fldChar w:fldCharType="begin"/>
    </w:r>
    <w:r w:rsidR="00131C1A">
      <w:rPr>
        <w:rStyle w:val="PageNumber"/>
      </w:rPr>
      <w:instrText xml:space="preserve">PAGE  </w:instrText>
    </w:r>
    <w:r>
      <w:rPr>
        <w:rStyle w:val="PageNumber"/>
      </w:rPr>
      <w:fldChar w:fldCharType="end"/>
    </w:r>
  </w:p>
  <w:p w:rsidR="00131C1A" w:rsidRDefault="00131C1A" w:rsidP="009700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1A" w:rsidRDefault="002E7082" w:rsidP="00131C1A">
    <w:pPr>
      <w:pStyle w:val="Footer"/>
      <w:framePr w:wrap="around" w:vAnchor="text" w:hAnchor="margin" w:xAlign="right" w:y="1"/>
      <w:rPr>
        <w:rStyle w:val="PageNumber"/>
      </w:rPr>
    </w:pPr>
    <w:r>
      <w:rPr>
        <w:rStyle w:val="PageNumber"/>
      </w:rPr>
      <w:fldChar w:fldCharType="begin"/>
    </w:r>
    <w:r w:rsidR="00131C1A">
      <w:rPr>
        <w:rStyle w:val="PageNumber"/>
      </w:rPr>
      <w:instrText xml:space="preserve">PAGE  </w:instrText>
    </w:r>
    <w:r>
      <w:rPr>
        <w:rStyle w:val="PageNumber"/>
      </w:rPr>
      <w:fldChar w:fldCharType="separate"/>
    </w:r>
    <w:r w:rsidR="000315DC">
      <w:rPr>
        <w:rStyle w:val="PageNumber"/>
        <w:noProof/>
      </w:rPr>
      <w:t>2</w:t>
    </w:r>
    <w:r>
      <w:rPr>
        <w:rStyle w:val="PageNumber"/>
      </w:rPr>
      <w:fldChar w:fldCharType="end"/>
    </w:r>
  </w:p>
  <w:p w:rsidR="00131C1A" w:rsidRDefault="00131C1A" w:rsidP="009700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6A" w:rsidRDefault="004F0C6A" w:rsidP="000445D5">
      <w:r>
        <w:separator/>
      </w:r>
    </w:p>
  </w:footnote>
  <w:footnote w:type="continuationSeparator" w:id="0">
    <w:p w:rsidR="004F0C6A" w:rsidRDefault="004F0C6A" w:rsidP="00044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1A" w:rsidRDefault="000315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style="position:absolute;margin-left:.3pt;margin-top:-.55pt;width:595.3pt;height:841.9pt;z-index:-251658752;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0FD0"/>
    <w:multiLevelType w:val="hybridMultilevel"/>
    <w:tmpl w:val="B77E168A"/>
    <w:lvl w:ilvl="0" w:tplc="F65AA2D8">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A247E6"/>
    <w:multiLevelType w:val="hybridMultilevel"/>
    <w:tmpl w:val="6B58ABDC"/>
    <w:lvl w:ilvl="0" w:tplc="69E83F58">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9205D"/>
    <w:multiLevelType w:val="hybridMultilevel"/>
    <w:tmpl w:val="482AEE88"/>
    <w:lvl w:ilvl="0" w:tplc="F9F85EC0">
      <w:start w:val="5"/>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
    <w:nsid w:val="757B3914"/>
    <w:multiLevelType w:val="hybridMultilevel"/>
    <w:tmpl w:val="68642A08"/>
    <w:lvl w:ilvl="0" w:tplc="6F80E770">
      <w:numFmt w:val="bullet"/>
      <w:lvlText w:val="-"/>
      <w:lvlJc w:val="left"/>
      <w:pPr>
        <w:ind w:left="720" w:hanging="360"/>
      </w:pPr>
      <w:rPr>
        <w:rFonts w:ascii="StobiSerif Regular" w:eastAsia="Calibri" w:hAnsi="StobiSerif Regular"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79C"/>
    <w:rsid w:val="00020849"/>
    <w:rsid w:val="000315DC"/>
    <w:rsid w:val="000445D5"/>
    <w:rsid w:val="000729B3"/>
    <w:rsid w:val="00086372"/>
    <w:rsid w:val="0009523A"/>
    <w:rsid w:val="00096A44"/>
    <w:rsid w:val="000A7ACC"/>
    <w:rsid w:val="000C090E"/>
    <w:rsid w:val="000C5035"/>
    <w:rsid w:val="000F018A"/>
    <w:rsid w:val="00131A41"/>
    <w:rsid w:val="00131C1A"/>
    <w:rsid w:val="001470A6"/>
    <w:rsid w:val="00153601"/>
    <w:rsid w:val="0018173C"/>
    <w:rsid w:val="001A03B9"/>
    <w:rsid w:val="001B0978"/>
    <w:rsid w:val="001C379C"/>
    <w:rsid w:val="001E30E2"/>
    <w:rsid w:val="001F4DC3"/>
    <w:rsid w:val="00217142"/>
    <w:rsid w:val="00235A27"/>
    <w:rsid w:val="00273425"/>
    <w:rsid w:val="002C027C"/>
    <w:rsid w:val="002E7082"/>
    <w:rsid w:val="002F34C0"/>
    <w:rsid w:val="00321A1A"/>
    <w:rsid w:val="0035069A"/>
    <w:rsid w:val="0036449B"/>
    <w:rsid w:val="003B6772"/>
    <w:rsid w:val="003D46E0"/>
    <w:rsid w:val="004214A5"/>
    <w:rsid w:val="004242A0"/>
    <w:rsid w:val="00446098"/>
    <w:rsid w:val="004562BA"/>
    <w:rsid w:val="004C4B9C"/>
    <w:rsid w:val="004E3263"/>
    <w:rsid w:val="004F0C6A"/>
    <w:rsid w:val="004F56C8"/>
    <w:rsid w:val="00531133"/>
    <w:rsid w:val="0055103B"/>
    <w:rsid w:val="005563E3"/>
    <w:rsid w:val="00561768"/>
    <w:rsid w:val="005C3878"/>
    <w:rsid w:val="005C77AE"/>
    <w:rsid w:val="005D239D"/>
    <w:rsid w:val="00632617"/>
    <w:rsid w:val="00634CE3"/>
    <w:rsid w:val="00643908"/>
    <w:rsid w:val="00666C3C"/>
    <w:rsid w:val="006C6F9B"/>
    <w:rsid w:val="0072661F"/>
    <w:rsid w:val="00744323"/>
    <w:rsid w:val="007476E3"/>
    <w:rsid w:val="007821E7"/>
    <w:rsid w:val="00794599"/>
    <w:rsid w:val="007A0794"/>
    <w:rsid w:val="007B08E7"/>
    <w:rsid w:val="007C60F2"/>
    <w:rsid w:val="007D1821"/>
    <w:rsid w:val="007D3078"/>
    <w:rsid w:val="007D7A61"/>
    <w:rsid w:val="007F2065"/>
    <w:rsid w:val="007F2344"/>
    <w:rsid w:val="007F63A6"/>
    <w:rsid w:val="00802901"/>
    <w:rsid w:val="00806DAD"/>
    <w:rsid w:val="00824DFC"/>
    <w:rsid w:val="008B1A87"/>
    <w:rsid w:val="008E04EE"/>
    <w:rsid w:val="008F03A8"/>
    <w:rsid w:val="008F3AD3"/>
    <w:rsid w:val="00915E97"/>
    <w:rsid w:val="009433A1"/>
    <w:rsid w:val="00962478"/>
    <w:rsid w:val="009700B1"/>
    <w:rsid w:val="00972D47"/>
    <w:rsid w:val="00981089"/>
    <w:rsid w:val="009E066C"/>
    <w:rsid w:val="009E48E8"/>
    <w:rsid w:val="009F40FC"/>
    <w:rsid w:val="009F5F70"/>
    <w:rsid w:val="00A04D41"/>
    <w:rsid w:val="00A52AFC"/>
    <w:rsid w:val="00A82C2B"/>
    <w:rsid w:val="00A9027F"/>
    <w:rsid w:val="00AA1FE0"/>
    <w:rsid w:val="00AC4EAE"/>
    <w:rsid w:val="00AD1136"/>
    <w:rsid w:val="00AF144C"/>
    <w:rsid w:val="00B1187C"/>
    <w:rsid w:val="00B40D21"/>
    <w:rsid w:val="00B41BD8"/>
    <w:rsid w:val="00B71EEE"/>
    <w:rsid w:val="00B73D94"/>
    <w:rsid w:val="00B767E5"/>
    <w:rsid w:val="00BA697E"/>
    <w:rsid w:val="00C12312"/>
    <w:rsid w:val="00C21F2C"/>
    <w:rsid w:val="00C538C2"/>
    <w:rsid w:val="00C567C8"/>
    <w:rsid w:val="00C734AB"/>
    <w:rsid w:val="00C83E94"/>
    <w:rsid w:val="00CA4B16"/>
    <w:rsid w:val="00D5316B"/>
    <w:rsid w:val="00DB6D3C"/>
    <w:rsid w:val="00DE7126"/>
    <w:rsid w:val="00E04A12"/>
    <w:rsid w:val="00E06CA9"/>
    <w:rsid w:val="00E14DEA"/>
    <w:rsid w:val="00E154C7"/>
    <w:rsid w:val="00E20B7E"/>
    <w:rsid w:val="00E91F4E"/>
    <w:rsid w:val="00EC1D6D"/>
    <w:rsid w:val="00EC703C"/>
    <w:rsid w:val="00EE11E2"/>
    <w:rsid w:val="00EE265D"/>
    <w:rsid w:val="00EF0D0C"/>
    <w:rsid w:val="00F00E6B"/>
    <w:rsid w:val="00F0206D"/>
    <w:rsid w:val="00F13A2B"/>
    <w:rsid w:val="00F20B40"/>
    <w:rsid w:val="00F42813"/>
    <w:rsid w:val="00F476EE"/>
    <w:rsid w:val="00F51694"/>
    <w:rsid w:val="00F526B4"/>
    <w:rsid w:val="00F63B77"/>
    <w:rsid w:val="00F705BC"/>
    <w:rsid w:val="00F8253E"/>
    <w:rsid w:val="00FA0A5D"/>
    <w:rsid w:val="00FA3842"/>
    <w:rsid w:val="00FB6CDA"/>
    <w:rsid w:val="00FC3D17"/>
    <w:rsid w:val="00FE4656"/>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01"/>
    <w:pPr>
      <w:spacing w:after="200" w:line="276" w:lineRule="auto"/>
    </w:pPr>
    <w:rPr>
      <w:sz w:val="22"/>
      <w:szCs w:val="22"/>
    </w:rPr>
  </w:style>
  <w:style w:type="paragraph" w:styleId="Heading2">
    <w:name w:val="heading 2"/>
    <w:basedOn w:val="Normal"/>
    <w:next w:val="Normal"/>
    <w:link w:val="Heading2Char"/>
    <w:qFormat/>
    <w:rsid w:val="00153601"/>
    <w:pPr>
      <w:keepNext/>
      <w:spacing w:after="0" w:line="240" w:lineRule="auto"/>
      <w:jc w:val="both"/>
      <w:outlineLvl w:val="1"/>
    </w:pPr>
    <w:rPr>
      <w:rFonts w:ascii="Macedonian Tms" w:eastAsia="Times New Roman" w:hAnsi="Macedonian Tms"/>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098"/>
    <w:pPr>
      <w:tabs>
        <w:tab w:val="center" w:pos="4513"/>
        <w:tab w:val="right" w:pos="9026"/>
      </w:tabs>
      <w:spacing w:after="0"/>
    </w:pPr>
  </w:style>
  <w:style w:type="character" w:customStyle="1" w:styleId="HeaderChar">
    <w:name w:val="Header Char"/>
    <w:basedOn w:val="DefaultParagraphFont"/>
    <w:link w:val="Header"/>
    <w:uiPriority w:val="99"/>
    <w:rsid w:val="00446098"/>
  </w:style>
  <w:style w:type="paragraph" w:styleId="Footer">
    <w:name w:val="footer"/>
    <w:basedOn w:val="Normal"/>
    <w:link w:val="FooterChar"/>
    <w:uiPriority w:val="99"/>
    <w:unhideWhenUsed/>
    <w:rsid w:val="00446098"/>
    <w:pPr>
      <w:tabs>
        <w:tab w:val="center" w:pos="4513"/>
        <w:tab w:val="right" w:pos="9026"/>
      </w:tabs>
      <w:spacing w:after="0"/>
    </w:pPr>
  </w:style>
  <w:style w:type="character" w:customStyle="1" w:styleId="FooterChar">
    <w:name w:val="Footer Char"/>
    <w:basedOn w:val="DefaultParagraphFont"/>
    <w:link w:val="Footer"/>
    <w:uiPriority w:val="99"/>
    <w:rsid w:val="00446098"/>
  </w:style>
  <w:style w:type="paragraph" w:styleId="Title">
    <w:name w:val="Title"/>
    <w:basedOn w:val="Normal"/>
    <w:next w:val="Normal"/>
    <w:link w:val="TitleChar"/>
    <w:uiPriority w:val="10"/>
    <w:qFormat/>
    <w:rsid w:val="000445D5"/>
    <w:pPr>
      <w:spacing w:after="400"/>
    </w:pPr>
    <w:rPr>
      <w:rFonts w:ascii="DINPro-Medium" w:hAnsi="DINPro-Medium"/>
      <w:noProof/>
      <w:sz w:val="40"/>
      <w:szCs w:val="40"/>
      <w:lang w:eastAsia="mk-MK"/>
    </w:rPr>
  </w:style>
  <w:style w:type="character" w:customStyle="1" w:styleId="TitleChar">
    <w:name w:val="Title Char"/>
    <w:link w:val="Title"/>
    <w:uiPriority w:val="10"/>
    <w:rsid w:val="000445D5"/>
    <w:rPr>
      <w:rFonts w:ascii="DINPro-Medium" w:hAnsi="DINPro-Medium"/>
      <w:noProof/>
      <w:sz w:val="40"/>
      <w:szCs w:val="40"/>
      <w:lang w:eastAsia="mk-MK"/>
    </w:rPr>
  </w:style>
  <w:style w:type="paragraph" w:styleId="Subtitle">
    <w:name w:val="Subtitle"/>
    <w:basedOn w:val="Normal"/>
    <w:next w:val="Normal"/>
    <w:link w:val="SubtitleChar"/>
    <w:uiPriority w:val="11"/>
    <w:qFormat/>
    <w:rsid w:val="000445D5"/>
    <w:pPr>
      <w:spacing w:after="240"/>
    </w:pPr>
    <w:rPr>
      <w:rFonts w:ascii="DINPro-Medium" w:hAnsi="DINPro-Medium"/>
      <w:sz w:val="28"/>
      <w:szCs w:val="28"/>
    </w:rPr>
  </w:style>
  <w:style w:type="character" w:customStyle="1" w:styleId="SubtitleChar">
    <w:name w:val="Subtitle Char"/>
    <w:link w:val="Subtitle"/>
    <w:uiPriority w:val="11"/>
    <w:rsid w:val="000445D5"/>
    <w:rPr>
      <w:rFonts w:ascii="DINPro-Medium" w:hAnsi="DINPro-Medium"/>
      <w:sz w:val="28"/>
      <w:szCs w:val="28"/>
    </w:rPr>
  </w:style>
  <w:style w:type="character" w:styleId="Hyperlink">
    <w:name w:val="Hyperlink"/>
    <w:basedOn w:val="DefaultParagraphFont"/>
    <w:uiPriority w:val="99"/>
    <w:unhideWhenUsed/>
    <w:rsid w:val="00EC1D6D"/>
    <w:rPr>
      <w:color w:val="0000FF"/>
      <w:u w:val="single"/>
    </w:rPr>
  </w:style>
  <w:style w:type="character" w:customStyle="1" w:styleId="Heading2Char">
    <w:name w:val="Heading 2 Char"/>
    <w:basedOn w:val="DefaultParagraphFont"/>
    <w:link w:val="Heading2"/>
    <w:rsid w:val="00153601"/>
    <w:rPr>
      <w:rFonts w:ascii="Macedonian Tms" w:eastAsia="Times New Roman" w:hAnsi="Macedonian Tms"/>
      <w:b/>
      <w:bCs/>
      <w:sz w:val="24"/>
      <w:lang w:val="en-GB"/>
    </w:rPr>
  </w:style>
  <w:style w:type="paragraph" w:styleId="TOAHeading">
    <w:name w:val="toa heading"/>
    <w:basedOn w:val="Normal"/>
    <w:next w:val="Normal"/>
    <w:rsid w:val="00153601"/>
    <w:pPr>
      <w:tabs>
        <w:tab w:val="left" w:pos="9000"/>
        <w:tab w:val="right" w:pos="9360"/>
      </w:tabs>
      <w:suppressAutoHyphens/>
      <w:spacing w:after="0" w:line="240" w:lineRule="auto"/>
    </w:pPr>
    <w:rPr>
      <w:rFonts w:ascii="Courier" w:eastAsia="Times New Roman" w:hAnsi="Courier"/>
      <w:sz w:val="24"/>
      <w:szCs w:val="20"/>
    </w:rPr>
  </w:style>
  <w:style w:type="paragraph" w:styleId="BodyTextIndent">
    <w:name w:val="Body Text Indent"/>
    <w:basedOn w:val="Normal"/>
    <w:link w:val="BodyTextIndentChar"/>
    <w:rsid w:val="00153601"/>
    <w:pPr>
      <w:spacing w:after="0" w:line="240" w:lineRule="auto"/>
      <w:ind w:firstLine="720"/>
      <w:jc w:val="both"/>
    </w:pPr>
    <w:rPr>
      <w:rFonts w:ascii="Macedonian Tms" w:eastAsia="Times New Roman" w:hAnsi="Macedonian Tms"/>
      <w:sz w:val="24"/>
      <w:szCs w:val="20"/>
      <w:lang w:val="en-GB"/>
    </w:rPr>
  </w:style>
  <w:style w:type="character" w:customStyle="1" w:styleId="BodyTextIndentChar">
    <w:name w:val="Body Text Indent Char"/>
    <w:basedOn w:val="DefaultParagraphFont"/>
    <w:link w:val="BodyTextIndent"/>
    <w:rsid w:val="00153601"/>
    <w:rPr>
      <w:rFonts w:ascii="Macedonian Tms" w:eastAsia="Times New Roman" w:hAnsi="Macedonian Tms"/>
      <w:sz w:val="24"/>
      <w:lang w:val="en-GB"/>
    </w:rPr>
  </w:style>
  <w:style w:type="character" w:styleId="PageNumber">
    <w:name w:val="page number"/>
    <w:basedOn w:val="DefaultParagraphFont"/>
    <w:uiPriority w:val="99"/>
    <w:semiHidden/>
    <w:unhideWhenUsed/>
    <w:rsid w:val="009700B1"/>
  </w:style>
  <w:style w:type="table" w:styleId="TableGrid">
    <w:name w:val="Table Grid"/>
    <w:basedOn w:val="TableNormal"/>
    <w:uiPriority w:val="39"/>
    <w:rsid w:val="007B0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842"/>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5817">
      <w:bodyDiv w:val="1"/>
      <w:marLeft w:val="0"/>
      <w:marRight w:val="0"/>
      <w:marTop w:val="0"/>
      <w:marBottom w:val="0"/>
      <w:divBdr>
        <w:top w:val="none" w:sz="0" w:space="0" w:color="auto"/>
        <w:left w:val="none" w:sz="0" w:space="0" w:color="auto"/>
        <w:bottom w:val="none" w:sz="0" w:space="0" w:color="auto"/>
        <w:right w:val="none" w:sz="0" w:space="0" w:color="auto"/>
      </w:divBdr>
    </w:div>
    <w:div w:id="1288438930">
      <w:bodyDiv w:val="1"/>
      <w:marLeft w:val="0"/>
      <w:marRight w:val="0"/>
      <w:marTop w:val="0"/>
      <w:marBottom w:val="0"/>
      <w:divBdr>
        <w:top w:val="none" w:sz="0" w:space="0" w:color="auto"/>
        <w:left w:val="none" w:sz="0" w:space="0" w:color="auto"/>
        <w:bottom w:val="none" w:sz="0" w:space="0" w:color="auto"/>
        <w:right w:val="none" w:sz="0" w:space="0" w:color="auto"/>
      </w:divBdr>
    </w:div>
    <w:div w:id="1525486208">
      <w:bodyDiv w:val="1"/>
      <w:marLeft w:val="0"/>
      <w:marRight w:val="0"/>
      <w:marTop w:val="0"/>
      <w:marBottom w:val="0"/>
      <w:divBdr>
        <w:top w:val="none" w:sz="0" w:space="0" w:color="auto"/>
        <w:left w:val="none" w:sz="0" w:space="0" w:color="auto"/>
        <w:bottom w:val="none" w:sz="0" w:space="0" w:color="auto"/>
        <w:right w:val="none" w:sz="0" w:space="0" w:color="auto"/>
      </w:divBdr>
    </w:div>
    <w:div w:id="16437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bojadjiev\Desktop\sektor%20za%20telekomunikacii\&#1076;&#1086;&#1087;&#1080;&#1089;&#1080;\AEK%20MK%20kolor%20memorandu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44C1D-9DF6-4517-8B1C-8326EDBD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AEK MK kolor memorandum template.dot</Template>
  <TotalTime>90</TotalTime>
  <Pages>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igor.bojadjiev</dc:creator>
  <cp:lastModifiedBy>Jane Jakimovski</cp:lastModifiedBy>
  <cp:revision>4</cp:revision>
  <cp:lastPrinted>2015-01-30T08:14:00Z</cp:lastPrinted>
  <dcterms:created xsi:type="dcterms:W3CDTF">2020-11-24T14:50:00Z</dcterms:created>
  <dcterms:modified xsi:type="dcterms:W3CDTF">2020-11-30T13:47:00Z</dcterms:modified>
</cp:coreProperties>
</file>