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F38" w:rsidRPr="005A0B82" w:rsidRDefault="00A73026" w:rsidP="00E47F38">
      <w:pPr>
        <w:jc w:val="both"/>
        <w:rPr>
          <w:rFonts w:asciiTheme="minorHAnsi" w:hAnsiTheme="minorHAnsi"/>
          <w:szCs w:val="24"/>
          <w:lang w:val="mk-MK"/>
        </w:rPr>
      </w:pPr>
      <w:r>
        <w:rPr>
          <w:rFonts w:ascii="Calibri" w:eastAsia="Calibri" w:hAnsi="Calibri"/>
          <w:szCs w:val="24"/>
          <w:lang w:val="sq-AL"/>
        </w:rPr>
        <w:t>KOMENTET E OPERATORIT A1 MAQEDONI</w:t>
      </w:r>
    </w:p>
    <w:p w:rsidR="00E47F38" w:rsidRPr="005A0B82" w:rsidRDefault="00E47F38" w:rsidP="00E47F38">
      <w:pPr>
        <w:jc w:val="both"/>
        <w:rPr>
          <w:rFonts w:asciiTheme="minorHAnsi" w:hAnsiTheme="minorHAnsi"/>
          <w:szCs w:val="24"/>
          <w:lang w:val="mk-MK"/>
        </w:rPr>
      </w:pPr>
    </w:p>
    <w:p w:rsidR="00E47F38" w:rsidRPr="005A0B82" w:rsidRDefault="00A73026" w:rsidP="00E47F38">
      <w:pPr>
        <w:jc w:val="both"/>
        <w:rPr>
          <w:szCs w:val="24"/>
          <w:lang w:val="mk-MK"/>
        </w:rPr>
      </w:pPr>
      <w:r>
        <w:rPr>
          <w:rFonts w:eastAsia="TmsRmn 12pt"/>
          <w:szCs w:val="24"/>
          <w:lang w:val="sq-AL"/>
        </w:rPr>
        <w:t xml:space="preserve">Të nderuar, </w:t>
      </w:r>
    </w:p>
    <w:p w:rsidR="00E47F38" w:rsidRPr="005A0B82" w:rsidRDefault="00A73026" w:rsidP="00E47F38">
      <w:pPr>
        <w:jc w:val="both"/>
        <w:rPr>
          <w:szCs w:val="24"/>
          <w:lang w:val="mk-MK"/>
        </w:rPr>
      </w:pPr>
      <w:r>
        <w:rPr>
          <w:rFonts w:eastAsia="TmsRmn 12pt"/>
          <w:szCs w:val="24"/>
          <w:lang w:val="sq-AL"/>
        </w:rPr>
        <w:t>Më poshtë janë komentet e A1 Maqedonia në debatin publik në lidhje me propozimin për ndryshimin e Rregullores për SHU.</w:t>
      </w:r>
    </w:p>
    <w:p w:rsidR="00E47F38" w:rsidRPr="005A0B82" w:rsidRDefault="00A73026" w:rsidP="00E47F38">
      <w:pPr>
        <w:jc w:val="both"/>
        <w:rPr>
          <w:szCs w:val="24"/>
          <w:lang w:val="mk-MK"/>
        </w:rPr>
      </w:pPr>
      <w:r>
        <w:rPr>
          <w:rFonts w:eastAsia="TmsRmn 12pt"/>
          <w:szCs w:val="24"/>
          <w:lang w:val="sq-AL"/>
        </w:rPr>
        <w:t xml:space="preserve">Sipas propozimit, ndryshimi i vetëm në Rregullore është rritja e shpejtësisë së qasjes nga 2 </w:t>
      </w:r>
      <w:proofErr w:type="spellStart"/>
      <w:r>
        <w:rPr>
          <w:rFonts w:eastAsia="TmsRmn 12pt"/>
          <w:szCs w:val="24"/>
          <w:lang w:val="sq-AL"/>
        </w:rPr>
        <w:t>Mbps</w:t>
      </w:r>
      <w:proofErr w:type="spellEnd"/>
      <w:r>
        <w:rPr>
          <w:rFonts w:eastAsia="TmsRmn 12pt"/>
          <w:szCs w:val="24"/>
          <w:lang w:val="sq-AL"/>
        </w:rPr>
        <w:t xml:space="preserve"> në 12 </w:t>
      </w:r>
      <w:proofErr w:type="spellStart"/>
      <w:r>
        <w:rPr>
          <w:rFonts w:eastAsia="TmsRmn 12pt"/>
          <w:szCs w:val="24"/>
          <w:lang w:val="sq-AL"/>
        </w:rPr>
        <w:t>Mbps</w:t>
      </w:r>
      <w:proofErr w:type="spellEnd"/>
      <w:r>
        <w:rPr>
          <w:rFonts w:eastAsia="TmsRmn 12pt"/>
          <w:szCs w:val="24"/>
          <w:lang w:val="sq-AL"/>
        </w:rPr>
        <w:t>. Në këtë mënyrë, AKE-u zbaton mundësinë për të siguruar një shpejtësi tjetër të qasjes në varësi të shpejtësisë së qasjes të siguruar për të paktën 80% të amvis</w:t>
      </w:r>
      <w:r w:rsidR="002E3D1F">
        <w:rPr>
          <w:rFonts w:asciiTheme="minorHAnsi" w:eastAsia="TmsRmn 12pt" w:hAnsiTheme="minorHAnsi"/>
          <w:szCs w:val="24"/>
          <w:lang w:val="sq-AL"/>
        </w:rPr>
        <w:t>ër</w:t>
      </w:r>
      <w:r>
        <w:rPr>
          <w:rFonts w:eastAsia="TmsRmn 12pt"/>
          <w:szCs w:val="24"/>
          <w:lang w:val="sq-AL"/>
        </w:rPr>
        <w:t>ive.</w:t>
      </w:r>
    </w:p>
    <w:p w:rsidR="00E47F38" w:rsidRPr="005A0B82" w:rsidRDefault="00A73026" w:rsidP="00E47F38">
      <w:pPr>
        <w:jc w:val="both"/>
        <w:rPr>
          <w:rFonts w:asciiTheme="minorHAnsi" w:hAnsiTheme="minorHAnsi"/>
          <w:szCs w:val="24"/>
          <w:lang w:val="mk-MK"/>
        </w:rPr>
      </w:pPr>
      <w:r>
        <w:rPr>
          <w:rFonts w:eastAsia="TmsRmn 12pt"/>
          <w:szCs w:val="24"/>
          <w:lang w:val="sq-AL"/>
        </w:rPr>
        <w:t>Shpejtësitë e qasjes, si dhe kushtet për përdorimin e shërbimeve në komunikimet mobile tashmë i kanë tejkaluar kushtet në komunikimet fikse sa i përket përshtatshmërisë, kështu që shërbimet në fushën e qasjes në rrjetin e komunikimit elektronik që i nënshtrohen Shërbimit universal tashmë janë të pabaza. Në këtë kontekst, ne propozojmë të bëhet një analizë më e thellë e arsyetimit të përfshirjes së shërbimit për qasje në rrjetin e komunikimit elektronik dhe të shërbimeve brezgjerë brenda Shërbimit universal. Më e rëndësishmja, është e domosdoshme që brenda procesit të tenderit për caktimin e ofruesve të SHU të përcaktohen qartë kriteret se cila lidhje do të trajtohet si SHU dhe medoemos të sigurohet përparësia për sigurimin e shërbimeve në bazë komerciale ose kushte më të favorshme nga ndonjëri nga  ofruesit në SHU.</w:t>
      </w:r>
    </w:p>
    <w:p w:rsidR="00B96DAB" w:rsidRPr="005A0B82" w:rsidRDefault="00B96DAB" w:rsidP="00E47F38">
      <w:pPr>
        <w:jc w:val="both"/>
        <w:rPr>
          <w:rFonts w:asciiTheme="minorHAnsi" w:hAnsiTheme="minorHAnsi"/>
          <w:szCs w:val="24"/>
          <w:lang w:val="mk-MK"/>
        </w:rPr>
      </w:pPr>
    </w:p>
    <w:p w:rsidR="00B96DAB" w:rsidRPr="005A0B82" w:rsidRDefault="00A73026" w:rsidP="00E47F38">
      <w:pPr>
        <w:jc w:val="both"/>
        <w:rPr>
          <w:rFonts w:asciiTheme="minorHAnsi" w:hAnsiTheme="minorHAnsi"/>
          <w:szCs w:val="24"/>
          <w:lang w:val="mk-MK"/>
        </w:rPr>
      </w:pPr>
      <w:r>
        <w:rPr>
          <w:rFonts w:ascii="Calibri" w:eastAsia="Calibri" w:hAnsi="Calibri"/>
          <w:szCs w:val="24"/>
          <w:lang w:val="sq-AL"/>
        </w:rPr>
        <w:t xml:space="preserve">Përgjigjja: Shërbimet e mbuluara nga shërbimi universal përshkruhen nga Ligji për Komunikime Elektronike dhe janë marrë nga Rekomandimet Evropiane për të drejtat e </w:t>
      </w:r>
      <w:r w:rsidR="002E3D1F">
        <w:rPr>
          <w:rFonts w:ascii="Calibri" w:eastAsia="Calibri" w:hAnsi="Calibri"/>
          <w:szCs w:val="24"/>
          <w:lang w:val="sq-AL"/>
        </w:rPr>
        <w:t xml:space="preserve">shfrytëzuesve </w:t>
      </w:r>
      <w:r>
        <w:rPr>
          <w:rFonts w:ascii="Calibri" w:eastAsia="Calibri" w:hAnsi="Calibri"/>
          <w:szCs w:val="24"/>
          <w:lang w:val="sq-AL"/>
        </w:rPr>
        <w:t>përfundimtarë dhe shërbimin universal.</w:t>
      </w:r>
    </w:p>
    <w:p w:rsidR="00B96DAB" w:rsidRPr="005A0B82" w:rsidRDefault="00B96DAB" w:rsidP="00E47F38">
      <w:pPr>
        <w:jc w:val="both"/>
        <w:rPr>
          <w:rFonts w:asciiTheme="minorHAnsi" w:hAnsiTheme="minorHAnsi"/>
          <w:szCs w:val="24"/>
          <w:lang w:val="mk-MK"/>
        </w:rPr>
      </w:pPr>
    </w:p>
    <w:p w:rsidR="00E47F38" w:rsidRPr="005A0B82" w:rsidRDefault="00A73026" w:rsidP="00E47F38">
      <w:pPr>
        <w:jc w:val="both"/>
        <w:rPr>
          <w:szCs w:val="24"/>
          <w:lang w:val="mk-MK"/>
        </w:rPr>
      </w:pPr>
      <w:r>
        <w:rPr>
          <w:rFonts w:eastAsia="TmsRmn 12pt"/>
          <w:szCs w:val="24"/>
          <w:lang w:val="sq-AL"/>
        </w:rPr>
        <w:t xml:space="preserve">Komentet tona specifike i referohen dokumentit të Analizës së Shpejtësisë së Transferimit të </w:t>
      </w:r>
      <w:proofErr w:type="spellStart"/>
      <w:r>
        <w:rPr>
          <w:rFonts w:eastAsia="TmsRmn 12pt"/>
          <w:szCs w:val="24"/>
          <w:lang w:val="sq-AL"/>
        </w:rPr>
        <w:t>të</w:t>
      </w:r>
      <w:proofErr w:type="spellEnd"/>
      <w:r>
        <w:rPr>
          <w:rFonts w:eastAsia="TmsRmn 12pt"/>
          <w:szCs w:val="24"/>
          <w:lang w:val="sq-AL"/>
        </w:rPr>
        <w:t xml:space="preserve"> Dhënave për qasje efikase në </w:t>
      </w:r>
      <w:r w:rsidR="002E3D1F">
        <w:rPr>
          <w:rFonts w:eastAsia="TmsRmn 12pt"/>
          <w:szCs w:val="24"/>
          <w:lang w:val="sq-AL"/>
        </w:rPr>
        <w:t>i</w:t>
      </w:r>
      <w:r>
        <w:rPr>
          <w:rFonts w:eastAsia="TmsRmn 12pt"/>
          <w:szCs w:val="24"/>
          <w:lang w:val="sq-AL"/>
        </w:rPr>
        <w:t>nternet, si pjesë e shërbimeve të mbuluara nga Shërbimi Universal.</w:t>
      </w:r>
    </w:p>
    <w:p w:rsidR="00E47F38" w:rsidRPr="005A0B82" w:rsidRDefault="00A73026" w:rsidP="00E47F38">
      <w:pPr>
        <w:jc w:val="both"/>
        <w:rPr>
          <w:rFonts w:asciiTheme="minorHAnsi" w:hAnsiTheme="minorHAnsi"/>
          <w:szCs w:val="24"/>
          <w:lang w:val="mk-MK"/>
        </w:rPr>
      </w:pPr>
      <w:r>
        <w:rPr>
          <w:rFonts w:eastAsia="TmsRmn 12pt"/>
          <w:szCs w:val="24"/>
          <w:lang w:val="sq-AL"/>
        </w:rPr>
        <w:t xml:space="preserve">Me kriteret për përcaktimin e shpejtësisë për qasje efikase është e nevojshme të merren parasysh nevojat objektive për qasje në </w:t>
      </w:r>
      <w:r w:rsidR="002E3D1F">
        <w:rPr>
          <w:rFonts w:eastAsia="TmsRmn 12pt"/>
          <w:szCs w:val="24"/>
          <w:lang w:val="sq-AL"/>
        </w:rPr>
        <w:t>i</w:t>
      </w:r>
      <w:r>
        <w:rPr>
          <w:rFonts w:eastAsia="TmsRmn 12pt"/>
          <w:szCs w:val="24"/>
          <w:lang w:val="sq-AL"/>
        </w:rPr>
        <w:t>nternet. Megjithëse kjo nuk është paraparë qartë në Rregullore, sigurisht që konsiderohet brenda kritereve për dëmtime minimale të tregut. Ky kriter është në të vërtetë vendimtar sepse jep një justifikim specifik për sigurimin e shërbimeve përtej leverdisë së tyre tregtare. Prandaj, përveç kritereve të deklaruara, ne propozojmë që AKE të deklarojë qartë nevojat specifike që merren parasysh si kusht për sigurimin e SHU.</w:t>
      </w:r>
    </w:p>
    <w:p w:rsidR="00B96DAB" w:rsidRPr="005A0B82" w:rsidRDefault="00B96DAB" w:rsidP="00E47F38">
      <w:pPr>
        <w:jc w:val="both"/>
        <w:rPr>
          <w:rFonts w:asciiTheme="minorHAnsi" w:hAnsiTheme="minorHAnsi"/>
          <w:szCs w:val="24"/>
          <w:lang w:val="mk-MK"/>
        </w:rPr>
      </w:pPr>
    </w:p>
    <w:p w:rsidR="00B96DAB" w:rsidRPr="005A0B82" w:rsidRDefault="00A73026" w:rsidP="00E47F38">
      <w:pPr>
        <w:jc w:val="both"/>
        <w:rPr>
          <w:rFonts w:asciiTheme="minorHAnsi" w:hAnsiTheme="minorHAnsi"/>
          <w:szCs w:val="24"/>
          <w:lang w:val="mk-MK"/>
        </w:rPr>
      </w:pPr>
      <w:r>
        <w:rPr>
          <w:rFonts w:ascii="Calibri" w:eastAsia="Calibri" w:hAnsi="Calibri"/>
          <w:szCs w:val="24"/>
          <w:lang w:val="sq-AL"/>
        </w:rPr>
        <w:t xml:space="preserve">Përgjigjja: Mënyra e përcaktimit të shpejtësisë për qasje në </w:t>
      </w:r>
      <w:r w:rsidR="002E3D1F">
        <w:rPr>
          <w:rFonts w:ascii="Calibri" w:eastAsia="Calibri" w:hAnsi="Calibri"/>
          <w:szCs w:val="24"/>
          <w:lang w:val="sq-AL"/>
        </w:rPr>
        <w:t>in</w:t>
      </w:r>
      <w:r>
        <w:rPr>
          <w:rFonts w:ascii="Calibri" w:eastAsia="Calibri" w:hAnsi="Calibri"/>
          <w:szCs w:val="24"/>
          <w:lang w:val="sq-AL"/>
        </w:rPr>
        <w:t>ternet që do të përshkruhet në pjesën për shërbimin</w:t>
      </w:r>
      <w:r w:rsidR="00595D1B">
        <w:rPr>
          <w:rFonts w:ascii="Calibri" w:eastAsia="Calibri" w:hAnsi="Calibri"/>
          <w:szCs w:val="24"/>
          <w:lang w:val="sq-AL"/>
        </w:rPr>
        <w:t xml:space="preserve"> </w:t>
      </w:r>
      <w:r>
        <w:rPr>
          <w:rFonts w:ascii="Calibri" w:eastAsia="Calibri" w:hAnsi="Calibri"/>
          <w:szCs w:val="24"/>
          <w:lang w:val="sq-AL"/>
        </w:rPr>
        <w:t xml:space="preserve">qasje në lokacion fiks dhe sigurimi i shërbimeve telefonike përcaktohet qartë në Ligjin për Komunikime Elektronike në nenin 104 paragrafin (2). Operatori që zgjidhet ofrues i shërbimit universal në bazë të parametrave objektivë dhe aftësisë teknike siguron një shërbim si pjesë e shërbimit universal ose e ofron atë mbi një bazë tregtare. Për më tepër, në kërkesën për fonde nga Fondi i Shërbimit Universal, i njëjti operator paraqet një raport mbi </w:t>
      </w:r>
      <w:r w:rsidR="00595D1B">
        <w:rPr>
          <w:rFonts w:ascii="Calibri" w:eastAsia="Calibri" w:hAnsi="Calibri"/>
          <w:szCs w:val="24"/>
          <w:lang w:val="sq-AL"/>
        </w:rPr>
        <w:t>Auditivin</w:t>
      </w:r>
      <w:r>
        <w:rPr>
          <w:rFonts w:ascii="Calibri" w:eastAsia="Calibri" w:hAnsi="Calibri"/>
          <w:szCs w:val="24"/>
          <w:lang w:val="sq-AL"/>
        </w:rPr>
        <w:t xml:space="preserve"> e kryer nga një kompani e pavarur e </w:t>
      </w:r>
      <w:r w:rsidR="00595D1B">
        <w:rPr>
          <w:rFonts w:ascii="Calibri" w:eastAsia="Calibri" w:hAnsi="Calibri"/>
          <w:szCs w:val="24"/>
          <w:lang w:val="sq-AL"/>
        </w:rPr>
        <w:t>auditivit</w:t>
      </w:r>
      <w:r>
        <w:rPr>
          <w:rFonts w:ascii="Calibri" w:eastAsia="Calibri" w:hAnsi="Calibri"/>
          <w:szCs w:val="24"/>
          <w:lang w:val="sq-AL"/>
        </w:rPr>
        <w:t>, e cila konfirmon ose jo arsyetimin e kërkesës për pagesa të fondeve nga Fondi i Kompensimit në përputhje me standardet e kontabilitetit, me Ligjin dhe Rregulloren për shërbimet e mbuluara nga shërbimi universal. Nëse agjencia dyshon në të dhënat, ajo mund të kërkojë ligjërisht një kontroll shtesë para se të miratojë pagesën e fondeve për operatorin.</w:t>
      </w:r>
    </w:p>
    <w:p w:rsidR="00B96DAB" w:rsidRPr="005A0B82" w:rsidRDefault="00B96DAB" w:rsidP="00E47F38">
      <w:pPr>
        <w:jc w:val="both"/>
        <w:rPr>
          <w:rFonts w:asciiTheme="minorHAnsi" w:hAnsiTheme="minorHAnsi"/>
          <w:szCs w:val="24"/>
          <w:lang w:val="mk-MK"/>
        </w:rPr>
      </w:pPr>
    </w:p>
    <w:p w:rsidR="00E47F38" w:rsidRPr="005A0B82" w:rsidRDefault="00A73026" w:rsidP="00E47F38">
      <w:pPr>
        <w:jc w:val="both"/>
        <w:rPr>
          <w:szCs w:val="24"/>
          <w:lang w:val="mk-MK"/>
        </w:rPr>
      </w:pPr>
      <w:r>
        <w:rPr>
          <w:rFonts w:eastAsia="TmsRmn 12pt"/>
          <w:szCs w:val="24"/>
          <w:lang w:val="sq-AL"/>
        </w:rPr>
        <w:t xml:space="preserve">Një nga argumentet kryesore në Analizë është sigurimi i kushteve për mbarëvajtjen e procesit arsimor. Zhvillimi i procesit arsimor ka padyshim një rëndësi të madhe shoqërore. Kjo është </w:t>
      </w:r>
      <w:r>
        <w:rPr>
          <w:rFonts w:eastAsia="TmsRmn 12pt"/>
          <w:szCs w:val="24"/>
          <w:lang w:val="sq-AL"/>
        </w:rPr>
        <w:lastRenderedPageBreak/>
        <w:t xml:space="preserve">arsyeja pse duhet të vendoset në përparësitë për mbështetje dhe financim nga i gjithë komuniteti, dhe jo vetëm nga sektori i telekomunikimit. Fondi i SHU bazohet në pjesëmarrjen e kompanive që gjenerojnë të ardhura në sektorin e komunikimit dhe sfidat që dalin nga nevojat për mbarëvajtjen e procesit arsimor përmes mësimit në </w:t>
      </w:r>
      <w:r w:rsidR="002E3D1F">
        <w:rPr>
          <w:rFonts w:eastAsia="TmsRmn 12pt"/>
          <w:szCs w:val="24"/>
          <w:lang w:val="sq-AL"/>
        </w:rPr>
        <w:t>i</w:t>
      </w:r>
      <w:r>
        <w:rPr>
          <w:rFonts w:eastAsia="TmsRmn 12pt"/>
          <w:szCs w:val="24"/>
          <w:lang w:val="sq-AL"/>
        </w:rPr>
        <w:t xml:space="preserve">nternet shkaktojnë një barrë të konsiderueshme. Në atë drejtim, në vend të barrës së sektorit të komunikimeve elektronike, zhvillimi i procesit arsimor duhet të sigurohet duke siguruar kushte që ai sektor të jetë në gjendje të ndjekë zhvillimin e procesit arsimor dhe të sigurojë kushte të përshtatshme, duke arritur të ardhurat të cilat do të mund ta mundësojnë atë. E thënë thjesht, zhvillimi i platformave dhe rrjeteve të </w:t>
      </w:r>
      <w:proofErr w:type="spellStart"/>
      <w:r>
        <w:rPr>
          <w:rFonts w:eastAsia="TmsRmn 12pt"/>
          <w:szCs w:val="24"/>
          <w:lang w:val="sq-AL"/>
        </w:rPr>
        <w:t>të</w:t>
      </w:r>
      <w:proofErr w:type="spellEnd"/>
      <w:r>
        <w:rPr>
          <w:rFonts w:eastAsia="TmsRmn 12pt"/>
          <w:szCs w:val="24"/>
          <w:lang w:val="sq-AL"/>
        </w:rPr>
        <w:t xml:space="preserve"> mësuarit në </w:t>
      </w:r>
      <w:r w:rsidR="002E3D1F">
        <w:rPr>
          <w:rFonts w:eastAsia="TmsRmn 12pt"/>
          <w:szCs w:val="24"/>
          <w:lang w:val="sq-AL"/>
        </w:rPr>
        <w:t>i</w:t>
      </w:r>
      <w:r>
        <w:rPr>
          <w:rFonts w:eastAsia="TmsRmn 12pt"/>
          <w:szCs w:val="24"/>
          <w:lang w:val="sq-AL"/>
        </w:rPr>
        <w:t xml:space="preserve">nternet duhet të sigurohet përmes subvencioneve dhe stimujve, të mos pritet të bëhet në llogari të sektorit të komunikimit. Prandaj, në këtë drejtim, në vend që të rëndojë më tej sektorin e komunikimeve elektronike, AKE duhet të ndikojë në mënyrë </w:t>
      </w:r>
      <w:proofErr w:type="spellStart"/>
      <w:r>
        <w:rPr>
          <w:rFonts w:eastAsia="TmsRmn 12pt"/>
          <w:szCs w:val="24"/>
          <w:lang w:val="sq-AL"/>
        </w:rPr>
        <w:t>proaktive</w:t>
      </w:r>
      <w:proofErr w:type="spellEnd"/>
      <w:r>
        <w:rPr>
          <w:rFonts w:eastAsia="TmsRmn 12pt"/>
          <w:szCs w:val="24"/>
          <w:lang w:val="sq-AL"/>
        </w:rPr>
        <w:t xml:space="preserve"> për të siguruar mbështetjen e duhur duke subvencionuar </w:t>
      </w:r>
      <w:r w:rsidR="002E3D1F">
        <w:rPr>
          <w:rFonts w:eastAsia="TmsRmn 12pt"/>
          <w:szCs w:val="24"/>
          <w:lang w:val="sq-AL"/>
        </w:rPr>
        <w:t>shfrytëzuesit</w:t>
      </w:r>
      <w:r>
        <w:rPr>
          <w:rFonts w:eastAsia="TmsRmn 12pt"/>
          <w:szCs w:val="24"/>
          <w:lang w:val="sq-AL"/>
        </w:rPr>
        <w:t xml:space="preserve"> për këto nevoja.</w:t>
      </w:r>
    </w:p>
    <w:p w:rsidR="00E47F38" w:rsidRPr="005A0B82" w:rsidRDefault="00A73026" w:rsidP="00E47F38">
      <w:pPr>
        <w:jc w:val="both"/>
        <w:rPr>
          <w:szCs w:val="24"/>
          <w:lang w:val="mk-MK"/>
        </w:rPr>
      </w:pPr>
      <w:r>
        <w:rPr>
          <w:rFonts w:eastAsia="TmsRmn 12pt"/>
          <w:szCs w:val="24"/>
          <w:lang w:val="sq-AL"/>
        </w:rPr>
        <w:t xml:space="preserve">Kur u përcaktua vlera e shpejtësisë së qasjes, nuk është marrë parasysh se për cilat nevoja specifike do të synohen. Gjegjësisht, shumica e aplikacioneve që kërkojnë shpejtësi më të lartë të qasjes janë të destinuara për </w:t>
      </w:r>
      <w:proofErr w:type="spellStart"/>
      <w:r>
        <w:rPr>
          <w:rFonts w:eastAsia="TmsRmn 12pt"/>
          <w:szCs w:val="24"/>
          <w:lang w:val="sq-AL"/>
        </w:rPr>
        <w:t>multimedia</w:t>
      </w:r>
      <w:proofErr w:type="spellEnd"/>
      <w:r>
        <w:rPr>
          <w:rFonts w:eastAsia="TmsRmn 12pt"/>
          <w:szCs w:val="24"/>
          <w:lang w:val="sq-AL"/>
        </w:rPr>
        <w:t xml:space="preserve">, e cila nuk është në domenin e nevojave thelbësore që do të ishin të pranueshme brenda kriterit për "qasje funksionale në </w:t>
      </w:r>
      <w:r w:rsidR="002E3D1F">
        <w:rPr>
          <w:rFonts w:eastAsia="TmsRmn 12pt"/>
          <w:szCs w:val="24"/>
          <w:lang w:val="sq-AL"/>
        </w:rPr>
        <w:t>i</w:t>
      </w:r>
      <w:r>
        <w:rPr>
          <w:rFonts w:eastAsia="TmsRmn 12pt"/>
          <w:szCs w:val="24"/>
          <w:lang w:val="sq-AL"/>
        </w:rPr>
        <w:t xml:space="preserve">nternet", por </w:t>
      </w:r>
      <w:proofErr w:type="spellStart"/>
      <w:r>
        <w:rPr>
          <w:rFonts w:eastAsia="TmsRmn 12pt"/>
          <w:szCs w:val="24"/>
          <w:lang w:val="sq-AL"/>
        </w:rPr>
        <w:t>komoditet</w:t>
      </w:r>
      <w:proofErr w:type="spellEnd"/>
      <w:r>
        <w:rPr>
          <w:rFonts w:eastAsia="TmsRmn 12pt"/>
          <w:szCs w:val="24"/>
          <w:lang w:val="sq-AL"/>
        </w:rPr>
        <w:t xml:space="preserve">, gjegjësisht ndjekja e përmbajtjeve multimediale në sesione të shumëfishta </w:t>
      </w:r>
      <w:proofErr w:type="spellStart"/>
      <w:r>
        <w:rPr>
          <w:rFonts w:eastAsia="TmsRmn 12pt"/>
          <w:szCs w:val="24"/>
          <w:lang w:val="sq-AL"/>
        </w:rPr>
        <w:t>simultane</w:t>
      </w:r>
      <w:proofErr w:type="spellEnd"/>
      <w:r>
        <w:rPr>
          <w:rFonts w:eastAsia="TmsRmn 12pt"/>
          <w:szCs w:val="24"/>
          <w:lang w:val="sq-AL"/>
        </w:rPr>
        <w:t>.  Për të vlerësuar në mënyrë objektive nevojën për të përcaktuar një shpejtësi specifike të qasjes, është e nevojshme të thuhet qartë se cilat janë saktësisht nevojat thelbësore dhe të rregullohet shpejtësia e qasjes sipas tyre.</w:t>
      </w:r>
    </w:p>
    <w:p w:rsidR="00E47F38" w:rsidRPr="005A0B82" w:rsidRDefault="00A73026" w:rsidP="00E47F38">
      <w:pPr>
        <w:jc w:val="both"/>
        <w:rPr>
          <w:szCs w:val="24"/>
          <w:lang w:val="mk-MK"/>
        </w:rPr>
      </w:pPr>
      <w:r>
        <w:rPr>
          <w:rFonts w:eastAsia="TmsRmn 12pt"/>
          <w:szCs w:val="24"/>
          <w:lang w:val="sq-AL"/>
        </w:rPr>
        <w:t xml:space="preserve">Përfundimi se "rritja e shpejtësisë së qasjes nuk do të jetë një kosto e konsiderueshme në krahasim me përfitimet që do të merren nga ky shërbim" nuk merret parasysh situata aktuale, </w:t>
      </w:r>
      <w:proofErr w:type="spellStart"/>
      <w:r>
        <w:rPr>
          <w:rFonts w:eastAsia="TmsRmn 12pt"/>
          <w:szCs w:val="24"/>
          <w:lang w:val="sq-AL"/>
        </w:rPr>
        <w:t>dmth</w:t>
      </w:r>
      <w:proofErr w:type="spellEnd"/>
      <w:r>
        <w:rPr>
          <w:rFonts w:eastAsia="TmsRmn 12pt"/>
          <w:szCs w:val="24"/>
          <w:lang w:val="sq-AL"/>
        </w:rPr>
        <w:t xml:space="preserve"> nuk ka të dhëna se cilat teknologji dhe në çfarë mase aktualisht përdoren për të siguruar SHU. Gjithashtu, nuk jepen argumente të matshme për përfitimet që duhet të rezultojnë nga ndryshimi i propozuar. </w:t>
      </w:r>
    </w:p>
    <w:p w:rsidR="00E47F38" w:rsidRPr="005A0B82" w:rsidRDefault="00A73026" w:rsidP="00E47F38">
      <w:pPr>
        <w:jc w:val="both"/>
        <w:rPr>
          <w:szCs w:val="24"/>
          <w:lang w:val="mk-MK"/>
        </w:rPr>
      </w:pPr>
      <w:r>
        <w:rPr>
          <w:rFonts w:eastAsia="TmsRmn 12pt"/>
          <w:szCs w:val="24"/>
          <w:lang w:val="sq-AL"/>
        </w:rPr>
        <w:t xml:space="preserve">Çështja e vetme në sigurimin e qasjes funksionale në </w:t>
      </w:r>
      <w:r w:rsidR="00236657">
        <w:rPr>
          <w:rFonts w:eastAsia="TmsRmn 12pt"/>
          <w:szCs w:val="24"/>
          <w:lang w:val="sq-AL"/>
        </w:rPr>
        <w:t>i</w:t>
      </w:r>
      <w:r>
        <w:rPr>
          <w:rFonts w:eastAsia="TmsRmn 12pt"/>
          <w:szCs w:val="24"/>
          <w:lang w:val="sq-AL"/>
        </w:rPr>
        <w:t>nternet brenda SHU është ekzistenca e infrastrukturës adekuate në një vend të veçantë. Përveç faktit që operatorët, brenda planeve të tyre operative, marrin vendime për zgjerimin e infrastrukturës për sigurimin e qasjes në shërbimet e komunikimit elektronik, aktual  është edhe Plani Kombëtar Brezgjerë, i cili parashikon mbulimin e "</w:t>
      </w:r>
      <w:proofErr w:type="spellStart"/>
      <w:r w:rsidR="00236657">
        <w:rPr>
          <w:rFonts w:eastAsia="TmsRmn 12pt"/>
          <w:szCs w:val="24"/>
          <w:lang w:val="sq-AL"/>
        </w:rPr>
        <w:t>white</w:t>
      </w:r>
      <w:proofErr w:type="spellEnd"/>
      <w:r w:rsidR="00236657">
        <w:rPr>
          <w:rFonts w:eastAsia="TmsRmn 12pt"/>
          <w:szCs w:val="24"/>
          <w:lang w:val="sq-AL"/>
        </w:rPr>
        <w:t xml:space="preserve"> </w:t>
      </w:r>
      <w:proofErr w:type="spellStart"/>
      <w:r w:rsidR="00236657">
        <w:rPr>
          <w:rFonts w:eastAsia="TmsRmn 12pt"/>
          <w:szCs w:val="24"/>
          <w:lang w:val="sq-AL"/>
        </w:rPr>
        <w:t>spots</w:t>
      </w:r>
      <w:proofErr w:type="spellEnd"/>
      <w:r>
        <w:rPr>
          <w:rFonts w:eastAsia="TmsRmn 12pt"/>
          <w:szCs w:val="24"/>
          <w:lang w:val="sq-AL"/>
        </w:rPr>
        <w:t xml:space="preserve">" përmes investimeve </w:t>
      </w:r>
      <w:r w:rsidR="00236657">
        <w:rPr>
          <w:rFonts w:eastAsia="TmsRmn 12pt"/>
          <w:szCs w:val="24"/>
          <w:lang w:val="sq-AL"/>
        </w:rPr>
        <w:t>e</w:t>
      </w:r>
      <w:r>
        <w:rPr>
          <w:rFonts w:eastAsia="TmsRmn 12pt"/>
          <w:szCs w:val="24"/>
          <w:lang w:val="sq-AL"/>
        </w:rPr>
        <w:t xml:space="preserve">dhe nga shteti, </w:t>
      </w:r>
      <w:r w:rsidR="00236657">
        <w:rPr>
          <w:rFonts w:eastAsia="TmsRmn 12pt"/>
          <w:szCs w:val="24"/>
          <w:lang w:val="sq-AL"/>
        </w:rPr>
        <w:t xml:space="preserve">qoftë </w:t>
      </w:r>
      <w:r>
        <w:rPr>
          <w:rFonts w:eastAsia="TmsRmn 12pt"/>
          <w:szCs w:val="24"/>
          <w:lang w:val="sq-AL"/>
        </w:rPr>
        <w:t>drejtpërdrejt ose përmes përdorimit të fondeve në dispozicion ose burimeve të tjera të financimit. Në këtë kontekst, së pari do të dëshironim të theksonim dhe përsërisim se nuk pajtohemi me planin ekzistues për t'i zbatuar këto investime përmes Ndërmarrjes Publike "</w:t>
      </w:r>
      <w:r w:rsidR="00595D1B">
        <w:rPr>
          <w:rFonts w:eastAsia="TmsRmn 12pt"/>
          <w:szCs w:val="24"/>
          <w:lang w:val="sq-AL"/>
        </w:rPr>
        <w:t>Radiodifuzioni</w:t>
      </w:r>
      <w:r>
        <w:rPr>
          <w:rFonts w:eastAsia="TmsRmn 12pt"/>
          <w:szCs w:val="24"/>
          <w:lang w:val="sq-AL"/>
        </w:rPr>
        <w:t xml:space="preserve"> Nacional". Vendosja e investimeve në sektorin e komunikimeve elektronike përmes ndërmarrjeve publike është një shtrembërim i zhvillimit të konkurrencës në sektor dhe mund të shkaktojë pasoja serioze të gjera. Gjithashtu, në kontekstin e SHU, ekziston një mundësi që shteti të inkurajojë në mënyrë aktive zhvillimin e rrjeteve të operatorëve përmes mekanizmave të drejtpërdrejtë të mbështetjes dhe kështu të zvogëlojë barrën mbi operatorët. Duke marrë parasysh që qasja në </w:t>
      </w:r>
      <w:r w:rsidR="00236657">
        <w:rPr>
          <w:rFonts w:eastAsia="TmsRmn 12pt"/>
          <w:szCs w:val="24"/>
          <w:lang w:val="sq-AL"/>
        </w:rPr>
        <w:t>i</w:t>
      </w:r>
      <w:r>
        <w:rPr>
          <w:rFonts w:eastAsia="TmsRmn 12pt"/>
          <w:szCs w:val="24"/>
          <w:lang w:val="sq-AL"/>
        </w:rPr>
        <w:t xml:space="preserve">nternet vlerësohet si një nevojë thelbësore domethënëse dhe dobi për mirëmbajtjen e përgjithshëm që nga popullsia deri në ekonomi, në mënyrë që të arrihen rezultatet e dëshiruara të </w:t>
      </w:r>
      <w:r w:rsidR="00595D1B">
        <w:rPr>
          <w:rFonts w:eastAsia="TmsRmn 12pt"/>
          <w:szCs w:val="24"/>
          <w:lang w:val="sq-AL"/>
        </w:rPr>
        <w:t>gjithëpërfshirës</w:t>
      </w:r>
      <w:r>
        <w:rPr>
          <w:rFonts w:eastAsia="TmsRmn 12pt"/>
          <w:szCs w:val="24"/>
          <w:lang w:val="sq-AL"/>
        </w:rPr>
        <w:t xml:space="preserve"> në konstruksionet e investimeve është e nevojshme të përfshihen të gjithë aktorët, gjegjësisht financimi i zhvillimit t'i shpërndahet të gjithë ekonomisë</w:t>
      </w:r>
      <w:r w:rsidR="00595D1B">
        <w:rPr>
          <w:rFonts w:eastAsia="TmsRmn 12pt"/>
          <w:szCs w:val="24"/>
          <w:lang w:val="sq-AL"/>
        </w:rPr>
        <w:t xml:space="preserve"> </w:t>
      </w:r>
      <w:r>
        <w:rPr>
          <w:rFonts w:eastAsia="TmsRmn 12pt"/>
          <w:szCs w:val="24"/>
          <w:lang w:val="sq-AL"/>
        </w:rPr>
        <w:t>dhe jo vetëm të ardhurave nga komunikimet elektronike.</w:t>
      </w:r>
    </w:p>
    <w:p w:rsidR="00E47F38" w:rsidRPr="005A0B82" w:rsidRDefault="00A73026" w:rsidP="00E47F38">
      <w:pPr>
        <w:jc w:val="both"/>
        <w:rPr>
          <w:szCs w:val="24"/>
          <w:lang w:val="mk-MK"/>
        </w:rPr>
      </w:pPr>
      <w:r>
        <w:rPr>
          <w:rFonts w:eastAsia="TmsRmn 12pt"/>
          <w:szCs w:val="24"/>
          <w:lang w:val="sq-AL"/>
        </w:rPr>
        <w:t xml:space="preserve">Me këtë rast, ne do të dëshironim të bënim një vërejtje në lidhje me përmbajtjen e Shërbimit Universal, </w:t>
      </w:r>
      <w:proofErr w:type="spellStart"/>
      <w:r>
        <w:rPr>
          <w:rFonts w:eastAsia="TmsRmn 12pt"/>
          <w:szCs w:val="24"/>
          <w:lang w:val="sq-AL"/>
        </w:rPr>
        <w:t>dmth</w:t>
      </w:r>
      <w:proofErr w:type="spellEnd"/>
      <w:r>
        <w:rPr>
          <w:rFonts w:eastAsia="TmsRmn 12pt"/>
          <w:szCs w:val="24"/>
          <w:lang w:val="sq-AL"/>
        </w:rPr>
        <w:t xml:space="preserve"> më saktësisht në lidhje me përfshirjen e kabinave telefonike publike dhe komunikimin përmes makinës faksimile si pjesë e shërbimeve brenda shërbimit të qasjes. </w:t>
      </w:r>
    </w:p>
    <w:p w:rsidR="00E47F38" w:rsidRPr="005A0B82" w:rsidRDefault="00A73026" w:rsidP="00E47F38">
      <w:pPr>
        <w:jc w:val="both"/>
        <w:rPr>
          <w:szCs w:val="24"/>
          <w:lang w:val="mk-MK"/>
        </w:rPr>
      </w:pPr>
      <w:r>
        <w:rPr>
          <w:rFonts w:eastAsia="TmsRmn 12pt"/>
          <w:szCs w:val="24"/>
          <w:lang w:val="sq-AL"/>
        </w:rPr>
        <w:lastRenderedPageBreak/>
        <w:t xml:space="preserve">Kushtet dhe çmimet për përdorimin e komunikimeve mobile nuk kanë qenë pengesë për zbatimin e tyre të gjerë për një kohë të gjatë dhe ne jemi dëshmitarë të përfaqësimit të tyre jashtëzakonisht të lartë në jetën e përditshme. Kjo çoi në ndërprerjen afatshkurtër të përdorimit të kabinave telefonike publike. Duke pasur parasysh rëndësinë e tyre margjinale, shtrohet pyetja se cili është kuptimi i financimit të tyre dhe si pasojë e mbingarkimit të Fondit të SHU. Fakti që në vende të caktuara, veçanërisht në institucione të caktuara ku përdorimi i pajisjeve të komunikimit celular është i kufizuar, është e nevojshme të vendosen, parashtrohet pyetja nëse nuk mund të gjendet ndonjë zgjidhje tjetër, shumë më ekonomike. Gjegjësisht, për sigurimin e kabinave publik, sipas të dhënave të </w:t>
      </w:r>
      <w:proofErr w:type="spellStart"/>
      <w:r>
        <w:rPr>
          <w:rFonts w:eastAsia="TmsRmn 12pt"/>
          <w:szCs w:val="24"/>
          <w:lang w:val="sq-AL"/>
        </w:rPr>
        <w:t>disponueshme</w:t>
      </w:r>
      <w:proofErr w:type="spellEnd"/>
      <w:r>
        <w:rPr>
          <w:rFonts w:eastAsia="TmsRmn 12pt"/>
          <w:szCs w:val="24"/>
          <w:lang w:val="sq-AL"/>
        </w:rPr>
        <w:t xml:space="preserve"> nga viti 2013 e deri më tani, në bazë të kabinave publike telefonikë janë paguar rreth 660,000 € nga Fondi, nga të cilat vitet e fundit shuma mesatare e pagesës është rreth 60,000 €. </w:t>
      </w:r>
    </w:p>
    <w:p w:rsidR="00E47F38" w:rsidRPr="005A0B82" w:rsidRDefault="00A73026" w:rsidP="00E47F38">
      <w:pPr>
        <w:jc w:val="both"/>
        <w:rPr>
          <w:szCs w:val="24"/>
          <w:lang w:val="mk-MK"/>
        </w:rPr>
      </w:pPr>
      <w:r>
        <w:rPr>
          <w:rFonts w:eastAsia="TmsRmn 12pt"/>
          <w:szCs w:val="24"/>
          <w:lang w:val="sq-AL"/>
        </w:rPr>
        <w:t>Shtrohet pyetja se sa kabina telefonike mirëmban ofruesi i SHU në përgjithësi, dhe gjithashtu për çfarë vëllimi të punës shfrytëzohen ato. Në interes të objektivitetit, ne e konsiderojmë të domosdoshme që AKE të sigurojë informacione më të hollësishme për numrin e kabinave dhe vëllimin e trafikut të realizuar përmes tyre, si dhe çdo detaj tjetër mbi leverdinë e ekzistencës dhe sigurimit të shërbimeve të tilla, në mënyrë që publiku të ketë informacion mbi arsyetimin e shpenzimit prej 60,000 € në vit për këto nevoja dhe madje edhe më shumë, mbështetjen e ofruesit të SHU i cili është shfrytëzues i këtyre fondeve.</w:t>
      </w:r>
    </w:p>
    <w:p w:rsidR="00E47F38" w:rsidRPr="005A0B82" w:rsidRDefault="00A73026" w:rsidP="00E47F38">
      <w:pPr>
        <w:jc w:val="both"/>
        <w:rPr>
          <w:rFonts w:asciiTheme="minorHAnsi" w:hAnsiTheme="minorHAnsi"/>
          <w:szCs w:val="24"/>
          <w:lang w:val="mk-MK"/>
        </w:rPr>
      </w:pPr>
      <w:r>
        <w:rPr>
          <w:rFonts w:eastAsia="TmsRmn 12pt"/>
          <w:szCs w:val="24"/>
          <w:lang w:val="sq-AL"/>
        </w:rPr>
        <w:t>Pozicioni ynë është që kabinat telefonike si një shërbim në fushën e telefonisë së kabinave  janë tejkaluar plotësisht si një nevojë për publikun e gjerë dhe ne propozojmë që në të ardhmen shërbimi i kabinës telefonike publike të hiqet nga përmbajtja e Shërbimit Universal. Nevoja e mundshme për kabina telefonike për përdorues të caktuar që kanë nevojë për t'u adresuar duke ofruar zgjidhje në një treg konkurrues.</w:t>
      </w:r>
    </w:p>
    <w:p w:rsidR="00D85B68" w:rsidRPr="005A0B82" w:rsidRDefault="00D85B68" w:rsidP="00E47F38">
      <w:pPr>
        <w:jc w:val="both"/>
        <w:rPr>
          <w:rFonts w:asciiTheme="minorHAnsi" w:hAnsiTheme="minorHAnsi"/>
          <w:szCs w:val="24"/>
          <w:lang w:val="mk-MK"/>
        </w:rPr>
      </w:pPr>
    </w:p>
    <w:p w:rsidR="00D85B68" w:rsidRPr="005A0B82" w:rsidRDefault="00A73026" w:rsidP="00E47F38">
      <w:pPr>
        <w:jc w:val="both"/>
        <w:rPr>
          <w:rFonts w:asciiTheme="minorHAnsi" w:hAnsiTheme="minorHAnsi"/>
          <w:szCs w:val="24"/>
          <w:lang w:val="mk-MK"/>
        </w:rPr>
      </w:pPr>
      <w:r>
        <w:rPr>
          <w:rFonts w:ascii="Calibri" w:eastAsia="Calibri" w:hAnsi="Calibri"/>
          <w:szCs w:val="24"/>
          <w:lang w:val="sq-AL"/>
        </w:rPr>
        <w:t xml:space="preserve">Përgjigjja: Agjencia e konsideron të dobishme të zhvillojë një debat më të gjerë publik dhe bazuar në konkluzionet nga ai debat do të vijojnë ndryshimet e volitshme nëse janë të nevojshme. Për momentin, edhe pse i reduktuar ndjeshëm, shërbimi për kabinat telefonike publike, veçanërisht në vende të caktuara specifike, është i dobishëm për qytetarët. </w:t>
      </w:r>
    </w:p>
    <w:p w:rsidR="00D85B68" w:rsidRPr="005A0B82" w:rsidRDefault="00D85B68" w:rsidP="00E47F38">
      <w:pPr>
        <w:jc w:val="both"/>
        <w:rPr>
          <w:rFonts w:asciiTheme="minorHAnsi" w:hAnsiTheme="minorHAnsi"/>
          <w:szCs w:val="24"/>
          <w:lang w:val="mk-MK"/>
        </w:rPr>
      </w:pPr>
    </w:p>
    <w:p w:rsidR="00E47F38" w:rsidRPr="005A0B82" w:rsidRDefault="00A73026" w:rsidP="00E47F38">
      <w:pPr>
        <w:jc w:val="both"/>
        <w:rPr>
          <w:rFonts w:asciiTheme="minorHAnsi" w:hAnsiTheme="minorHAnsi"/>
          <w:szCs w:val="24"/>
          <w:lang w:val="mk-MK"/>
        </w:rPr>
      </w:pPr>
      <w:r>
        <w:rPr>
          <w:rFonts w:eastAsia="TmsRmn 12pt"/>
          <w:szCs w:val="24"/>
          <w:lang w:val="sq-AL"/>
        </w:rPr>
        <w:t>Ko</w:t>
      </w:r>
      <w:bookmarkStart w:id="0" w:name="_GoBack"/>
      <w:bookmarkEnd w:id="0"/>
      <w:r>
        <w:rPr>
          <w:rFonts w:eastAsia="TmsRmn 12pt"/>
          <w:szCs w:val="24"/>
          <w:lang w:val="sq-AL"/>
        </w:rPr>
        <w:t>munikimi me faks në ditët e sotme ka vetëm një kuptim margjinal dhe është i kufizuar në kategori të caktuara të përdoruesve të biznesit. Për më tepër, ata përdorues që kanë nevojë për këtë shërbim zakonisht ndodhen në zona ku ofrimi i shërbimeve nuk bie nën SHU. Nga ana tjetër, në zgjidhjet moderne teknologjike për lidhjen me një rrjet të komunikimit publik, nevojiten azhurnime të veçanta shtesë që do të mundësonin komunikimin me faks. Kjo imponon një kufizim të konsiderueshëm dhe sigurisht që sjell kosto shtesë. Duke qenë se grupi i përdoruesve që kanë nevojë për komunikim me faks nuk janë më fokusi kryesor për përcaktimin e kushteve për SHU, dhe se ekzistojnë alternativa shumë më moderne për të kapërcyer nevojën për komunikim me faks, ne konsiderojmë se është një barrë e pabazuar për SHU dhe ne propozojmë që të hiqen nga fusha e detyrimeve.</w:t>
      </w:r>
    </w:p>
    <w:p w:rsidR="00D85B68" w:rsidRPr="005A0B82" w:rsidRDefault="00D85B68" w:rsidP="00E47F38">
      <w:pPr>
        <w:jc w:val="both"/>
        <w:rPr>
          <w:rFonts w:asciiTheme="minorHAnsi" w:hAnsiTheme="minorHAnsi"/>
          <w:szCs w:val="24"/>
          <w:lang w:val="mk-MK"/>
        </w:rPr>
      </w:pPr>
    </w:p>
    <w:p w:rsidR="00E47F38" w:rsidRPr="005A0B82" w:rsidRDefault="00A73026" w:rsidP="00E47F38">
      <w:pPr>
        <w:jc w:val="both"/>
        <w:rPr>
          <w:szCs w:val="24"/>
          <w:lang w:val="mk-MK"/>
        </w:rPr>
      </w:pPr>
      <w:r>
        <w:rPr>
          <w:rFonts w:eastAsia="TmsRmn 12pt"/>
          <w:szCs w:val="24"/>
          <w:lang w:val="sq-AL"/>
        </w:rPr>
        <w:t>Me respekt,</w:t>
      </w:r>
    </w:p>
    <w:p w:rsidR="00E94721" w:rsidRPr="005A0B82" w:rsidRDefault="00A73026" w:rsidP="00E47F38">
      <w:pPr>
        <w:jc w:val="both"/>
        <w:rPr>
          <w:lang w:val="mk-MK"/>
        </w:rPr>
      </w:pPr>
      <w:r>
        <w:rPr>
          <w:rFonts w:eastAsia="TmsRmn 12pt"/>
          <w:szCs w:val="24"/>
          <w:lang w:val="sq-AL"/>
        </w:rPr>
        <w:t>A1 Maqedoni</w:t>
      </w:r>
    </w:p>
    <w:sectPr w:rsidR="00E94721" w:rsidRPr="005A0B82" w:rsidSect="0029394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026" w:rsidRDefault="00A73026">
      <w:r>
        <w:separator/>
      </w:r>
    </w:p>
  </w:endnote>
  <w:endnote w:type="continuationSeparator" w:id="1">
    <w:p w:rsidR="00A73026" w:rsidRDefault="00A730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026" w:rsidRDefault="00A73026">
      <w:r>
        <w:separator/>
      </w:r>
    </w:p>
  </w:footnote>
  <w:footnote w:type="continuationSeparator" w:id="1">
    <w:p w:rsidR="00A73026" w:rsidRDefault="00A73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0EF" w:rsidRDefault="001A10EF">
    <w:pPr>
      <w:pStyle w:val="Header"/>
    </w:pPr>
  </w:p>
  <w:p w:rsidR="001A10EF" w:rsidRDefault="00A73026">
    <w:pPr>
      <w:pStyle w:val="Header"/>
    </w:pPr>
    <w:r>
      <w:rPr>
        <w:noProof/>
      </w:rPr>
      <w:drawing>
        <wp:anchor distT="0" distB="0" distL="114300" distR="114300" simplePos="0" relativeHeight="251658240" behindDoc="1" locked="1" layoutInCell="1" allowOverlap="1">
          <wp:simplePos x="0" y="0"/>
          <wp:positionH relativeFrom="page">
            <wp:align>center</wp:align>
          </wp:positionH>
          <wp:positionV relativeFrom="page">
            <wp:align>center</wp:align>
          </wp:positionV>
          <wp:extent cx="7560310" cy="10692130"/>
          <wp:effectExtent l="19050" t="0" r="2540" b="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336018" name="Picture 12"/>
                  <pic:cNvPicPr>
                    <a:picLocks noChangeAspect="1" noChangeArrowheads="1"/>
                  </pic:cNvPicPr>
                </pic:nvPicPr>
                <pic:blipFill>
                  <a:blip r:embed="rId1"/>
                  <a:stretch>
                    <a:fillRect/>
                  </a:stretch>
                </pic:blipFill>
                <pic:spPr bwMode="auto">
                  <a:xfrm>
                    <a:off x="0" y="0"/>
                    <a:ext cx="7560310" cy="1069213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954AB"/>
    <w:multiLevelType w:val="hybridMultilevel"/>
    <w:tmpl w:val="ACBC1BBE"/>
    <w:lvl w:ilvl="0" w:tplc="86586570">
      <w:start w:val="1"/>
      <w:numFmt w:val="decimal"/>
      <w:lvlText w:val="(%1)"/>
      <w:lvlJc w:val="left"/>
      <w:pPr>
        <w:ind w:left="1080" w:hanging="360"/>
      </w:pPr>
      <w:rPr>
        <w:rFonts w:hint="default"/>
      </w:rPr>
    </w:lvl>
    <w:lvl w:ilvl="1" w:tplc="128E132E" w:tentative="1">
      <w:start w:val="1"/>
      <w:numFmt w:val="lowerLetter"/>
      <w:lvlText w:val="%2."/>
      <w:lvlJc w:val="left"/>
      <w:pPr>
        <w:ind w:left="1800" w:hanging="360"/>
      </w:pPr>
    </w:lvl>
    <w:lvl w:ilvl="2" w:tplc="4A6C83F6" w:tentative="1">
      <w:start w:val="1"/>
      <w:numFmt w:val="lowerRoman"/>
      <w:lvlText w:val="%3."/>
      <w:lvlJc w:val="right"/>
      <w:pPr>
        <w:ind w:left="2520" w:hanging="180"/>
      </w:pPr>
    </w:lvl>
    <w:lvl w:ilvl="3" w:tplc="085616A4" w:tentative="1">
      <w:start w:val="1"/>
      <w:numFmt w:val="decimal"/>
      <w:lvlText w:val="%4."/>
      <w:lvlJc w:val="left"/>
      <w:pPr>
        <w:ind w:left="3240" w:hanging="360"/>
      </w:pPr>
    </w:lvl>
    <w:lvl w:ilvl="4" w:tplc="E8489A0C" w:tentative="1">
      <w:start w:val="1"/>
      <w:numFmt w:val="lowerLetter"/>
      <w:lvlText w:val="%5."/>
      <w:lvlJc w:val="left"/>
      <w:pPr>
        <w:ind w:left="3960" w:hanging="360"/>
      </w:pPr>
    </w:lvl>
    <w:lvl w:ilvl="5" w:tplc="46823810" w:tentative="1">
      <w:start w:val="1"/>
      <w:numFmt w:val="lowerRoman"/>
      <w:lvlText w:val="%6."/>
      <w:lvlJc w:val="right"/>
      <w:pPr>
        <w:ind w:left="4680" w:hanging="180"/>
      </w:pPr>
    </w:lvl>
    <w:lvl w:ilvl="6" w:tplc="4C68C776" w:tentative="1">
      <w:start w:val="1"/>
      <w:numFmt w:val="decimal"/>
      <w:lvlText w:val="%7."/>
      <w:lvlJc w:val="left"/>
      <w:pPr>
        <w:ind w:left="5400" w:hanging="360"/>
      </w:pPr>
    </w:lvl>
    <w:lvl w:ilvl="7" w:tplc="98964CEA" w:tentative="1">
      <w:start w:val="1"/>
      <w:numFmt w:val="lowerLetter"/>
      <w:lvlText w:val="%8."/>
      <w:lvlJc w:val="left"/>
      <w:pPr>
        <w:ind w:left="6120" w:hanging="360"/>
      </w:pPr>
    </w:lvl>
    <w:lvl w:ilvl="8" w:tplc="0D84F2BC" w:tentative="1">
      <w:start w:val="1"/>
      <w:numFmt w:val="lowerRoman"/>
      <w:lvlText w:val="%9."/>
      <w:lvlJc w:val="right"/>
      <w:pPr>
        <w:ind w:left="6840" w:hanging="180"/>
      </w:pPr>
    </w:lvl>
  </w:abstractNum>
  <w:abstractNum w:abstractNumId="1">
    <w:nsid w:val="3D180B5E"/>
    <w:multiLevelType w:val="hybridMultilevel"/>
    <w:tmpl w:val="2A5204E8"/>
    <w:lvl w:ilvl="0" w:tplc="136C9E08">
      <w:start w:val="1"/>
      <w:numFmt w:val="decimal"/>
      <w:lvlText w:val="(%1)"/>
      <w:lvlJc w:val="left"/>
      <w:pPr>
        <w:ind w:left="720" w:hanging="360"/>
      </w:pPr>
      <w:rPr>
        <w:rFonts w:hint="default"/>
      </w:rPr>
    </w:lvl>
    <w:lvl w:ilvl="1" w:tplc="444A4D0C">
      <w:start w:val="1"/>
      <w:numFmt w:val="lowerLetter"/>
      <w:lvlText w:val="%2."/>
      <w:lvlJc w:val="left"/>
      <w:pPr>
        <w:ind w:left="1440" w:hanging="360"/>
      </w:pPr>
    </w:lvl>
    <w:lvl w:ilvl="2" w:tplc="2C2E4E8A">
      <w:start w:val="1"/>
      <w:numFmt w:val="lowerRoman"/>
      <w:lvlText w:val="%3."/>
      <w:lvlJc w:val="right"/>
      <w:pPr>
        <w:ind w:left="2160" w:hanging="180"/>
      </w:pPr>
    </w:lvl>
    <w:lvl w:ilvl="3" w:tplc="948EA5E8" w:tentative="1">
      <w:start w:val="1"/>
      <w:numFmt w:val="decimal"/>
      <w:lvlText w:val="%4."/>
      <w:lvlJc w:val="left"/>
      <w:pPr>
        <w:ind w:left="2880" w:hanging="360"/>
      </w:pPr>
    </w:lvl>
    <w:lvl w:ilvl="4" w:tplc="3836E45C" w:tentative="1">
      <w:start w:val="1"/>
      <w:numFmt w:val="lowerLetter"/>
      <w:lvlText w:val="%5."/>
      <w:lvlJc w:val="left"/>
      <w:pPr>
        <w:ind w:left="3600" w:hanging="360"/>
      </w:pPr>
    </w:lvl>
    <w:lvl w:ilvl="5" w:tplc="3E361B40" w:tentative="1">
      <w:start w:val="1"/>
      <w:numFmt w:val="lowerRoman"/>
      <w:lvlText w:val="%6."/>
      <w:lvlJc w:val="right"/>
      <w:pPr>
        <w:ind w:left="4320" w:hanging="180"/>
      </w:pPr>
    </w:lvl>
    <w:lvl w:ilvl="6" w:tplc="AAAAEAE4" w:tentative="1">
      <w:start w:val="1"/>
      <w:numFmt w:val="decimal"/>
      <w:lvlText w:val="%7."/>
      <w:lvlJc w:val="left"/>
      <w:pPr>
        <w:ind w:left="5040" w:hanging="360"/>
      </w:pPr>
    </w:lvl>
    <w:lvl w:ilvl="7" w:tplc="AF0264FE" w:tentative="1">
      <w:start w:val="1"/>
      <w:numFmt w:val="lowerLetter"/>
      <w:lvlText w:val="%8."/>
      <w:lvlJc w:val="left"/>
      <w:pPr>
        <w:ind w:left="5760" w:hanging="360"/>
      </w:pPr>
    </w:lvl>
    <w:lvl w:ilvl="8" w:tplc="E45E8E8C"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7A3BF4"/>
    <w:rsid w:val="0002001E"/>
    <w:rsid w:val="00047CDD"/>
    <w:rsid w:val="000B5BDB"/>
    <w:rsid w:val="000E5867"/>
    <w:rsid w:val="00122728"/>
    <w:rsid w:val="00164F53"/>
    <w:rsid w:val="00175C90"/>
    <w:rsid w:val="00183D0C"/>
    <w:rsid w:val="00190E3B"/>
    <w:rsid w:val="001A10EF"/>
    <w:rsid w:val="002202EC"/>
    <w:rsid w:val="00235933"/>
    <w:rsid w:val="00236657"/>
    <w:rsid w:val="00252B96"/>
    <w:rsid w:val="002852AF"/>
    <w:rsid w:val="0029122C"/>
    <w:rsid w:val="002931E3"/>
    <w:rsid w:val="00293949"/>
    <w:rsid w:val="002B017F"/>
    <w:rsid w:val="002E3D1F"/>
    <w:rsid w:val="0030601B"/>
    <w:rsid w:val="00323B38"/>
    <w:rsid w:val="00344D03"/>
    <w:rsid w:val="00351D8B"/>
    <w:rsid w:val="00384361"/>
    <w:rsid w:val="003C74C4"/>
    <w:rsid w:val="00425325"/>
    <w:rsid w:val="0042730D"/>
    <w:rsid w:val="004C4523"/>
    <w:rsid w:val="00507F14"/>
    <w:rsid w:val="005126FC"/>
    <w:rsid w:val="0052503C"/>
    <w:rsid w:val="00572FE4"/>
    <w:rsid w:val="00576E77"/>
    <w:rsid w:val="00595D1B"/>
    <w:rsid w:val="005A0B82"/>
    <w:rsid w:val="005C6001"/>
    <w:rsid w:val="00641CF6"/>
    <w:rsid w:val="006F6434"/>
    <w:rsid w:val="00763488"/>
    <w:rsid w:val="0076772D"/>
    <w:rsid w:val="007A3BF4"/>
    <w:rsid w:val="007D7535"/>
    <w:rsid w:val="007E112C"/>
    <w:rsid w:val="00803A51"/>
    <w:rsid w:val="008235C8"/>
    <w:rsid w:val="00826E72"/>
    <w:rsid w:val="0084544C"/>
    <w:rsid w:val="008E0BB6"/>
    <w:rsid w:val="008E0FCE"/>
    <w:rsid w:val="008F2474"/>
    <w:rsid w:val="009331EA"/>
    <w:rsid w:val="00986CA4"/>
    <w:rsid w:val="009D3D87"/>
    <w:rsid w:val="00A00E57"/>
    <w:rsid w:val="00A23293"/>
    <w:rsid w:val="00A246F9"/>
    <w:rsid w:val="00A570D8"/>
    <w:rsid w:val="00A6019A"/>
    <w:rsid w:val="00A64BA8"/>
    <w:rsid w:val="00A73026"/>
    <w:rsid w:val="00A77AF5"/>
    <w:rsid w:val="00A84087"/>
    <w:rsid w:val="00AE69DC"/>
    <w:rsid w:val="00AE7D43"/>
    <w:rsid w:val="00B24120"/>
    <w:rsid w:val="00B406BC"/>
    <w:rsid w:val="00B44CFD"/>
    <w:rsid w:val="00B45F54"/>
    <w:rsid w:val="00B60BB6"/>
    <w:rsid w:val="00B767A3"/>
    <w:rsid w:val="00B77EE8"/>
    <w:rsid w:val="00B83C3B"/>
    <w:rsid w:val="00B96108"/>
    <w:rsid w:val="00B96DAB"/>
    <w:rsid w:val="00BD00D4"/>
    <w:rsid w:val="00C52353"/>
    <w:rsid w:val="00C66090"/>
    <w:rsid w:val="00CD698C"/>
    <w:rsid w:val="00CE75FE"/>
    <w:rsid w:val="00D03C39"/>
    <w:rsid w:val="00D40BEB"/>
    <w:rsid w:val="00D51FC3"/>
    <w:rsid w:val="00D85B68"/>
    <w:rsid w:val="00D85DB5"/>
    <w:rsid w:val="00DA5E3C"/>
    <w:rsid w:val="00DB08BA"/>
    <w:rsid w:val="00E02496"/>
    <w:rsid w:val="00E03288"/>
    <w:rsid w:val="00E246EE"/>
    <w:rsid w:val="00E44ADE"/>
    <w:rsid w:val="00E47F38"/>
    <w:rsid w:val="00E56E0A"/>
    <w:rsid w:val="00E60294"/>
    <w:rsid w:val="00E94721"/>
    <w:rsid w:val="00EE6B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BF4"/>
    <w:pPr>
      <w:overflowPunct w:val="0"/>
      <w:autoSpaceDE w:val="0"/>
      <w:autoSpaceDN w:val="0"/>
      <w:adjustRightInd w:val="0"/>
      <w:textAlignment w:val="baseline"/>
    </w:pPr>
    <w:rPr>
      <w:rFonts w:ascii="TmsRmn 12pt" w:eastAsia="Times New Roman" w:hAnsi="TmsRmn 12p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0EF"/>
    <w:pPr>
      <w:tabs>
        <w:tab w:val="center" w:pos="4680"/>
        <w:tab w:val="right" w:pos="9360"/>
      </w:tabs>
    </w:pPr>
  </w:style>
  <w:style w:type="character" w:customStyle="1" w:styleId="HeaderChar">
    <w:name w:val="Header Char"/>
    <w:basedOn w:val="DefaultParagraphFont"/>
    <w:link w:val="Header"/>
    <w:uiPriority w:val="99"/>
    <w:rsid w:val="001A10EF"/>
    <w:rPr>
      <w:rFonts w:ascii="TmsRmn 12pt" w:eastAsia="Times New Roman" w:hAnsi="TmsRmn 12pt"/>
      <w:sz w:val="24"/>
    </w:rPr>
  </w:style>
  <w:style w:type="paragraph" w:styleId="Footer">
    <w:name w:val="footer"/>
    <w:basedOn w:val="Normal"/>
    <w:link w:val="FooterChar"/>
    <w:uiPriority w:val="99"/>
    <w:semiHidden/>
    <w:unhideWhenUsed/>
    <w:rsid w:val="001A10EF"/>
    <w:pPr>
      <w:tabs>
        <w:tab w:val="center" w:pos="4680"/>
        <w:tab w:val="right" w:pos="9360"/>
      </w:tabs>
    </w:pPr>
  </w:style>
  <w:style w:type="character" w:customStyle="1" w:styleId="FooterChar">
    <w:name w:val="Footer Char"/>
    <w:basedOn w:val="DefaultParagraphFont"/>
    <w:link w:val="Footer"/>
    <w:uiPriority w:val="99"/>
    <w:semiHidden/>
    <w:rsid w:val="001A10EF"/>
    <w:rPr>
      <w:rFonts w:ascii="TmsRmn 12pt" w:eastAsia="Times New Roman" w:hAnsi="TmsRmn 12pt"/>
      <w:sz w:val="24"/>
    </w:rPr>
  </w:style>
  <w:style w:type="paragraph" w:styleId="BalloonText">
    <w:name w:val="Balloon Text"/>
    <w:basedOn w:val="Normal"/>
    <w:link w:val="BalloonTextChar"/>
    <w:uiPriority w:val="99"/>
    <w:semiHidden/>
    <w:unhideWhenUsed/>
    <w:rsid w:val="001A10EF"/>
    <w:rPr>
      <w:rFonts w:ascii="Tahoma" w:hAnsi="Tahoma" w:cs="Tahoma"/>
      <w:sz w:val="16"/>
      <w:szCs w:val="16"/>
    </w:rPr>
  </w:style>
  <w:style w:type="character" w:customStyle="1" w:styleId="BalloonTextChar">
    <w:name w:val="Balloon Text Char"/>
    <w:basedOn w:val="DefaultParagraphFont"/>
    <w:link w:val="BalloonText"/>
    <w:uiPriority w:val="99"/>
    <w:semiHidden/>
    <w:rsid w:val="001A10EF"/>
    <w:rPr>
      <w:rFonts w:ascii="Tahoma" w:eastAsia="Times New Roman" w:hAnsi="Tahoma" w:cs="Tahoma"/>
      <w:sz w:val="16"/>
      <w:szCs w:val="16"/>
    </w:rPr>
  </w:style>
  <w:style w:type="paragraph" w:styleId="ListParagraph">
    <w:name w:val="List Paragraph"/>
    <w:basedOn w:val="Normal"/>
    <w:uiPriority w:val="34"/>
    <w:qFormat/>
    <w:rsid w:val="002B017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722B4-AF48-468F-BF94-C8C434E0A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Lidija.Paunovska</dc:creator>
  <cp:lastModifiedBy>User</cp:lastModifiedBy>
  <cp:revision>11</cp:revision>
  <cp:lastPrinted>2015-10-20T07:35:00Z</cp:lastPrinted>
  <dcterms:created xsi:type="dcterms:W3CDTF">2021-03-31T09:50:00Z</dcterms:created>
  <dcterms:modified xsi:type="dcterms:W3CDTF">2021-05-04T07:15:00Z</dcterms:modified>
</cp:coreProperties>
</file>